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92" w:rsidRPr="00AF3611" w:rsidRDefault="00747889" w:rsidP="00226392">
      <w:pPr>
        <w:jc w:val="center"/>
        <w:rPr>
          <w:b/>
        </w:rPr>
      </w:pPr>
      <w:r>
        <w:rPr>
          <w:b/>
        </w:rPr>
        <w:t xml:space="preserve">2012 </w:t>
      </w:r>
      <w:r w:rsidR="00226392" w:rsidRPr="00AF3611">
        <w:rPr>
          <w:b/>
        </w:rPr>
        <w:t>Caring Communities Youth Survey (CCYS)</w:t>
      </w:r>
    </w:p>
    <w:p w:rsidR="00747889" w:rsidRDefault="00747889" w:rsidP="00747889">
      <w:pPr>
        <w:jc w:val="center"/>
        <w:rPr>
          <w:b/>
        </w:rPr>
      </w:pPr>
    </w:p>
    <w:p w:rsidR="00226392" w:rsidRPr="00747889" w:rsidRDefault="00747889" w:rsidP="00747889">
      <w:pPr>
        <w:jc w:val="center"/>
        <w:rPr>
          <w:b/>
        </w:rPr>
      </w:pPr>
      <w:r>
        <w:rPr>
          <w:b/>
        </w:rPr>
        <w:t>Description and Completion Rates for Greater New Orleans</w:t>
      </w:r>
    </w:p>
    <w:p w:rsidR="00226392" w:rsidRDefault="00226392" w:rsidP="00226392"/>
    <w:p w:rsidR="00226392" w:rsidRPr="00272CC6" w:rsidRDefault="00226392" w:rsidP="00226392">
      <w:r w:rsidRPr="00272CC6">
        <w:t>Caring Communities Youth Survey (CCYS) is a paper-and-pencil questionnaire administered biennially to 6</w:t>
      </w:r>
      <w:r w:rsidRPr="00272CC6">
        <w:rPr>
          <w:vertAlign w:val="superscript"/>
        </w:rPr>
        <w:t>th</w:t>
      </w:r>
      <w:r w:rsidRPr="00272CC6">
        <w:t>, 8</w:t>
      </w:r>
      <w:r w:rsidRPr="00272CC6">
        <w:rPr>
          <w:vertAlign w:val="superscript"/>
        </w:rPr>
        <w:t>th</w:t>
      </w:r>
      <w:r w:rsidRPr="00272CC6">
        <w:t>, 10</w:t>
      </w:r>
      <w:r w:rsidRPr="00272CC6">
        <w:rPr>
          <w:vertAlign w:val="superscript"/>
        </w:rPr>
        <w:t>th</w:t>
      </w:r>
      <w:r w:rsidRPr="00272CC6">
        <w:t xml:space="preserve"> grade students in the fall of even numbered years. It is based on the Communities That Care (CTN) model developed for the Substance Abuse and Mental Health Administration (SAMHSA) which measures risk and protective factors, behaviors and consequences. Thus the CCYS is explicitly designed to support planning, implementation and evaluation of prevention programming at the state, community and school levels. While it is especially designed for substance abuse prevention, and is consistent with SAMHSA’s Strategic Prevention Framework (SPF), the CCYS includes other elements, such as violence measures required by other federal and private foundation sponsors. The CCYS is especially useful for school-based programming, but is very useful for community-based programming as well because it represents middle and high school students and presents their perspective of community. The CCYS is typically conducted in the fall of the school year so that reports can be delivered back to the school districts in the spring semester to support planning for the next school year. Louisiana has conducted CCYS surveys on a regular two-year cycle. The most current reports include data for 2006, 2008</w:t>
      </w:r>
      <w:r>
        <w:t>,</w:t>
      </w:r>
      <w:r w:rsidRPr="00272CC6">
        <w:t xml:space="preserve"> 2010</w:t>
      </w:r>
      <w:r>
        <w:t xml:space="preserve"> and 2012</w:t>
      </w:r>
      <w:r w:rsidRPr="00272CC6">
        <w:t xml:space="preserve">. </w:t>
      </w:r>
    </w:p>
    <w:p w:rsidR="00226392" w:rsidRPr="00272CC6" w:rsidRDefault="00226392" w:rsidP="00226392"/>
    <w:p w:rsidR="00226392" w:rsidRPr="00272CC6" w:rsidRDefault="00226392" w:rsidP="00226392">
      <w:r w:rsidRPr="00272CC6">
        <w:t xml:space="preserve">School surveys </w:t>
      </w:r>
      <w:r w:rsidR="0002154D">
        <w:t xml:space="preserve">of adolescents </w:t>
      </w:r>
      <w:r w:rsidRPr="00272CC6">
        <w:t>consistently provide higher estimates, often twice as high, on substance use-related indicators in comparison to household surveys such as the National Survey on Drug Use and Health (NSDUH). While NSDUH provides a national standard, employs state-of-the-art methodologies, and should be highly reliable, there is reason to believe it systematically under estimates substance use-related indicators among adolescents ages 12-17.</w:t>
      </w:r>
    </w:p>
    <w:p w:rsidR="00226392" w:rsidRPr="001B54E6" w:rsidRDefault="00226392" w:rsidP="00226392"/>
    <w:p w:rsidR="00226392" w:rsidRPr="001B54E6" w:rsidRDefault="00226392" w:rsidP="00226392">
      <w:pPr>
        <w:rPr>
          <w:u w:val="single"/>
        </w:rPr>
      </w:pPr>
      <w:r w:rsidRPr="001B54E6">
        <w:rPr>
          <w:u w:val="single"/>
        </w:rPr>
        <w:t>Completion Rate</w:t>
      </w:r>
    </w:p>
    <w:p w:rsidR="00226392" w:rsidRPr="001B54E6" w:rsidRDefault="00226392" w:rsidP="00226392"/>
    <w:p w:rsidR="00226392" w:rsidRPr="001B54E6" w:rsidRDefault="00226392" w:rsidP="00226392">
      <w:r w:rsidRPr="001B54E6">
        <w:t xml:space="preserve">The CCYS </w:t>
      </w:r>
      <w:r>
        <w:t>is conducted as</w:t>
      </w:r>
      <w:r w:rsidRPr="001B54E6">
        <w:t xml:space="preserve"> a</w:t>
      </w:r>
      <w:r>
        <w:t xml:space="preserve"> </w:t>
      </w:r>
      <w:r w:rsidRPr="001B54E6">
        <w:t>census</w:t>
      </w:r>
      <w:r>
        <w:t>, i.e., a 100 percent sample, of all students enrolled. Technically there is no random sampling error because the CCYS does not use a random or probability sample.</w:t>
      </w:r>
      <w:r w:rsidRPr="001B54E6">
        <w:t xml:space="preserve"> </w:t>
      </w:r>
      <w:r>
        <w:t>As with all surveys, the CCYS is subject to “systematic” sampling errors which are often difficult to identify and understand. The potential for systematic sampling error in a census is greater to the extent that the actual sample obtained is less than 100 percent. Any type sample can be assessed by whether it adequately “covers” important population components or sub-populations which may differ on those things that the survey is trying to measure. Often population components are known from accurate estimates provided by other sources, such as, the U.S. Census. CCYS reports provide a coverage measure based on school and grade specific fall enrollment. This measure is referred to as the “completion rate.”</w:t>
      </w:r>
    </w:p>
    <w:p w:rsidR="00226392" w:rsidRDefault="00F864C0" w:rsidP="00F864C0">
      <w:pPr>
        <w:tabs>
          <w:tab w:val="left" w:pos="4200"/>
        </w:tabs>
      </w:pPr>
      <w:r>
        <w:tab/>
      </w:r>
    </w:p>
    <w:p w:rsidR="00226392" w:rsidRPr="001B54E6" w:rsidRDefault="00226392" w:rsidP="00226392">
      <w:r>
        <w:t xml:space="preserve">The CCYS defines completion rate as the percent of enrolled students who complete a valid survey form. If the completion rate is 100 percent, there is no sampling error. Thus a high completion rate is an indicator of lack of sampling error or sampling bias, although it is generally not a good indicator. In a census survey, even a very high completion rate leaves a lot of room for sampling biases. CCYS recommends a completion rate of 60 percent as a confidence level for interpretation of statistics at the school level. </w:t>
      </w:r>
    </w:p>
    <w:p w:rsidR="00226392" w:rsidRPr="001B54E6" w:rsidRDefault="00226392" w:rsidP="00226392"/>
    <w:tbl>
      <w:tblPr>
        <w:tblW w:w="9480" w:type="dxa"/>
        <w:jc w:val="right"/>
        <w:tblLayout w:type="fixed"/>
        <w:tblCellMar>
          <w:left w:w="43" w:type="dxa"/>
          <w:right w:w="43" w:type="dxa"/>
        </w:tblCellMar>
        <w:tblLook w:val="0000" w:firstRow="0" w:lastRow="0" w:firstColumn="0" w:lastColumn="0" w:noHBand="0" w:noVBand="0"/>
      </w:tblPr>
      <w:tblGrid>
        <w:gridCol w:w="1157"/>
        <w:gridCol w:w="924"/>
        <w:gridCol w:w="925"/>
        <w:gridCol w:w="925"/>
        <w:gridCol w:w="925"/>
        <w:gridCol w:w="924"/>
        <w:gridCol w:w="925"/>
        <w:gridCol w:w="925"/>
        <w:gridCol w:w="925"/>
        <w:gridCol w:w="925"/>
      </w:tblGrid>
      <w:tr w:rsidR="00226392" w:rsidTr="0042243B">
        <w:trPr>
          <w:trHeight w:val="345"/>
          <w:jc w:val="right"/>
        </w:trPr>
        <w:tc>
          <w:tcPr>
            <w:tcW w:w="9480" w:type="dxa"/>
            <w:gridSpan w:val="10"/>
            <w:tcBorders>
              <w:top w:val="single" w:sz="6" w:space="0" w:color="auto"/>
              <w:left w:val="single" w:sz="6" w:space="0" w:color="auto"/>
              <w:bottom w:val="single" w:sz="6" w:space="0" w:color="auto"/>
              <w:right w:val="single" w:sz="6" w:space="0" w:color="auto"/>
            </w:tcBorders>
            <w:vAlign w:val="center"/>
          </w:tcPr>
          <w:p w:rsidR="00226392" w:rsidRDefault="00F864C0" w:rsidP="0042243B">
            <w:pPr>
              <w:autoSpaceDE w:val="0"/>
              <w:autoSpaceDN w:val="0"/>
              <w:adjustRightInd w:val="0"/>
              <w:jc w:val="center"/>
              <w:rPr>
                <w:b/>
                <w:bCs/>
                <w:color w:val="000000"/>
                <w:sz w:val="20"/>
              </w:rPr>
            </w:pPr>
            <w:r>
              <w:rPr>
                <w:b/>
                <w:bCs/>
                <w:color w:val="000000"/>
                <w:sz w:val="20"/>
              </w:rPr>
              <w:lastRenderedPageBreak/>
              <w:t xml:space="preserve">Table </w:t>
            </w:r>
            <w:r w:rsidR="00226392">
              <w:rPr>
                <w:b/>
                <w:bCs/>
                <w:color w:val="000000"/>
                <w:sz w:val="20"/>
              </w:rPr>
              <w:t>1. CCYS Survey Completion Rate by Parish by Grade by Year</w:t>
            </w:r>
          </w:p>
        </w:tc>
      </w:tr>
      <w:tr w:rsidR="00226392" w:rsidTr="0042243B">
        <w:trPr>
          <w:trHeight w:val="221"/>
          <w:jc w:val="right"/>
        </w:trPr>
        <w:tc>
          <w:tcPr>
            <w:tcW w:w="1157" w:type="dxa"/>
            <w:vMerge w:val="restart"/>
            <w:tcBorders>
              <w:top w:val="single" w:sz="6" w:space="0" w:color="auto"/>
              <w:left w:val="single" w:sz="6" w:space="0" w:color="auto"/>
              <w:right w:val="single" w:sz="6" w:space="0" w:color="auto"/>
            </w:tcBorders>
            <w:vAlign w:val="center"/>
          </w:tcPr>
          <w:p w:rsidR="00226392" w:rsidRDefault="00226392" w:rsidP="0042243B">
            <w:pPr>
              <w:autoSpaceDE w:val="0"/>
              <w:autoSpaceDN w:val="0"/>
              <w:adjustRightInd w:val="0"/>
              <w:jc w:val="center"/>
              <w:rPr>
                <w:b/>
                <w:bCs/>
                <w:color w:val="000000"/>
                <w:sz w:val="20"/>
              </w:rPr>
            </w:pPr>
            <w:r>
              <w:rPr>
                <w:b/>
                <w:bCs/>
                <w:color w:val="000000"/>
                <w:sz w:val="20"/>
              </w:rPr>
              <w:t>Parish</w:t>
            </w:r>
          </w:p>
          <w:p w:rsidR="00226392" w:rsidRDefault="00226392" w:rsidP="0042243B">
            <w:pPr>
              <w:autoSpaceDE w:val="0"/>
              <w:autoSpaceDN w:val="0"/>
              <w:adjustRightInd w:val="0"/>
              <w:jc w:val="center"/>
              <w:rPr>
                <w:b/>
                <w:bCs/>
                <w:color w:val="000000"/>
                <w:sz w:val="20"/>
              </w:rPr>
            </w:pPr>
            <w:r>
              <w:rPr>
                <w:b/>
                <w:bCs/>
                <w:color w:val="000000"/>
                <w:sz w:val="20"/>
              </w:rPr>
              <w:t xml:space="preserve">    Grade</w:t>
            </w:r>
          </w:p>
        </w:tc>
        <w:tc>
          <w:tcPr>
            <w:tcW w:w="2774" w:type="dxa"/>
            <w:gridSpan w:val="3"/>
            <w:tcBorders>
              <w:top w:val="single" w:sz="6" w:space="0" w:color="auto"/>
              <w:left w:val="nil"/>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r>
              <w:rPr>
                <w:b/>
                <w:bCs/>
                <w:color w:val="000000"/>
                <w:sz w:val="20"/>
              </w:rPr>
              <w:t>2008</w:t>
            </w:r>
          </w:p>
        </w:tc>
        <w:tc>
          <w:tcPr>
            <w:tcW w:w="2774" w:type="dxa"/>
            <w:gridSpan w:val="3"/>
            <w:tcBorders>
              <w:top w:val="single" w:sz="6" w:space="0" w:color="auto"/>
              <w:left w:val="single" w:sz="6" w:space="0" w:color="auto"/>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r>
              <w:rPr>
                <w:b/>
                <w:bCs/>
                <w:color w:val="000000"/>
                <w:sz w:val="20"/>
              </w:rPr>
              <w:t>2010</w:t>
            </w:r>
          </w:p>
        </w:tc>
        <w:tc>
          <w:tcPr>
            <w:tcW w:w="2775" w:type="dxa"/>
            <w:gridSpan w:val="3"/>
            <w:tcBorders>
              <w:top w:val="single" w:sz="6" w:space="0" w:color="auto"/>
              <w:left w:val="single" w:sz="6" w:space="0" w:color="auto"/>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r>
              <w:rPr>
                <w:b/>
                <w:bCs/>
                <w:color w:val="000000"/>
                <w:sz w:val="20"/>
              </w:rPr>
              <w:t>2012</w:t>
            </w:r>
          </w:p>
        </w:tc>
      </w:tr>
      <w:tr w:rsidR="00226392" w:rsidTr="0042243B">
        <w:trPr>
          <w:trHeight w:val="543"/>
          <w:jc w:val="right"/>
        </w:trPr>
        <w:tc>
          <w:tcPr>
            <w:tcW w:w="1157" w:type="dxa"/>
            <w:vMerge/>
            <w:tcBorders>
              <w:left w:val="single" w:sz="6" w:space="0" w:color="auto"/>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p>
        </w:tc>
        <w:tc>
          <w:tcPr>
            <w:tcW w:w="924" w:type="dxa"/>
            <w:tcBorders>
              <w:top w:val="single" w:sz="6" w:space="0" w:color="auto"/>
              <w:left w:val="nil"/>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Surveys Completed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Students Enrolled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Percent</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Surveys Completed</w:t>
            </w:r>
          </w:p>
        </w:tc>
        <w:tc>
          <w:tcPr>
            <w:tcW w:w="924"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Students Enrolled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Percent</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Surveys Completed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Students Enrolled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Percent</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Statewide</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33,080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50,545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65.4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33,149</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53,554</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61.9</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34,720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55,283</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62.8</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32,998</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54,108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61.0</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30,316</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51,202</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59.2</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31,590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54,108</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58.4</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24,156</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46,821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51.6</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23,387</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48,594</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48.1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25,144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48,873</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51.4</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19,531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40,287</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48.5</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18,662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40,175</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46.5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19,681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41,933</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46.9</w:t>
            </w:r>
          </w:p>
        </w:tc>
      </w:tr>
      <w:tr w:rsidR="00226392" w:rsidTr="0042243B">
        <w:trPr>
          <w:trHeight w:val="187"/>
          <w:jc w:val="right"/>
        </w:trPr>
        <w:tc>
          <w:tcPr>
            <w:tcW w:w="1157" w:type="dxa"/>
            <w:tcBorders>
              <w:top w:val="nil"/>
              <w:left w:val="single" w:sz="6" w:space="0" w:color="auto"/>
              <w:bottom w:val="single" w:sz="6"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109,765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191,761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57.2</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105,514</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193,525</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54.5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111,135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200,197</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55.5</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Orleans</w:t>
            </w:r>
          </w:p>
        </w:tc>
        <w:tc>
          <w:tcPr>
            <w:tcW w:w="924"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393</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2,286</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17.2</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204</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2,918</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7.0</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739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3,789</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19.5</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637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3,189</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20.0</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296</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2,662</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11.1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721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3,807</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18.9</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554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2,884</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19.2</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317</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2,925</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10.8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415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3,156</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13.1</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395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2,458</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16.1</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212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2,285</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9.3</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463</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2,761</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16.8</w:t>
            </w:r>
          </w:p>
        </w:tc>
      </w:tr>
      <w:tr w:rsidR="00226392" w:rsidTr="0042243B">
        <w:trPr>
          <w:trHeight w:val="187"/>
          <w:jc w:val="right"/>
        </w:trPr>
        <w:tc>
          <w:tcPr>
            <w:tcW w:w="1157" w:type="dxa"/>
            <w:tcBorders>
              <w:top w:val="nil"/>
              <w:left w:val="single" w:sz="6" w:space="0" w:color="auto"/>
              <w:bottom w:val="single" w:sz="6"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1,979</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10,817</w:t>
            </w:r>
          </w:p>
        </w:tc>
        <w:tc>
          <w:tcPr>
            <w:tcW w:w="925" w:type="dxa"/>
            <w:tcBorders>
              <w:top w:val="nil"/>
              <w:left w:val="nil"/>
              <w:bottom w:val="single" w:sz="6" w:space="0" w:color="auto"/>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18.3</w:t>
            </w:r>
          </w:p>
        </w:tc>
        <w:tc>
          <w:tcPr>
            <w:tcW w:w="925"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1,029</w:t>
            </w:r>
          </w:p>
        </w:tc>
        <w:tc>
          <w:tcPr>
            <w:tcW w:w="924"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10,790</w:t>
            </w:r>
          </w:p>
        </w:tc>
        <w:tc>
          <w:tcPr>
            <w:tcW w:w="925" w:type="dxa"/>
            <w:tcBorders>
              <w:top w:val="nil"/>
              <w:left w:val="nil"/>
              <w:bottom w:val="single" w:sz="6"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9.5</w:t>
            </w:r>
          </w:p>
        </w:tc>
        <w:tc>
          <w:tcPr>
            <w:tcW w:w="925" w:type="dxa"/>
            <w:tcBorders>
              <w:top w:val="nil"/>
              <w:left w:val="nil"/>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2,338</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13,513</w:t>
            </w:r>
          </w:p>
        </w:tc>
        <w:tc>
          <w:tcPr>
            <w:tcW w:w="925" w:type="dxa"/>
            <w:tcBorders>
              <w:top w:val="nil"/>
              <w:left w:val="nil"/>
              <w:bottom w:val="single" w:sz="6"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17.3</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Jefferson</w:t>
            </w:r>
          </w:p>
        </w:tc>
        <w:tc>
          <w:tcPr>
            <w:tcW w:w="924"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2,552</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3,962</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64.4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2,702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3,562</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75.9</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1,948</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3,827</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50.9</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2,467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3,658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67.4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2,199</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3,156</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69.7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1,879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3,585</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52.4</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1,144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3,272</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35.0</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1,194</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2,926</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40.8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1,283</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3,008</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42.7</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967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2,738</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35.3</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848</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2,394</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35.4</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1,041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2,866</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36.3</w:t>
            </w:r>
          </w:p>
        </w:tc>
      </w:tr>
      <w:tr w:rsidR="00226392" w:rsidTr="0042243B">
        <w:trPr>
          <w:trHeight w:val="187"/>
          <w:jc w:val="right"/>
        </w:trPr>
        <w:tc>
          <w:tcPr>
            <w:tcW w:w="1157" w:type="dxa"/>
            <w:tcBorders>
              <w:top w:val="nil"/>
              <w:left w:val="single" w:sz="6" w:space="0" w:color="auto"/>
              <w:bottom w:val="single" w:sz="6"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7,130</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13,630</w:t>
            </w:r>
          </w:p>
        </w:tc>
        <w:tc>
          <w:tcPr>
            <w:tcW w:w="925" w:type="dxa"/>
            <w:tcBorders>
              <w:top w:val="nil"/>
              <w:left w:val="nil"/>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52.3</w:t>
            </w:r>
          </w:p>
        </w:tc>
        <w:tc>
          <w:tcPr>
            <w:tcW w:w="925"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6,943</w:t>
            </w:r>
          </w:p>
        </w:tc>
        <w:tc>
          <w:tcPr>
            <w:tcW w:w="924"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12,038</w:t>
            </w:r>
          </w:p>
        </w:tc>
        <w:tc>
          <w:tcPr>
            <w:tcW w:w="925" w:type="dxa"/>
            <w:tcBorders>
              <w:top w:val="nil"/>
              <w:left w:val="nil"/>
              <w:bottom w:val="single" w:sz="6" w:space="0" w:color="auto"/>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57.7</w:t>
            </w:r>
          </w:p>
        </w:tc>
        <w:tc>
          <w:tcPr>
            <w:tcW w:w="925" w:type="dxa"/>
            <w:tcBorders>
              <w:top w:val="nil"/>
              <w:left w:val="nil"/>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6,151</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13,286</w:t>
            </w:r>
          </w:p>
        </w:tc>
        <w:tc>
          <w:tcPr>
            <w:tcW w:w="925" w:type="dxa"/>
            <w:tcBorders>
              <w:top w:val="nil"/>
              <w:left w:val="nil"/>
              <w:bottom w:val="single" w:sz="6"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46.3</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Plaquemines</w:t>
            </w:r>
          </w:p>
        </w:tc>
        <w:tc>
          <w:tcPr>
            <w:tcW w:w="924"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310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358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86.6</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198</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380</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52.1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246</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377</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65.3</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270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347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77.8</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132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341</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38.7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239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391</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61.1</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224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305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73.4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123</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288</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42.7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207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280</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73.9</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179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236</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75.8</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93</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282</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33.0</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188</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261</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72.0</w:t>
            </w:r>
          </w:p>
        </w:tc>
      </w:tr>
      <w:tr w:rsidR="00226392" w:rsidTr="0042243B">
        <w:trPr>
          <w:trHeight w:val="187"/>
          <w:jc w:val="right"/>
        </w:trPr>
        <w:tc>
          <w:tcPr>
            <w:tcW w:w="1157" w:type="dxa"/>
            <w:tcBorders>
              <w:top w:val="nil"/>
              <w:left w:val="single" w:sz="6" w:space="0" w:color="auto"/>
              <w:bottom w:val="single" w:sz="4"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single" w:sz="6" w:space="0" w:color="auto"/>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983</w:t>
            </w:r>
          </w:p>
        </w:tc>
        <w:tc>
          <w:tcPr>
            <w:tcW w:w="925" w:type="dxa"/>
            <w:tcBorders>
              <w:top w:val="nil"/>
              <w:left w:val="dotted" w:sz="6" w:space="0" w:color="auto"/>
              <w:bottom w:val="single" w:sz="4"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1,246</w:t>
            </w:r>
          </w:p>
        </w:tc>
        <w:tc>
          <w:tcPr>
            <w:tcW w:w="925" w:type="dxa"/>
            <w:tcBorders>
              <w:top w:val="nil"/>
              <w:left w:val="nil"/>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78.9</w:t>
            </w:r>
          </w:p>
        </w:tc>
        <w:tc>
          <w:tcPr>
            <w:tcW w:w="925" w:type="dxa"/>
            <w:tcBorders>
              <w:top w:val="nil"/>
              <w:left w:val="single" w:sz="6" w:space="0" w:color="auto"/>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546</w:t>
            </w:r>
          </w:p>
        </w:tc>
        <w:tc>
          <w:tcPr>
            <w:tcW w:w="924" w:type="dxa"/>
            <w:tcBorders>
              <w:top w:val="nil"/>
              <w:left w:val="dotted" w:sz="6" w:space="0" w:color="auto"/>
              <w:bottom w:val="single" w:sz="4"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1,291</w:t>
            </w:r>
          </w:p>
        </w:tc>
        <w:tc>
          <w:tcPr>
            <w:tcW w:w="925" w:type="dxa"/>
            <w:tcBorders>
              <w:top w:val="nil"/>
              <w:left w:val="nil"/>
              <w:bottom w:val="single" w:sz="4"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42.3</w:t>
            </w:r>
          </w:p>
        </w:tc>
        <w:tc>
          <w:tcPr>
            <w:tcW w:w="925" w:type="dxa"/>
            <w:tcBorders>
              <w:top w:val="nil"/>
              <w:left w:val="nil"/>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880</w:t>
            </w:r>
          </w:p>
        </w:tc>
        <w:tc>
          <w:tcPr>
            <w:tcW w:w="925" w:type="dxa"/>
            <w:tcBorders>
              <w:top w:val="nil"/>
              <w:left w:val="dotted" w:sz="6" w:space="0" w:color="auto"/>
              <w:bottom w:val="single" w:sz="4"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1,309</w:t>
            </w:r>
          </w:p>
        </w:tc>
        <w:tc>
          <w:tcPr>
            <w:tcW w:w="925" w:type="dxa"/>
            <w:tcBorders>
              <w:top w:val="nil"/>
              <w:left w:val="nil"/>
              <w:bottom w:val="single" w:sz="4" w:space="0" w:color="auto"/>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67.2</w:t>
            </w:r>
          </w:p>
        </w:tc>
      </w:tr>
      <w:tr w:rsidR="00226392" w:rsidTr="0042243B">
        <w:trPr>
          <w:trHeight w:val="773"/>
          <w:jc w:val="right"/>
        </w:trPr>
        <w:tc>
          <w:tcPr>
            <w:tcW w:w="9480" w:type="dxa"/>
            <w:gridSpan w:val="10"/>
            <w:tcBorders>
              <w:top w:val="single" w:sz="4" w:space="0" w:color="auto"/>
              <w:left w:val="single" w:sz="4" w:space="0" w:color="auto"/>
              <w:bottom w:val="single" w:sz="4" w:space="0" w:color="auto"/>
              <w:right w:val="single" w:sz="4"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 xml:space="preserve">Notes: (1) Completion rates less than 50% are listed in </w:t>
            </w:r>
            <w:r w:rsidRPr="00A469BB">
              <w:rPr>
                <w:b/>
                <w:color w:val="000000"/>
                <w:sz w:val="20"/>
              </w:rPr>
              <w:t>bold</w:t>
            </w:r>
            <w:r>
              <w:rPr>
                <w:color w:val="000000"/>
                <w:sz w:val="20"/>
              </w:rPr>
              <w:t xml:space="preserve"> type face. Completion rates less than 30% are underlined as well as </w:t>
            </w:r>
            <w:r w:rsidRPr="00A469BB">
              <w:rPr>
                <w:b/>
                <w:color w:val="000000"/>
                <w:sz w:val="20"/>
                <w:u w:val="single"/>
              </w:rPr>
              <w:t>bolded</w:t>
            </w:r>
            <w:r>
              <w:rPr>
                <w:color w:val="000000"/>
                <w:sz w:val="20"/>
              </w:rPr>
              <w:t>.</w:t>
            </w:r>
          </w:p>
          <w:p w:rsidR="00226392" w:rsidRDefault="00226392" w:rsidP="0042243B">
            <w:pPr>
              <w:autoSpaceDE w:val="0"/>
              <w:autoSpaceDN w:val="0"/>
              <w:adjustRightInd w:val="0"/>
              <w:rPr>
                <w:color w:val="000000"/>
                <w:sz w:val="20"/>
              </w:rPr>
            </w:pPr>
            <w:r>
              <w:rPr>
                <w:color w:val="000000"/>
                <w:sz w:val="20"/>
              </w:rPr>
              <w:t>(2) No CCYS data is available for St. Bernard Parish.</w:t>
            </w:r>
          </w:p>
        </w:tc>
      </w:tr>
    </w:tbl>
    <w:p w:rsidR="00226392" w:rsidRPr="00241CDE" w:rsidRDefault="00226392" w:rsidP="00226392"/>
    <w:p w:rsidR="00226392" w:rsidRDefault="00226392" w:rsidP="00226392">
      <w:r w:rsidRPr="003464E8">
        <w:t xml:space="preserve">Since the CCYS findings are grade-specific, </w:t>
      </w:r>
      <w:r>
        <w:t xml:space="preserve">confidence in a figure depends on the completion rate for the specific grade level in the parish. In the tables in this Profile, figures based on a completion rate less </w:t>
      </w:r>
      <w:proofErr w:type="spellStart"/>
      <w:r>
        <w:t>that</w:t>
      </w:r>
      <w:proofErr w:type="spellEnd"/>
      <w:r>
        <w:t xml:space="preserve"> 30% are flagged with “#”; figures based on a completion rate less than 50% are fla</w:t>
      </w:r>
      <w:r w:rsidR="0002154D">
        <w:t>gged with “*”. The following caution is suggested:</w:t>
      </w:r>
      <w:r w:rsidR="0002154D" w:rsidRPr="0002154D">
        <w:rPr>
          <w:sz w:val="18"/>
          <w:szCs w:val="18"/>
        </w:rPr>
        <w:t xml:space="preserve"> </w:t>
      </w:r>
      <w:r w:rsidR="0002154D">
        <w:t>f</w:t>
      </w:r>
      <w:r w:rsidR="0002154D" w:rsidRPr="0002154D">
        <w:t>igures based on less than a 30% completion rate cannot be considered representative; figures based on completion between 30% and 50% should be interpreted with caution.</w:t>
      </w:r>
    </w:p>
    <w:p w:rsidR="00226392" w:rsidRDefault="00226392" w:rsidP="00226392"/>
    <w:p w:rsidR="00226392" w:rsidRDefault="00226392" w:rsidP="00226392">
      <w:r>
        <w:t>All public schools, including “charter schools,” are counted in the enrollment denominator; private schools are only counted if they participate in the survey.</w:t>
      </w:r>
    </w:p>
    <w:p w:rsidR="00226392" w:rsidRDefault="00226392" w:rsidP="00226392"/>
    <w:p w:rsidR="00226392" w:rsidRDefault="00226392" w:rsidP="00226392">
      <w:r>
        <w:t xml:space="preserve">The completion rate is a function of the school participation rate (i.e., which schools agree to participate in the survey), </w:t>
      </w:r>
      <w:r w:rsidR="0002154D">
        <w:t>within-</w:t>
      </w:r>
      <w:r>
        <w:t xml:space="preserve">grade coverage at each participating school, and the attendance rate. </w:t>
      </w:r>
    </w:p>
    <w:p w:rsidR="00226392" w:rsidRDefault="00226392" w:rsidP="00226392"/>
    <w:p w:rsidR="00226392" w:rsidRDefault="00226392" w:rsidP="00226392">
      <w:r>
        <w:t>The completion rate does not account for youth who dropped out of school</w:t>
      </w:r>
      <w:r w:rsidRPr="00936F7B">
        <w:t xml:space="preserve"> </w:t>
      </w:r>
      <w:r>
        <w:t>p</w:t>
      </w:r>
      <w:r w:rsidRPr="00936F7B">
        <w:t>rior to enrolling</w:t>
      </w:r>
      <w:r>
        <w:t xml:space="preserve"> for the fall semester. This is an especially important factor for 12</w:t>
      </w:r>
      <w:r w:rsidRPr="00B302CC">
        <w:rPr>
          <w:vertAlign w:val="superscript"/>
        </w:rPr>
        <w:t>th</w:t>
      </w:r>
      <w:r>
        <w:t xml:space="preserve"> grade estimates. For instance, at the state level in 2010 there were 48,594 students enrolled in the 10</w:t>
      </w:r>
      <w:r w:rsidRPr="00B302CC">
        <w:rPr>
          <w:vertAlign w:val="superscript"/>
        </w:rPr>
        <w:t>th</w:t>
      </w:r>
      <w:r>
        <w:t xml:space="preserve"> grade, but two years later in 2012 there were only 41,933 students enrolled in the 12</w:t>
      </w:r>
      <w:r w:rsidRPr="00842A00">
        <w:rPr>
          <w:vertAlign w:val="superscript"/>
        </w:rPr>
        <w:t>th</w:t>
      </w:r>
      <w:r>
        <w:t xml:space="preserve"> grade, a 14 percent decline. Studies </w:t>
      </w:r>
      <w:r>
        <w:lastRenderedPageBreak/>
        <w:t xml:space="preserve">have shown that youth who have dropped out are more likely to engage in substance use and other problem behaviors. The national Monitoring </w:t>
      </w:r>
      <w:proofErr w:type="gramStart"/>
      <w:r>
        <w:t>The</w:t>
      </w:r>
      <w:proofErr w:type="gramEnd"/>
      <w:r>
        <w:t xml:space="preserve"> Future (MTF) survey adjusts figures for high school seniors to take account of drop-outs. However, no adjustment is made to CCYS estimates for youth not enrolled in school.</w:t>
      </w:r>
      <w:r w:rsidRPr="00936F7B">
        <w:t xml:space="preserve"> </w:t>
      </w:r>
    </w:p>
    <w:p w:rsidR="000F7581" w:rsidRDefault="000F7581" w:rsidP="000F7581"/>
    <w:p w:rsidR="00C76023" w:rsidRPr="00C76023" w:rsidRDefault="007F14C7" w:rsidP="00C76023">
      <w:r>
        <w:t>Completion rate</w:t>
      </w:r>
      <w:r w:rsidR="00DE3015">
        <w:t>s</w:t>
      </w:r>
      <w:r>
        <w:t xml:space="preserve"> vary widely from parish to parish and i</w:t>
      </w:r>
      <w:r w:rsidR="0002154D" w:rsidRPr="0002154D">
        <w:t xml:space="preserve">nterpretation of CCYS statistics at the parish level is often difficult due to low completion rates, especially in Orleans Parish. </w:t>
      </w:r>
      <w:r w:rsidRPr="0002154D">
        <w:t>The</w:t>
      </w:r>
      <w:r w:rsidR="0002154D" w:rsidRPr="0002154D">
        <w:t xml:space="preserve"> </w:t>
      </w:r>
      <w:r>
        <w:t xml:space="preserve">following </w:t>
      </w:r>
      <w:r w:rsidR="0002154D" w:rsidRPr="0002154D">
        <w:t>strategy for interpretation</w:t>
      </w:r>
      <w:r>
        <w:t xml:space="preserve"> of figures for Greater New Orleans</w:t>
      </w:r>
      <w:r w:rsidR="0002154D" w:rsidRPr="0002154D">
        <w:t xml:space="preserve"> is</w:t>
      </w:r>
      <w:r>
        <w:t xml:space="preserve"> suggested:</w:t>
      </w:r>
      <w:r w:rsidR="0002154D" w:rsidRPr="0002154D">
        <w:t xml:space="preserve"> </w:t>
      </w:r>
      <w:r>
        <w:t xml:space="preserve">First, </w:t>
      </w:r>
      <w:r w:rsidR="0002154D" w:rsidRPr="0002154D">
        <w:t xml:space="preserve">observe statewide levels and trends, then whether the levels and trends appear similar for the Greater New Orleans parishes. Finally, greater weight </w:t>
      </w:r>
      <w:r w:rsidR="00DE3015">
        <w:t>may be</w:t>
      </w:r>
      <w:r w:rsidR="0002154D" w:rsidRPr="0002154D">
        <w:t xml:space="preserve"> given to Jefferson Parish because its completion rates are 2 to 5 times greater than Orleans’ while its adolescent population (ages 12-17) is 30 percent greater than Orleans’ and 15 times greater than Plaquemines’</w:t>
      </w:r>
      <w:r w:rsidR="00C76023" w:rsidRPr="00C76023">
        <w:t xml:space="preserve">. </w:t>
      </w:r>
      <w:r w:rsidR="00C76023">
        <w:rPr>
          <w:i/>
        </w:rPr>
        <w:t>Any e</w:t>
      </w:r>
      <w:r w:rsidR="00C76023" w:rsidRPr="00C76023">
        <w:rPr>
          <w:i/>
        </w:rPr>
        <w:t xml:space="preserve">stimates </w:t>
      </w:r>
      <w:r w:rsidR="00C76023">
        <w:rPr>
          <w:i/>
        </w:rPr>
        <w:t>derived</w:t>
      </w:r>
      <w:r w:rsidR="00C76023" w:rsidRPr="00C76023">
        <w:rPr>
          <w:i/>
        </w:rPr>
        <w:t xml:space="preserve"> for Greater New Orleans</w:t>
      </w:r>
      <w:r w:rsidR="00C76023">
        <w:rPr>
          <w:i/>
        </w:rPr>
        <w:t xml:space="preserve"> based on this strategy</w:t>
      </w:r>
      <w:r w:rsidR="00C76023" w:rsidRPr="00C76023">
        <w:rPr>
          <w:i/>
        </w:rPr>
        <w:t xml:space="preserve"> are approximations useful for planning purposes, but not adequate for tracking change.</w:t>
      </w:r>
    </w:p>
    <w:p w:rsidR="0002154D" w:rsidRPr="0002154D" w:rsidRDefault="0002154D" w:rsidP="0002154D"/>
    <w:p w:rsidR="00DD1E24" w:rsidRDefault="007D36B3" w:rsidP="000F7581">
      <w:r>
        <w:t xml:space="preserve">While the average completion rates statewide </w:t>
      </w:r>
      <w:r w:rsidR="00FF279A">
        <w:t>in a few cases fall below 50 percent and are often below 60 percent, the number of schools participating across the state’s 6</w:t>
      </w:r>
      <w:r w:rsidR="00A017A0">
        <w:t>4</w:t>
      </w:r>
      <w:r w:rsidR="00FF279A">
        <w:t xml:space="preserve"> parishes</w:t>
      </w:r>
      <w:r>
        <w:t xml:space="preserve"> </w:t>
      </w:r>
      <w:r w:rsidR="00290B88">
        <w:t>provide a level of randomness with counter balancing error, and thus more reliable estimates, than can be obtained for a parish or region with similar completion rates.</w:t>
      </w:r>
    </w:p>
    <w:p w:rsidR="000F7581" w:rsidRDefault="000F7581" w:rsidP="000F7581">
      <w:bookmarkStart w:id="0" w:name="_GoBack"/>
      <w:bookmarkEnd w:id="0"/>
    </w:p>
    <w:p w:rsidR="000F7581" w:rsidRPr="000F7581" w:rsidRDefault="000F7581" w:rsidP="000F7581">
      <w:r w:rsidRPr="000F7581">
        <w:rPr>
          <w:b/>
        </w:rPr>
        <w:t>Contact for Further Information</w:t>
      </w:r>
    </w:p>
    <w:p w:rsidR="000F7581" w:rsidRPr="000F7581" w:rsidRDefault="000F7581" w:rsidP="000F7581"/>
    <w:p w:rsidR="00DE3015" w:rsidRDefault="00C11F27" w:rsidP="004F4264">
      <w:hyperlink r:id="rId7" w:history="1">
        <w:r w:rsidR="00764578" w:rsidRPr="000735D3">
          <w:rPr>
            <w:rStyle w:val="Hyperlink"/>
          </w:rPr>
          <w:t>http://picardcenter.louisiana.edu/research-areas/quality-life/caring-communities-youth-survey-ccys</w:t>
        </w:r>
      </w:hyperlink>
      <w:r w:rsidR="00764578">
        <w:t xml:space="preserve"> </w:t>
      </w:r>
    </w:p>
    <w:p w:rsidR="00DE3015" w:rsidRDefault="00DE3015" w:rsidP="004F4264"/>
    <w:p w:rsidR="004F4264" w:rsidRDefault="004F4264" w:rsidP="004F4264"/>
    <w:p w:rsidR="004F4264" w:rsidRPr="007D36B3" w:rsidRDefault="007D36B3" w:rsidP="004F4264">
      <w:pPr>
        <w:rPr>
          <w:sz w:val="20"/>
        </w:rPr>
      </w:pPr>
      <w:r w:rsidRPr="007D36B3">
        <w:rPr>
          <w:sz w:val="20"/>
        </w:rPr>
        <w:t>Editor: Robert J Gallati (</w:t>
      </w:r>
      <w:hyperlink r:id="rId8" w:history="1">
        <w:r w:rsidRPr="007D36B3">
          <w:rPr>
            <w:rStyle w:val="Hyperlink"/>
            <w:sz w:val="20"/>
          </w:rPr>
          <w:t>rjgallati@yahoo.com</w:t>
        </w:r>
      </w:hyperlink>
      <w:r w:rsidRPr="007D36B3">
        <w:rPr>
          <w:sz w:val="20"/>
        </w:rPr>
        <w:t>), u</w:t>
      </w:r>
      <w:r w:rsidR="004F4264" w:rsidRPr="007D36B3">
        <w:rPr>
          <w:sz w:val="20"/>
        </w:rPr>
        <w:t>pdated: 12/2</w:t>
      </w:r>
      <w:r w:rsidR="00FB615F" w:rsidRPr="007D36B3">
        <w:rPr>
          <w:sz w:val="20"/>
        </w:rPr>
        <w:t>3</w:t>
      </w:r>
      <w:r w:rsidR="004F4264" w:rsidRPr="007D36B3">
        <w:rPr>
          <w:sz w:val="20"/>
        </w:rPr>
        <w:t>/2013</w:t>
      </w:r>
      <w:r w:rsidRPr="007D36B3">
        <w:rPr>
          <w:sz w:val="20"/>
        </w:rPr>
        <w:t>.</w:t>
      </w:r>
    </w:p>
    <w:sectPr w:rsidR="004F4264" w:rsidRPr="007D36B3" w:rsidSect="007214C6">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F27" w:rsidRDefault="00C11F27" w:rsidP="001B31CC">
      <w:r>
        <w:separator/>
      </w:r>
    </w:p>
  </w:endnote>
  <w:endnote w:type="continuationSeparator" w:id="0">
    <w:p w:rsidR="00C11F27" w:rsidRDefault="00C11F27"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1CC" w:rsidRPr="00821EA8" w:rsidRDefault="00550B04">
    <w:pPr>
      <w:pStyle w:val="Footer"/>
      <w:rPr>
        <w:noProof/>
        <w:sz w:val="18"/>
        <w:szCs w:val="18"/>
      </w:rPr>
    </w:pPr>
    <w:r w:rsidRPr="0077315D">
      <w:rPr>
        <w:sz w:val="20"/>
      </w:rPr>
      <w:fldChar w:fldCharType="begin"/>
    </w:r>
    <w:r w:rsidRPr="0077315D">
      <w:rPr>
        <w:sz w:val="20"/>
      </w:rPr>
      <w:instrText xml:space="preserve"> FILENAME   \* MERGEFORMAT </w:instrText>
    </w:r>
    <w:r w:rsidRPr="0077315D">
      <w:rPr>
        <w:sz w:val="20"/>
      </w:rPr>
      <w:fldChar w:fldCharType="separate"/>
    </w:r>
    <w:r w:rsidR="0077315D" w:rsidRPr="0077315D">
      <w:rPr>
        <w:noProof/>
        <w:sz w:val="20"/>
      </w:rPr>
      <w:t>2012CCYS-Description+CompletionRates.docx</w:t>
    </w:r>
    <w:r w:rsidRPr="0077315D">
      <w:rPr>
        <w:noProof/>
        <w:sz w:val="20"/>
      </w:rPr>
      <w:fldChar w:fldCharType="end"/>
    </w:r>
    <w:r w:rsidR="001B31CC" w:rsidRPr="0077315D">
      <w:tab/>
    </w:r>
    <w:r w:rsidR="007214C6">
      <w:fldChar w:fldCharType="begin"/>
    </w:r>
    <w:r w:rsidR="001B31CC">
      <w:instrText xml:space="preserve"> PAGE   \* MERGEFORMAT </w:instrText>
    </w:r>
    <w:r w:rsidR="007214C6">
      <w:fldChar w:fldCharType="separate"/>
    </w:r>
    <w:r w:rsidR="0077315D">
      <w:rPr>
        <w:noProof/>
      </w:rPr>
      <w:t>1</w:t>
    </w:r>
    <w:r w:rsidR="007214C6">
      <w:fldChar w:fldCharType="end"/>
    </w:r>
    <w:r w:rsidR="001B31CC">
      <w:t xml:space="preserve"> of </w:t>
    </w:r>
    <w:fldSimple w:instr=" NUMPAGES   \* MERGEFORMAT ">
      <w:r w:rsidR="0077315D">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F27" w:rsidRDefault="00C11F27" w:rsidP="001B31CC">
      <w:r>
        <w:separator/>
      </w:r>
    </w:p>
  </w:footnote>
  <w:footnote w:type="continuationSeparator" w:id="0">
    <w:p w:rsidR="00C11F27" w:rsidRDefault="00C11F27" w:rsidP="001B3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15:restartNumberingAfterBreak="0">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04"/>
    <w:rsid w:val="0002154D"/>
    <w:rsid w:val="000231AC"/>
    <w:rsid w:val="00034184"/>
    <w:rsid w:val="0004249E"/>
    <w:rsid w:val="00047859"/>
    <w:rsid w:val="0005363D"/>
    <w:rsid w:val="000726C0"/>
    <w:rsid w:val="000C092D"/>
    <w:rsid w:val="000D188F"/>
    <w:rsid w:val="000F3280"/>
    <w:rsid w:val="000F7581"/>
    <w:rsid w:val="00112A5B"/>
    <w:rsid w:val="001440D4"/>
    <w:rsid w:val="0015747A"/>
    <w:rsid w:val="001739F2"/>
    <w:rsid w:val="001B31CC"/>
    <w:rsid w:val="001E7474"/>
    <w:rsid w:val="00202AD8"/>
    <w:rsid w:val="00213B5A"/>
    <w:rsid w:val="00226392"/>
    <w:rsid w:val="002315F0"/>
    <w:rsid w:val="002318EB"/>
    <w:rsid w:val="0023742C"/>
    <w:rsid w:val="0024791A"/>
    <w:rsid w:val="002517AA"/>
    <w:rsid w:val="00277A4B"/>
    <w:rsid w:val="002838EF"/>
    <w:rsid w:val="0028675C"/>
    <w:rsid w:val="00290B88"/>
    <w:rsid w:val="002B140C"/>
    <w:rsid w:val="002C5D2D"/>
    <w:rsid w:val="00302423"/>
    <w:rsid w:val="003348D2"/>
    <w:rsid w:val="0036519E"/>
    <w:rsid w:val="00392126"/>
    <w:rsid w:val="0039218D"/>
    <w:rsid w:val="003D7190"/>
    <w:rsid w:val="004A474C"/>
    <w:rsid w:val="004B2E15"/>
    <w:rsid w:val="004D57B2"/>
    <w:rsid w:val="004E7EF2"/>
    <w:rsid w:val="004F4264"/>
    <w:rsid w:val="00546230"/>
    <w:rsid w:val="00550B04"/>
    <w:rsid w:val="00563573"/>
    <w:rsid w:val="005917EF"/>
    <w:rsid w:val="0060239C"/>
    <w:rsid w:val="00650C16"/>
    <w:rsid w:val="00684CF0"/>
    <w:rsid w:val="00693BBB"/>
    <w:rsid w:val="00694BCF"/>
    <w:rsid w:val="0069748D"/>
    <w:rsid w:val="006A65C8"/>
    <w:rsid w:val="006B22A9"/>
    <w:rsid w:val="006B2887"/>
    <w:rsid w:val="006E4BC1"/>
    <w:rsid w:val="007214C6"/>
    <w:rsid w:val="00722A7F"/>
    <w:rsid w:val="007439F1"/>
    <w:rsid w:val="00747889"/>
    <w:rsid w:val="0075355D"/>
    <w:rsid w:val="007619DF"/>
    <w:rsid w:val="00764578"/>
    <w:rsid w:val="0077315D"/>
    <w:rsid w:val="007A023C"/>
    <w:rsid w:val="007D36B3"/>
    <w:rsid w:val="007F14C7"/>
    <w:rsid w:val="008020DA"/>
    <w:rsid w:val="00812E90"/>
    <w:rsid w:val="00821EA8"/>
    <w:rsid w:val="008302C3"/>
    <w:rsid w:val="008324A9"/>
    <w:rsid w:val="00843D1D"/>
    <w:rsid w:val="00862080"/>
    <w:rsid w:val="008D578E"/>
    <w:rsid w:val="008F74AA"/>
    <w:rsid w:val="0094555E"/>
    <w:rsid w:val="00952A84"/>
    <w:rsid w:val="0095649C"/>
    <w:rsid w:val="0096217B"/>
    <w:rsid w:val="00962F2E"/>
    <w:rsid w:val="00975E1E"/>
    <w:rsid w:val="009807F5"/>
    <w:rsid w:val="00985016"/>
    <w:rsid w:val="009C039F"/>
    <w:rsid w:val="009C534C"/>
    <w:rsid w:val="009D1DAB"/>
    <w:rsid w:val="009E292F"/>
    <w:rsid w:val="00A017A0"/>
    <w:rsid w:val="00A02D06"/>
    <w:rsid w:val="00A06288"/>
    <w:rsid w:val="00A37AD2"/>
    <w:rsid w:val="00A4227B"/>
    <w:rsid w:val="00A85D4E"/>
    <w:rsid w:val="00A8644E"/>
    <w:rsid w:val="00AB44E8"/>
    <w:rsid w:val="00AC3FD1"/>
    <w:rsid w:val="00AD6173"/>
    <w:rsid w:val="00AF5A02"/>
    <w:rsid w:val="00B03D3C"/>
    <w:rsid w:val="00B964DB"/>
    <w:rsid w:val="00BB36AD"/>
    <w:rsid w:val="00BC0572"/>
    <w:rsid w:val="00BD41FF"/>
    <w:rsid w:val="00C11F27"/>
    <w:rsid w:val="00C13A65"/>
    <w:rsid w:val="00C17E6A"/>
    <w:rsid w:val="00C26DD8"/>
    <w:rsid w:val="00C33589"/>
    <w:rsid w:val="00C338CA"/>
    <w:rsid w:val="00C42104"/>
    <w:rsid w:val="00C51772"/>
    <w:rsid w:val="00C64A71"/>
    <w:rsid w:val="00C76023"/>
    <w:rsid w:val="00C81ED2"/>
    <w:rsid w:val="00CB19AA"/>
    <w:rsid w:val="00CB6B35"/>
    <w:rsid w:val="00CC58D0"/>
    <w:rsid w:val="00CE7047"/>
    <w:rsid w:val="00CF5D44"/>
    <w:rsid w:val="00D146B2"/>
    <w:rsid w:val="00D62A32"/>
    <w:rsid w:val="00D66870"/>
    <w:rsid w:val="00D86C2B"/>
    <w:rsid w:val="00DC0DE1"/>
    <w:rsid w:val="00DD1E24"/>
    <w:rsid w:val="00DE3015"/>
    <w:rsid w:val="00DF1139"/>
    <w:rsid w:val="00E77285"/>
    <w:rsid w:val="00E81BD9"/>
    <w:rsid w:val="00E82620"/>
    <w:rsid w:val="00E8405F"/>
    <w:rsid w:val="00E95D8C"/>
    <w:rsid w:val="00EA430E"/>
    <w:rsid w:val="00EB2A9A"/>
    <w:rsid w:val="00EB71B1"/>
    <w:rsid w:val="00EC04F1"/>
    <w:rsid w:val="00EC5CFD"/>
    <w:rsid w:val="00EE6935"/>
    <w:rsid w:val="00EF0510"/>
    <w:rsid w:val="00F7602E"/>
    <w:rsid w:val="00F77D5B"/>
    <w:rsid w:val="00F864C0"/>
    <w:rsid w:val="00F94B0C"/>
    <w:rsid w:val="00FA1B45"/>
    <w:rsid w:val="00FA1C4F"/>
    <w:rsid w:val="00FB20B9"/>
    <w:rsid w:val="00FB48D1"/>
    <w:rsid w:val="00FB615F"/>
    <w:rsid w:val="00FE43A9"/>
    <w:rsid w:val="00FF1978"/>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E0FF05-29BB-4D97-9D1C-BF0CF646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gallati@yahoo.com" TargetMode="External"/><Relationship Id="rId3" Type="http://schemas.openxmlformats.org/officeDocument/2006/relationships/settings" Target="settings.xml"/><Relationship Id="rId7" Type="http://schemas.openxmlformats.org/officeDocument/2006/relationships/hyperlink" Target="http://picardcenter.louisiana.edu/research-areas/quality-life/caring-communities-youth-survey-cc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TotalTime>
  <Pages>3</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3</cp:revision>
  <cp:lastPrinted>2013-12-30T18:01:00Z</cp:lastPrinted>
  <dcterms:created xsi:type="dcterms:W3CDTF">2015-06-13T17:07:00Z</dcterms:created>
  <dcterms:modified xsi:type="dcterms:W3CDTF">2015-06-13T17:08:00Z</dcterms:modified>
</cp:coreProperties>
</file>