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BC1" w:rsidRDefault="006E4BC1" w:rsidP="00034184">
      <w:pPr>
        <w:jc w:val="center"/>
        <w:rPr>
          <w:b/>
          <w:sz w:val="28"/>
          <w:szCs w:val="28"/>
        </w:rPr>
      </w:pPr>
    </w:p>
    <w:p w:rsidR="00034184" w:rsidRPr="00C33589" w:rsidRDefault="00283D5D" w:rsidP="00034184">
      <w:pPr>
        <w:jc w:val="center"/>
        <w:rPr>
          <w:b/>
          <w:sz w:val="28"/>
          <w:szCs w:val="28"/>
        </w:rPr>
      </w:pPr>
      <w:r>
        <w:rPr>
          <w:b/>
          <w:sz w:val="28"/>
          <w:szCs w:val="28"/>
        </w:rPr>
        <w:t xml:space="preserve">Perception of Risk </w:t>
      </w:r>
      <w:r w:rsidR="00520F3D">
        <w:rPr>
          <w:b/>
          <w:sz w:val="28"/>
          <w:szCs w:val="28"/>
        </w:rPr>
        <w:t>among</w:t>
      </w:r>
      <w:r>
        <w:rPr>
          <w:b/>
          <w:sz w:val="28"/>
          <w:szCs w:val="28"/>
        </w:rPr>
        <w:t xml:space="preserve"> </w:t>
      </w:r>
      <w:r w:rsidR="00CB08D4">
        <w:rPr>
          <w:b/>
          <w:sz w:val="28"/>
          <w:szCs w:val="28"/>
        </w:rPr>
        <w:t>Middle and High School</w:t>
      </w:r>
      <w:r>
        <w:rPr>
          <w:b/>
          <w:sz w:val="28"/>
          <w:szCs w:val="28"/>
        </w:rPr>
        <w:t xml:space="preserve"> Students</w:t>
      </w:r>
    </w:p>
    <w:p w:rsidR="000F7581" w:rsidRDefault="000F7581" w:rsidP="000F7581"/>
    <w:p w:rsidR="00B01539" w:rsidRPr="00B01539" w:rsidRDefault="00B01539" w:rsidP="00B01539">
      <w:r w:rsidRPr="00B01539">
        <w:t>Shared knowledge and social norms regarding perceptions of risk affect adolescent behaviors. Youths who perceive moderate or great risk for people using substances may abstain, delay, reduce or cease their own substance use behaviors. Thus, as the perception of risk increases, substance use decrease</w:t>
      </w:r>
      <w:r w:rsidR="007A12D3">
        <w:t>s</w:t>
      </w:r>
      <w:r w:rsidRPr="00B01539">
        <w:t>.</w:t>
      </w:r>
      <w:r w:rsidR="007A12D3">
        <w:t xml:space="preserve"> </w:t>
      </w:r>
    </w:p>
    <w:p w:rsidR="00DD1E24" w:rsidRDefault="00DD1E24" w:rsidP="000F7581"/>
    <w:p w:rsidR="00B01539" w:rsidRDefault="00B01539" w:rsidP="00B01539">
      <w:r w:rsidRPr="001A6937">
        <w:t xml:space="preserve">The </w:t>
      </w:r>
      <w:r w:rsidRPr="008B3091">
        <w:rPr>
          <w:i/>
        </w:rPr>
        <w:t>Caring Communities Youth Survey</w:t>
      </w:r>
      <w:r w:rsidRPr="001A6937">
        <w:t xml:space="preserve"> (CCYS)</w:t>
      </w:r>
      <w:r>
        <w:t xml:space="preserve"> </w:t>
      </w:r>
      <w:r w:rsidR="00B42169">
        <w:t xml:space="preserve">includes perception of risk questions for alcohol, </w:t>
      </w:r>
      <w:r w:rsidR="00447048">
        <w:t xml:space="preserve">marijuana and tobacco. The CCYS </w:t>
      </w:r>
      <w:r>
        <w:t>is conducted statewide in November of even numbered calendar years for grades 6, 8, 10 and 12. Statistics are presented for the 8</w:t>
      </w:r>
      <w:r w:rsidRPr="006801C6">
        <w:rPr>
          <w:vertAlign w:val="superscript"/>
        </w:rPr>
        <w:t>th</w:t>
      </w:r>
      <w:r>
        <w:t xml:space="preserve"> grade and the 10</w:t>
      </w:r>
      <w:r w:rsidRPr="006801C6">
        <w:rPr>
          <w:vertAlign w:val="superscript"/>
        </w:rPr>
        <w:t>th</w:t>
      </w:r>
      <w:r>
        <w:t xml:space="preserve"> grade. Eighth grade students are typically 13 years old and substance use and other behaviors by 8</w:t>
      </w:r>
      <w:r w:rsidRPr="00430DC9">
        <w:rPr>
          <w:vertAlign w:val="superscript"/>
        </w:rPr>
        <w:t>th</w:t>
      </w:r>
      <w:r>
        <w:t xml:space="preserve"> graders represent early initiation. The fall semester of the 10</w:t>
      </w:r>
      <w:r w:rsidRPr="00430DC9">
        <w:rPr>
          <w:vertAlign w:val="superscript"/>
        </w:rPr>
        <w:t>th</w:t>
      </w:r>
      <w:r>
        <w:t xml:space="preserve"> grade represents a mid-point for the adolescent ages 12-to-17 while high school drop-out is a relatively small factor for 10</w:t>
      </w:r>
      <w:r w:rsidRPr="00011D83">
        <w:rPr>
          <w:vertAlign w:val="superscript"/>
        </w:rPr>
        <w:t>th</w:t>
      </w:r>
      <w:r>
        <w:t xml:space="preserve"> graders. Thus 10</w:t>
      </w:r>
      <w:r w:rsidRPr="00011D83">
        <w:rPr>
          <w:vertAlign w:val="superscript"/>
        </w:rPr>
        <w:t>th</w:t>
      </w:r>
      <w:r>
        <w:t xml:space="preserve"> graders can approximately represent 12-to-17 year-olds as a whole for many indicators. </w:t>
      </w:r>
      <w:r w:rsidR="008F7EBF" w:rsidRPr="008F7EBF">
        <w:t>Similarly, the 8</w:t>
      </w:r>
      <w:r w:rsidR="008F7EBF" w:rsidRPr="008F7EBF">
        <w:rPr>
          <w:vertAlign w:val="superscript"/>
        </w:rPr>
        <w:t>th</w:t>
      </w:r>
      <w:r w:rsidR="008F7EBF" w:rsidRPr="008F7EBF">
        <w:t xml:space="preserve"> grade can represent the later years of middle school while the 10</w:t>
      </w:r>
      <w:r w:rsidR="008F7EBF" w:rsidRPr="008F7EBF">
        <w:rPr>
          <w:vertAlign w:val="superscript"/>
        </w:rPr>
        <w:t>th</w:t>
      </w:r>
      <w:r w:rsidR="008F7EBF" w:rsidRPr="008F7EBF">
        <w:t xml:space="preserve"> grade represents the early years of high school.</w:t>
      </w:r>
    </w:p>
    <w:p w:rsidR="00B01539" w:rsidRDefault="00B01539" w:rsidP="00B01539"/>
    <w:p w:rsidR="00B01539" w:rsidRPr="00E14B1C" w:rsidRDefault="00B01539" w:rsidP="00B01539">
      <w:r>
        <w:t>Interpretation of CCYS statistics at the parish level is often difficult due to low completion rates, especially in Orleans Parish.</w:t>
      </w:r>
      <w:r>
        <w:rPr>
          <w:rStyle w:val="FootnoteReference"/>
        </w:rPr>
        <w:footnoteReference w:id="1"/>
      </w:r>
      <w:r>
        <w:t xml:space="preserve"> Given these low completion rates, the strategy for interpretation used here is, first, to observe statewide levels and trends, then whether the levels and trends appear similar for the Greater New Orleans parishes. Finally, greater weight is given to Jefferson Parish because its completion rates are 2 to 5 times greater than Orleans’ while its adolescent population (ages 12-17) is 30 percent greater than Orleans’ and 15 times greater than Plaquemines’. </w:t>
      </w:r>
      <w:r w:rsidRPr="00265CD5">
        <w:rPr>
          <w:i/>
        </w:rPr>
        <w:t xml:space="preserve">Estimates provided for Greater New Orleans are approximations useful for planning purposes, but </w:t>
      </w:r>
      <w:r>
        <w:rPr>
          <w:i/>
        </w:rPr>
        <w:t xml:space="preserve">not adequate for tracking change </w:t>
      </w:r>
      <w:r>
        <w:t>and</w:t>
      </w:r>
      <w:r w:rsidRPr="00E14B1C">
        <w:t xml:space="preserve"> are prefaced with</w:t>
      </w:r>
      <w:r w:rsidR="006169A3">
        <w:t xml:space="preserve"> the qualifier,</w:t>
      </w:r>
      <w:r w:rsidRPr="00E14B1C">
        <w:t xml:space="preserve"> “</w:t>
      </w:r>
      <w:r w:rsidRPr="00E14B1C">
        <w:rPr>
          <w:i/>
        </w:rPr>
        <w:t>about</w:t>
      </w:r>
      <w:r w:rsidRPr="00E14B1C">
        <w:t>.”</w:t>
      </w:r>
    </w:p>
    <w:p w:rsidR="00DD1E24" w:rsidRDefault="00DD1E24" w:rsidP="000F7581"/>
    <w:p w:rsidR="00B01539" w:rsidRDefault="00447048" w:rsidP="000F7581">
      <w:r>
        <w:t>The CCYS includes 7 items explicitly asking about perception of risk. The following behaviors were selected for inclusion in the Louisiana Social Indicators</w:t>
      </w:r>
      <w:r w:rsidR="006D4696">
        <w:rPr>
          <w:rStyle w:val="FootnoteReference"/>
        </w:rPr>
        <w:footnoteReference w:id="2"/>
      </w:r>
      <w:r>
        <w:t xml:space="preserve"> online database by the State Epidemiological Workgroup, and are presented in Table 1: </w:t>
      </w:r>
      <w:r w:rsidR="006D4696">
        <w:t xml:space="preserve">“take one or two drinks of an alcoholic beverage (beer, wine, liquor) nearly every day”; “smoke marijuana regularly”; and </w:t>
      </w:r>
      <w:r w:rsidR="00304D7D">
        <w:t>“smoke</w:t>
      </w:r>
      <w:r w:rsidR="006D4696">
        <w:t xml:space="preserve"> one or more packs of cigarettes per day.” The response categories are: no risk, slight risk, moderate risk, and great risk.</w:t>
      </w:r>
      <w:r w:rsidR="006D4696">
        <w:rPr>
          <w:rStyle w:val="FootnoteReference"/>
        </w:rPr>
        <w:footnoteReference w:id="3"/>
      </w:r>
    </w:p>
    <w:p w:rsidR="001A619C" w:rsidRDefault="001A619C" w:rsidP="000F7581"/>
    <w:p w:rsidR="001A619C" w:rsidRPr="00304D7D" w:rsidRDefault="007476B9" w:rsidP="000F7581">
      <w:pPr>
        <w:rPr>
          <w:u w:val="single"/>
        </w:rPr>
      </w:pPr>
      <w:r w:rsidRPr="00304D7D">
        <w:rPr>
          <w:u w:val="single"/>
        </w:rPr>
        <w:t>Perceived Risk in Alcohol Use</w:t>
      </w:r>
    </w:p>
    <w:p w:rsidR="007476B9" w:rsidRDefault="007476B9" w:rsidP="000F7581"/>
    <w:p w:rsidR="007476B9" w:rsidRDefault="007476B9" w:rsidP="000F7581">
      <w:r>
        <w:t xml:space="preserve">Statewide, </w:t>
      </w:r>
      <w:r w:rsidR="006169A3">
        <w:t>65 percent of 8</w:t>
      </w:r>
      <w:r w:rsidR="006169A3" w:rsidRPr="006169A3">
        <w:rPr>
          <w:vertAlign w:val="superscript"/>
        </w:rPr>
        <w:t>th</w:t>
      </w:r>
      <w:r w:rsidR="006169A3">
        <w:t xml:space="preserve"> grade students thought that people put themselves at moderate or great risk by </w:t>
      </w:r>
      <w:r w:rsidR="006169A3" w:rsidRPr="006169A3">
        <w:t>tak</w:t>
      </w:r>
      <w:r w:rsidR="006169A3">
        <w:t>ing</w:t>
      </w:r>
      <w:r w:rsidR="006169A3" w:rsidRPr="006169A3">
        <w:t xml:space="preserve"> one or two drinks of </w:t>
      </w:r>
      <w:r w:rsidR="006169A3" w:rsidRPr="009E3959">
        <w:rPr>
          <w:b/>
        </w:rPr>
        <w:t>alcohol</w:t>
      </w:r>
      <w:r w:rsidR="006169A3" w:rsidRPr="006169A3">
        <w:t xml:space="preserve"> nearly every day</w:t>
      </w:r>
      <w:r w:rsidR="006169A3">
        <w:t xml:space="preserve">, based on the 2012 CCYS </w:t>
      </w:r>
      <w:r w:rsidR="006169A3">
        <w:lastRenderedPageBreak/>
        <w:t>survey. Similarly, among 10</w:t>
      </w:r>
      <w:r w:rsidR="006169A3" w:rsidRPr="006169A3">
        <w:rPr>
          <w:vertAlign w:val="superscript"/>
        </w:rPr>
        <w:t>th</w:t>
      </w:r>
      <w:r w:rsidR="006169A3">
        <w:t xml:space="preserve"> grade students, 65 percent </w:t>
      </w:r>
      <w:r w:rsidR="006169A3" w:rsidRPr="006169A3">
        <w:t>thought that people put themselves at moderate or great risk by taking one or two drinks of alcohol nearly every day</w:t>
      </w:r>
      <w:r w:rsidR="006169A3">
        <w:t>. Perception of risk from daily use of alcohol increased among 8</w:t>
      </w:r>
      <w:r w:rsidR="006169A3" w:rsidRPr="006169A3">
        <w:rPr>
          <w:vertAlign w:val="superscript"/>
        </w:rPr>
        <w:t>th</w:t>
      </w:r>
      <w:r w:rsidR="006169A3">
        <w:t xml:space="preserve"> graders</w:t>
      </w:r>
      <w:r w:rsidR="00B7364F">
        <w:t xml:space="preserve"> from 59 percent in 2008 to 65 percent in 2012, but among 10</w:t>
      </w:r>
      <w:r w:rsidR="00B7364F" w:rsidRPr="00B7364F">
        <w:rPr>
          <w:vertAlign w:val="superscript"/>
        </w:rPr>
        <w:t>th</w:t>
      </w:r>
      <w:r w:rsidR="00B7364F">
        <w:t xml:space="preserve"> grade students there was no apparent change.</w:t>
      </w:r>
    </w:p>
    <w:p w:rsidR="00B7364F" w:rsidRDefault="00B7364F" w:rsidP="000F7581"/>
    <w:p w:rsidR="00B7364F" w:rsidRDefault="00B7364F" w:rsidP="000F7581">
      <w:r>
        <w:t xml:space="preserve">In Greater New Orleans, </w:t>
      </w:r>
      <w:r w:rsidRPr="00B7364F">
        <w:rPr>
          <w:i/>
        </w:rPr>
        <w:t>about</w:t>
      </w:r>
      <w:r>
        <w:t xml:space="preserve"> </w:t>
      </w:r>
      <w:r w:rsidRPr="00B7364F">
        <w:t>65 percent of 8</w:t>
      </w:r>
      <w:r w:rsidRPr="00B7364F">
        <w:rPr>
          <w:vertAlign w:val="superscript"/>
        </w:rPr>
        <w:t>th</w:t>
      </w:r>
      <w:r w:rsidRPr="00B7364F">
        <w:t xml:space="preserve"> grade students thought that people put themselves at moderate or great risk by taking one or two drinks of </w:t>
      </w:r>
      <w:r w:rsidRPr="009E3959">
        <w:rPr>
          <w:b/>
        </w:rPr>
        <w:t>alcohol</w:t>
      </w:r>
      <w:r w:rsidRPr="00B7364F">
        <w:t xml:space="preserve"> nearly every day, based on the 2012 CCYS survey. Among 10</w:t>
      </w:r>
      <w:r w:rsidRPr="00B7364F">
        <w:rPr>
          <w:vertAlign w:val="superscript"/>
        </w:rPr>
        <w:t>th</w:t>
      </w:r>
      <w:r w:rsidRPr="00B7364F">
        <w:t xml:space="preserve"> grade students, </w:t>
      </w:r>
      <w:r w:rsidRPr="00B7364F">
        <w:rPr>
          <w:i/>
        </w:rPr>
        <w:t>about</w:t>
      </w:r>
      <w:r>
        <w:t xml:space="preserve"> </w:t>
      </w:r>
      <w:r w:rsidRPr="00B7364F">
        <w:t>6</w:t>
      </w:r>
      <w:r>
        <w:t>7</w:t>
      </w:r>
      <w:r w:rsidRPr="00B7364F">
        <w:t xml:space="preserve"> percent thought that people put themselves at moderate or great risk by taking one or two drinks of alcohol nearly every day.</w:t>
      </w:r>
      <w:r>
        <w:t xml:space="preserve"> There was no apparent change in perception of risk from daily use of alcohol from 2008 to 2012 among either 8</w:t>
      </w:r>
      <w:r w:rsidRPr="00B7364F">
        <w:rPr>
          <w:vertAlign w:val="superscript"/>
        </w:rPr>
        <w:t>th</w:t>
      </w:r>
      <w:r>
        <w:t xml:space="preserve"> or 10</w:t>
      </w:r>
      <w:r w:rsidR="00304D7D" w:rsidRPr="00304D7D">
        <w:rPr>
          <w:vertAlign w:val="superscript"/>
        </w:rPr>
        <w:t>th</w:t>
      </w:r>
      <w:r w:rsidR="00304D7D">
        <w:t xml:space="preserve"> </w:t>
      </w:r>
      <w:r>
        <w:t>grade students.</w:t>
      </w:r>
    </w:p>
    <w:p w:rsidR="001A619C" w:rsidRDefault="001A619C" w:rsidP="000F7581"/>
    <w:tbl>
      <w:tblPr>
        <w:tblStyle w:val="TableGrid"/>
        <w:tblW w:w="0" w:type="auto"/>
        <w:jc w:val="center"/>
        <w:tblLayout w:type="fixed"/>
        <w:tblCellMar>
          <w:left w:w="72" w:type="dxa"/>
          <w:right w:w="43" w:type="dxa"/>
        </w:tblCellMar>
        <w:tblLook w:val="04A0" w:firstRow="1" w:lastRow="0" w:firstColumn="1" w:lastColumn="0" w:noHBand="0" w:noVBand="1"/>
      </w:tblPr>
      <w:tblGrid>
        <w:gridCol w:w="1188"/>
        <w:gridCol w:w="1170"/>
        <w:gridCol w:w="918"/>
        <w:gridCol w:w="918"/>
        <w:gridCol w:w="918"/>
        <w:gridCol w:w="918"/>
        <w:gridCol w:w="918"/>
        <w:gridCol w:w="918"/>
      </w:tblGrid>
      <w:tr w:rsidR="00B01539" w:rsidRPr="00DA7DD2" w:rsidTr="0042243B">
        <w:trPr>
          <w:cantSplit/>
          <w:trHeight w:val="1034"/>
          <w:jc w:val="center"/>
        </w:trPr>
        <w:tc>
          <w:tcPr>
            <w:tcW w:w="7866" w:type="dxa"/>
            <w:gridSpan w:val="8"/>
            <w:vAlign w:val="center"/>
          </w:tcPr>
          <w:p w:rsidR="00B01539" w:rsidRPr="00DA7DD2" w:rsidRDefault="00B01539" w:rsidP="0042243B">
            <w:pPr>
              <w:jc w:val="center"/>
              <w:rPr>
                <w:b/>
                <w:sz w:val="20"/>
              </w:rPr>
            </w:pPr>
            <w:r w:rsidRPr="00DA7DD2">
              <w:rPr>
                <w:b/>
                <w:sz w:val="20"/>
              </w:rPr>
              <w:t xml:space="preserve">Table 1: Percentage of 8th and 10th Grade Students Who Perceive </w:t>
            </w:r>
          </w:p>
          <w:p w:rsidR="00B01539" w:rsidRPr="00DA7DD2" w:rsidRDefault="00B01539" w:rsidP="0042243B">
            <w:pPr>
              <w:jc w:val="center"/>
              <w:rPr>
                <w:b/>
                <w:sz w:val="20"/>
              </w:rPr>
            </w:pPr>
            <w:r w:rsidRPr="00DA7DD2">
              <w:rPr>
                <w:b/>
                <w:sz w:val="20"/>
              </w:rPr>
              <w:t>Moderate or Great Risk of People Harming Themselves by</w:t>
            </w:r>
          </w:p>
          <w:p w:rsidR="00B01539" w:rsidRPr="00DA7DD2" w:rsidRDefault="00B01539" w:rsidP="0042243B">
            <w:pPr>
              <w:jc w:val="center"/>
              <w:rPr>
                <w:b/>
                <w:sz w:val="20"/>
              </w:rPr>
            </w:pPr>
            <w:r w:rsidRPr="00DA7DD2">
              <w:rPr>
                <w:b/>
                <w:sz w:val="20"/>
              </w:rPr>
              <w:t>Substance Use Behaviors, by Parish, Caring Communities</w:t>
            </w:r>
          </w:p>
          <w:p w:rsidR="00B01539" w:rsidRPr="00DA7DD2" w:rsidRDefault="00B01539" w:rsidP="0042243B">
            <w:pPr>
              <w:jc w:val="center"/>
              <w:rPr>
                <w:b/>
                <w:sz w:val="20"/>
                <w:highlight w:val="yellow"/>
              </w:rPr>
            </w:pPr>
            <w:r w:rsidRPr="00DA7DD2">
              <w:rPr>
                <w:b/>
                <w:sz w:val="20"/>
              </w:rPr>
              <w:t>Youth Survey, 2008, 2010 and 2012</w:t>
            </w:r>
          </w:p>
        </w:tc>
      </w:tr>
      <w:tr w:rsidR="00B01539" w:rsidRPr="00DA7DD2" w:rsidTr="0042243B">
        <w:trPr>
          <w:cantSplit/>
          <w:trHeight w:val="260"/>
          <w:jc w:val="center"/>
        </w:trPr>
        <w:tc>
          <w:tcPr>
            <w:tcW w:w="1188" w:type="dxa"/>
            <w:vMerge w:val="restart"/>
            <w:vAlign w:val="center"/>
          </w:tcPr>
          <w:p w:rsidR="00B01539" w:rsidRPr="00DA7DD2" w:rsidRDefault="00B01539" w:rsidP="0042243B">
            <w:pPr>
              <w:jc w:val="center"/>
              <w:rPr>
                <w:b/>
                <w:sz w:val="20"/>
              </w:rPr>
            </w:pPr>
            <w:r w:rsidRPr="00DA7DD2">
              <w:rPr>
                <w:b/>
                <w:sz w:val="20"/>
              </w:rPr>
              <w:t>Risk</w:t>
            </w:r>
            <w:r w:rsidR="00304D7D">
              <w:rPr>
                <w:b/>
                <w:sz w:val="20"/>
              </w:rPr>
              <w:t>y Behavior</w:t>
            </w:r>
          </w:p>
        </w:tc>
        <w:tc>
          <w:tcPr>
            <w:tcW w:w="1170" w:type="dxa"/>
            <w:vMerge w:val="restart"/>
            <w:vAlign w:val="center"/>
          </w:tcPr>
          <w:p w:rsidR="00B01539" w:rsidRPr="00DA7DD2" w:rsidRDefault="00B01539" w:rsidP="0042243B">
            <w:pPr>
              <w:jc w:val="center"/>
              <w:rPr>
                <w:b/>
                <w:sz w:val="20"/>
              </w:rPr>
            </w:pPr>
            <w:r w:rsidRPr="00DA7DD2">
              <w:rPr>
                <w:b/>
                <w:sz w:val="20"/>
              </w:rPr>
              <w:t>Parish</w:t>
            </w:r>
          </w:p>
        </w:tc>
        <w:tc>
          <w:tcPr>
            <w:tcW w:w="2754" w:type="dxa"/>
            <w:gridSpan w:val="3"/>
            <w:vAlign w:val="center"/>
          </w:tcPr>
          <w:p w:rsidR="00B01539" w:rsidRPr="00DA7DD2" w:rsidRDefault="00B01539" w:rsidP="0042243B">
            <w:pPr>
              <w:jc w:val="center"/>
              <w:rPr>
                <w:b/>
                <w:sz w:val="20"/>
              </w:rPr>
            </w:pPr>
            <w:r w:rsidRPr="00DA7DD2">
              <w:rPr>
                <w:b/>
                <w:sz w:val="20"/>
                <w:highlight w:val="yellow"/>
              </w:rPr>
              <w:t>8</w:t>
            </w:r>
            <w:r w:rsidRPr="00DA7DD2">
              <w:rPr>
                <w:b/>
                <w:sz w:val="20"/>
                <w:highlight w:val="yellow"/>
                <w:vertAlign w:val="superscript"/>
              </w:rPr>
              <w:t>th</w:t>
            </w:r>
            <w:r w:rsidRPr="00DA7DD2">
              <w:rPr>
                <w:b/>
                <w:sz w:val="20"/>
              </w:rPr>
              <w:t xml:space="preserve"> Grade</w:t>
            </w:r>
          </w:p>
        </w:tc>
        <w:tc>
          <w:tcPr>
            <w:tcW w:w="2754" w:type="dxa"/>
            <w:gridSpan w:val="3"/>
          </w:tcPr>
          <w:p w:rsidR="00B01539" w:rsidRPr="00DA7DD2" w:rsidRDefault="00B01539" w:rsidP="0042243B">
            <w:pPr>
              <w:jc w:val="center"/>
              <w:rPr>
                <w:b/>
                <w:sz w:val="20"/>
                <w:highlight w:val="yellow"/>
              </w:rPr>
            </w:pPr>
            <w:r w:rsidRPr="00DA7DD2">
              <w:rPr>
                <w:b/>
                <w:sz w:val="20"/>
                <w:highlight w:val="yellow"/>
              </w:rPr>
              <w:t>10</w:t>
            </w:r>
            <w:r w:rsidRPr="00DA7DD2">
              <w:rPr>
                <w:b/>
                <w:sz w:val="20"/>
                <w:highlight w:val="yellow"/>
                <w:vertAlign w:val="superscript"/>
              </w:rPr>
              <w:t>th</w:t>
            </w:r>
            <w:r w:rsidRPr="00DA7DD2">
              <w:rPr>
                <w:b/>
                <w:sz w:val="20"/>
              </w:rPr>
              <w:t xml:space="preserve"> Grade</w:t>
            </w:r>
          </w:p>
        </w:tc>
      </w:tr>
      <w:tr w:rsidR="00B01539" w:rsidRPr="00DA7DD2" w:rsidTr="0042243B">
        <w:trPr>
          <w:cantSplit/>
          <w:trHeight w:val="296"/>
          <w:jc w:val="center"/>
        </w:trPr>
        <w:tc>
          <w:tcPr>
            <w:tcW w:w="1188" w:type="dxa"/>
            <w:vMerge/>
            <w:vAlign w:val="center"/>
          </w:tcPr>
          <w:p w:rsidR="00B01539" w:rsidRPr="00DA7DD2" w:rsidRDefault="00B01539" w:rsidP="0042243B">
            <w:pPr>
              <w:jc w:val="center"/>
              <w:rPr>
                <w:b/>
                <w:sz w:val="20"/>
              </w:rPr>
            </w:pPr>
          </w:p>
        </w:tc>
        <w:tc>
          <w:tcPr>
            <w:tcW w:w="1170" w:type="dxa"/>
            <w:vMerge/>
            <w:tcBorders>
              <w:bottom w:val="single" w:sz="4" w:space="0" w:color="auto"/>
            </w:tcBorders>
            <w:vAlign w:val="center"/>
          </w:tcPr>
          <w:p w:rsidR="00B01539" w:rsidRPr="00DA7DD2" w:rsidRDefault="00B01539" w:rsidP="0042243B">
            <w:pPr>
              <w:jc w:val="center"/>
              <w:rPr>
                <w:b/>
                <w:sz w:val="20"/>
              </w:rPr>
            </w:pPr>
          </w:p>
        </w:tc>
        <w:tc>
          <w:tcPr>
            <w:tcW w:w="918" w:type="dxa"/>
            <w:tcBorders>
              <w:bottom w:val="single" w:sz="4" w:space="0" w:color="auto"/>
            </w:tcBorders>
            <w:vAlign w:val="center"/>
          </w:tcPr>
          <w:p w:rsidR="00B01539" w:rsidRPr="00DA7DD2" w:rsidRDefault="00B01539" w:rsidP="0042243B">
            <w:pPr>
              <w:jc w:val="center"/>
              <w:rPr>
                <w:b/>
                <w:sz w:val="20"/>
              </w:rPr>
            </w:pPr>
            <w:r w:rsidRPr="00DA7DD2">
              <w:rPr>
                <w:b/>
                <w:sz w:val="20"/>
              </w:rPr>
              <w:t>2008</w:t>
            </w:r>
          </w:p>
        </w:tc>
        <w:tc>
          <w:tcPr>
            <w:tcW w:w="918" w:type="dxa"/>
            <w:tcBorders>
              <w:bottom w:val="single" w:sz="4" w:space="0" w:color="auto"/>
            </w:tcBorders>
            <w:vAlign w:val="center"/>
          </w:tcPr>
          <w:p w:rsidR="00B01539" w:rsidRPr="00DA7DD2" w:rsidRDefault="00B01539" w:rsidP="0042243B">
            <w:pPr>
              <w:jc w:val="center"/>
              <w:rPr>
                <w:b/>
                <w:sz w:val="20"/>
              </w:rPr>
            </w:pPr>
            <w:r w:rsidRPr="00DA7DD2">
              <w:rPr>
                <w:b/>
                <w:sz w:val="20"/>
              </w:rPr>
              <w:t>2010</w:t>
            </w:r>
          </w:p>
        </w:tc>
        <w:tc>
          <w:tcPr>
            <w:tcW w:w="918" w:type="dxa"/>
            <w:tcBorders>
              <w:bottom w:val="single" w:sz="4" w:space="0" w:color="auto"/>
            </w:tcBorders>
            <w:vAlign w:val="center"/>
          </w:tcPr>
          <w:p w:rsidR="00B01539" w:rsidRPr="00DA7DD2" w:rsidRDefault="00B01539" w:rsidP="0042243B">
            <w:pPr>
              <w:jc w:val="center"/>
              <w:rPr>
                <w:b/>
                <w:sz w:val="20"/>
              </w:rPr>
            </w:pPr>
            <w:r w:rsidRPr="00DA7DD2">
              <w:rPr>
                <w:b/>
                <w:sz w:val="20"/>
              </w:rPr>
              <w:t>2012</w:t>
            </w:r>
          </w:p>
        </w:tc>
        <w:tc>
          <w:tcPr>
            <w:tcW w:w="918" w:type="dxa"/>
            <w:tcBorders>
              <w:bottom w:val="single" w:sz="4" w:space="0" w:color="auto"/>
            </w:tcBorders>
            <w:vAlign w:val="center"/>
          </w:tcPr>
          <w:p w:rsidR="00B01539" w:rsidRPr="00DA7DD2" w:rsidRDefault="00B01539" w:rsidP="0042243B">
            <w:pPr>
              <w:jc w:val="center"/>
              <w:rPr>
                <w:b/>
                <w:sz w:val="20"/>
              </w:rPr>
            </w:pPr>
            <w:r w:rsidRPr="00DA7DD2">
              <w:rPr>
                <w:b/>
                <w:sz w:val="20"/>
              </w:rPr>
              <w:t>2008</w:t>
            </w:r>
          </w:p>
        </w:tc>
        <w:tc>
          <w:tcPr>
            <w:tcW w:w="918" w:type="dxa"/>
            <w:tcBorders>
              <w:bottom w:val="single" w:sz="4" w:space="0" w:color="auto"/>
            </w:tcBorders>
            <w:vAlign w:val="center"/>
          </w:tcPr>
          <w:p w:rsidR="00B01539" w:rsidRPr="00DA7DD2" w:rsidRDefault="00B01539" w:rsidP="0042243B">
            <w:pPr>
              <w:jc w:val="center"/>
              <w:rPr>
                <w:b/>
                <w:sz w:val="20"/>
              </w:rPr>
            </w:pPr>
            <w:r w:rsidRPr="00DA7DD2">
              <w:rPr>
                <w:b/>
                <w:sz w:val="20"/>
              </w:rPr>
              <w:t>2010</w:t>
            </w:r>
          </w:p>
        </w:tc>
        <w:tc>
          <w:tcPr>
            <w:tcW w:w="918" w:type="dxa"/>
            <w:tcBorders>
              <w:bottom w:val="single" w:sz="4" w:space="0" w:color="auto"/>
            </w:tcBorders>
            <w:vAlign w:val="center"/>
          </w:tcPr>
          <w:p w:rsidR="00B01539" w:rsidRPr="00DA7DD2" w:rsidRDefault="00B01539" w:rsidP="0042243B">
            <w:pPr>
              <w:jc w:val="center"/>
              <w:rPr>
                <w:b/>
                <w:sz w:val="20"/>
              </w:rPr>
            </w:pPr>
            <w:r w:rsidRPr="00DA7DD2">
              <w:rPr>
                <w:b/>
                <w:sz w:val="20"/>
              </w:rPr>
              <w:t>2012</w:t>
            </w:r>
          </w:p>
        </w:tc>
      </w:tr>
      <w:tr w:rsidR="00B01539" w:rsidRPr="00DA7DD2" w:rsidTr="0042243B">
        <w:trPr>
          <w:cantSplit/>
          <w:jc w:val="center"/>
        </w:trPr>
        <w:tc>
          <w:tcPr>
            <w:tcW w:w="1188" w:type="dxa"/>
            <w:vMerge w:val="restart"/>
            <w:vAlign w:val="center"/>
          </w:tcPr>
          <w:p w:rsidR="00B01539" w:rsidRPr="00DA7DD2" w:rsidRDefault="00B01539" w:rsidP="0042243B">
            <w:pPr>
              <w:rPr>
                <w:sz w:val="20"/>
              </w:rPr>
            </w:pPr>
            <w:r w:rsidRPr="00DA7DD2">
              <w:rPr>
                <w:sz w:val="20"/>
              </w:rPr>
              <w:t xml:space="preserve">Take one or two drinks of </w:t>
            </w:r>
            <w:r w:rsidRPr="00DA7DD2">
              <w:rPr>
                <w:b/>
                <w:sz w:val="20"/>
              </w:rPr>
              <w:t>alcohol</w:t>
            </w:r>
            <w:r w:rsidRPr="00DA7DD2">
              <w:rPr>
                <w:sz w:val="20"/>
              </w:rPr>
              <w:t xml:space="preserve"> nearly every day</w:t>
            </w:r>
          </w:p>
        </w:tc>
        <w:tc>
          <w:tcPr>
            <w:tcW w:w="1170" w:type="dxa"/>
            <w:tcBorders>
              <w:bottom w:val="nil"/>
            </w:tcBorders>
            <w:vAlign w:val="center"/>
          </w:tcPr>
          <w:p w:rsidR="00B01539" w:rsidRPr="00DA7DD2" w:rsidRDefault="00B01539" w:rsidP="0042243B">
            <w:pPr>
              <w:rPr>
                <w:sz w:val="20"/>
              </w:rPr>
            </w:pPr>
            <w:r w:rsidRPr="00DA7DD2">
              <w:rPr>
                <w:sz w:val="20"/>
              </w:rPr>
              <w:t>Orleans</w:t>
            </w:r>
          </w:p>
        </w:tc>
        <w:tc>
          <w:tcPr>
            <w:tcW w:w="918" w:type="dxa"/>
            <w:tcBorders>
              <w:bottom w:val="nil"/>
            </w:tcBorders>
            <w:vAlign w:val="center"/>
          </w:tcPr>
          <w:p w:rsidR="00B01539" w:rsidRPr="00DA7DD2" w:rsidRDefault="00B01539" w:rsidP="0042243B">
            <w:pPr>
              <w:jc w:val="center"/>
              <w:rPr>
                <w:color w:val="000000"/>
                <w:sz w:val="20"/>
              </w:rPr>
            </w:pPr>
            <w:r w:rsidRPr="00DA7DD2">
              <w:rPr>
                <w:color w:val="000000"/>
                <w:sz w:val="20"/>
              </w:rPr>
              <w:t>59.8</w:t>
            </w:r>
            <w:r>
              <w:rPr>
                <w:color w:val="000000"/>
                <w:sz w:val="20"/>
              </w:rPr>
              <w:t>#</w:t>
            </w:r>
          </w:p>
        </w:tc>
        <w:tc>
          <w:tcPr>
            <w:tcW w:w="918" w:type="dxa"/>
            <w:tcBorders>
              <w:bottom w:val="nil"/>
            </w:tcBorders>
            <w:vAlign w:val="center"/>
          </w:tcPr>
          <w:p w:rsidR="00B01539" w:rsidRPr="00DA7DD2" w:rsidRDefault="00B01539" w:rsidP="0042243B">
            <w:pPr>
              <w:jc w:val="center"/>
              <w:rPr>
                <w:color w:val="000000"/>
                <w:sz w:val="20"/>
              </w:rPr>
            </w:pPr>
            <w:r w:rsidRPr="00DA7DD2">
              <w:rPr>
                <w:color w:val="000000"/>
                <w:sz w:val="20"/>
              </w:rPr>
              <w:t>70.4</w:t>
            </w:r>
            <w:r w:rsidRPr="0057014D">
              <w:rPr>
                <w:color w:val="000000"/>
                <w:sz w:val="20"/>
              </w:rPr>
              <w:t>#</w:t>
            </w:r>
          </w:p>
        </w:tc>
        <w:tc>
          <w:tcPr>
            <w:tcW w:w="918" w:type="dxa"/>
            <w:tcBorders>
              <w:bottom w:val="nil"/>
            </w:tcBorders>
            <w:vAlign w:val="center"/>
          </w:tcPr>
          <w:p w:rsidR="00B01539" w:rsidRPr="00DA7DD2" w:rsidRDefault="00B01539" w:rsidP="0042243B">
            <w:pPr>
              <w:jc w:val="center"/>
              <w:rPr>
                <w:color w:val="000000"/>
                <w:sz w:val="20"/>
              </w:rPr>
            </w:pPr>
            <w:r w:rsidRPr="00DA7DD2">
              <w:rPr>
                <w:color w:val="000000"/>
                <w:sz w:val="20"/>
              </w:rPr>
              <w:t>72.2</w:t>
            </w:r>
            <w:r w:rsidRPr="0057014D">
              <w:rPr>
                <w:color w:val="000000"/>
                <w:sz w:val="20"/>
              </w:rPr>
              <w:t>#</w:t>
            </w:r>
          </w:p>
        </w:tc>
        <w:tc>
          <w:tcPr>
            <w:tcW w:w="918" w:type="dxa"/>
            <w:tcBorders>
              <w:bottom w:val="nil"/>
            </w:tcBorders>
            <w:vAlign w:val="center"/>
          </w:tcPr>
          <w:p w:rsidR="00B01539" w:rsidRPr="00DA7DD2" w:rsidRDefault="00B01539" w:rsidP="0042243B">
            <w:pPr>
              <w:jc w:val="center"/>
              <w:rPr>
                <w:color w:val="000000"/>
                <w:sz w:val="20"/>
              </w:rPr>
            </w:pPr>
            <w:r w:rsidRPr="00DA7DD2">
              <w:rPr>
                <w:color w:val="000000"/>
                <w:sz w:val="20"/>
              </w:rPr>
              <w:t>72.0</w:t>
            </w:r>
            <w:r w:rsidRPr="0057014D">
              <w:rPr>
                <w:color w:val="000000"/>
                <w:sz w:val="20"/>
              </w:rPr>
              <w:t>#</w:t>
            </w:r>
          </w:p>
        </w:tc>
        <w:tc>
          <w:tcPr>
            <w:tcW w:w="918" w:type="dxa"/>
            <w:tcBorders>
              <w:bottom w:val="nil"/>
            </w:tcBorders>
            <w:vAlign w:val="center"/>
          </w:tcPr>
          <w:p w:rsidR="00B01539" w:rsidRPr="00DA7DD2" w:rsidRDefault="00B01539" w:rsidP="0042243B">
            <w:pPr>
              <w:jc w:val="center"/>
              <w:rPr>
                <w:color w:val="000000"/>
                <w:sz w:val="20"/>
              </w:rPr>
            </w:pPr>
            <w:r w:rsidRPr="00DA7DD2">
              <w:rPr>
                <w:color w:val="000000"/>
                <w:sz w:val="20"/>
              </w:rPr>
              <w:t>68.4</w:t>
            </w:r>
            <w:r w:rsidRPr="0057014D">
              <w:rPr>
                <w:color w:val="000000"/>
                <w:sz w:val="20"/>
              </w:rPr>
              <w:t>#</w:t>
            </w:r>
          </w:p>
        </w:tc>
        <w:tc>
          <w:tcPr>
            <w:tcW w:w="918" w:type="dxa"/>
            <w:tcBorders>
              <w:bottom w:val="nil"/>
            </w:tcBorders>
            <w:vAlign w:val="center"/>
          </w:tcPr>
          <w:p w:rsidR="00B01539" w:rsidRPr="00DA7DD2" w:rsidRDefault="00B01539" w:rsidP="0042243B">
            <w:pPr>
              <w:jc w:val="center"/>
              <w:rPr>
                <w:color w:val="000000"/>
                <w:sz w:val="20"/>
              </w:rPr>
            </w:pPr>
            <w:r w:rsidRPr="00DA7DD2">
              <w:rPr>
                <w:color w:val="000000"/>
                <w:sz w:val="20"/>
              </w:rPr>
              <w:t>66.9</w:t>
            </w:r>
            <w:r w:rsidRPr="0057014D">
              <w:rPr>
                <w:color w:val="000000"/>
                <w:sz w:val="20"/>
              </w:rPr>
              <w:t>#</w:t>
            </w:r>
          </w:p>
        </w:tc>
      </w:tr>
      <w:tr w:rsidR="00B01539" w:rsidRPr="00DA7DD2" w:rsidTr="0042243B">
        <w:trPr>
          <w:cantSplit/>
          <w:jc w:val="center"/>
        </w:trPr>
        <w:tc>
          <w:tcPr>
            <w:tcW w:w="1188" w:type="dxa"/>
            <w:vMerge/>
            <w:vAlign w:val="center"/>
          </w:tcPr>
          <w:p w:rsidR="00B01539" w:rsidRPr="00DA7DD2" w:rsidRDefault="00B01539" w:rsidP="0042243B">
            <w:pPr>
              <w:ind w:left="270"/>
              <w:rPr>
                <w:sz w:val="20"/>
              </w:rPr>
            </w:pPr>
          </w:p>
        </w:tc>
        <w:tc>
          <w:tcPr>
            <w:tcW w:w="1170" w:type="dxa"/>
            <w:tcBorders>
              <w:top w:val="nil"/>
              <w:bottom w:val="nil"/>
            </w:tcBorders>
            <w:vAlign w:val="center"/>
          </w:tcPr>
          <w:p w:rsidR="00B01539" w:rsidRPr="00DA7DD2" w:rsidRDefault="00B01539" w:rsidP="0042243B">
            <w:pPr>
              <w:rPr>
                <w:sz w:val="20"/>
              </w:rPr>
            </w:pPr>
            <w:r w:rsidRPr="00DA7DD2">
              <w:rPr>
                <w:sz w:val="20"/>
              </w:rPr>
              <w:t>Jefferson</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61.2</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59.9</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63.4</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65.5</w:t>
            </w:r>
            <w:r>
              <w:rPr>
                <w:color w:val="000000"/>
                <w:sz w:val="20"/>
              </w:rPr>
              <w:t>*</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68.5</w:t>
            </w:r>
            <w:r>
              <w:rPr>
                <w:color w:val="000000"/>
                <w:sz w:val="20"/>
              </w:rPr>
              <w:t>*</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67.3</w:t>
            </w:r>
            <w:r>
              <w:rPr>
                <w:color w:val="000000"/>
                <w:sz w:val="20"/>
              </w:rPr>
              <w:t>*</w:t>
            </w:r>
          </w:p>
        </w:tc>
      </w:tr>
      <w:tr w:rsidR="00B01539" w:rsidRPr="00DA7DD2" w:rsidTr="0042243B">
        <w:trPr>
          <w:cantSplit/>
          <w:jc w:val="center"/>
        </w:trPr>
        <w:tc>
          <w:tcPr>
            <w:tcW w:w="1188" w:type="dxa"/>
            <w:vMerge/>
            <w:vAlign w:val="center"/>
          </w:tcPr>
          <w:p w:rsidR="00B01539" w:rsidRPr="00DA7DD2" w:rsidRDefault="00B01539" w:rsidP="0042243B">
            <w:pPr>
              <w:ind w:left="270"/>
              <w:rPr>
                <w:sz w:val="20"/>
              </w:rPr>
            </w:pPr>
          </w:p>
        </w:tc>
        <w:tc>
          <w:tcPr>
            <w:tcW w:w="1170" w:type="dxa"/>
            <w:tcBorders>
              <w:top w:val="nil"/>
              <w:bottom w:val="nil"/>
            </w:tcBorders>
            <w:vAlign w:val="center"/>
          </w:tcPr>
          <w:p w:rsidR="00B01539" w:rsidRPr="00DA7DD2" w:rsidRDefault="00B01539" w:rsidP="0042243B">
            <w:pPr>
              <w:rPr>
                <w:sz w:val="20"/>
              </w:rPr>
            </w:pPr>
            <w:r w:rsidRPr="00DA7DD2">
              <w:rPr>
                <w:sz w:val="20"/>
              </w:rPr>
              <w:t>Plaquemines</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60.1</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65.6</w:t>
            </w:r>
            <w:r w:rsidRPr="0057014D">
              <w:rPr>
                <w:color w:val="000000"/>
                <w:sz w:val="20"/>
              </w:rPr>
              <w:t>*</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69.0</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59.2</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60.3</w:t>
            </w:r>
            <w:r w:rsidRPr="0057014D">
              <w:rPr>
                <w:color w:val="000000"/>
                <w:sz w:val="20"/>
              </w:rPr>
              <w:t>*</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57.6</w:t>
            </w:r>
          </w:p>
        </w:tc>
      </w:tr>
      <w:tr w:rsidR="00B01539" w:rsidRPr="00DA7DD2" w:rsidTr="0042243B">
        <w:trPr>
          <w:cantSplit/>
          <w:jc w:val="center"/>
        </w:trPr>
        <w:tc>
          <w:tcPr>
            <w:tcW w:w="1188" w:type="dxa"/>
            <w:vMerge/>
            <w:vAlign w:val="center"/>
          </w:tcPr>
          <w:p w:rsidR="00B01539" w:rsidRPr="00DA7DD2" w:rsidRDefault="00B01539" w:rsidP="0042243B">
            <w:pPr>
              <w:ind w:left="270"/>
              <w:rPr>
                <w:sz w:val="20"/>
              </w:rPr>
            </w:pPr>
          </w:p>
        </w:tc>
        <w:tc>
          <w:tcPr>
            <w:tcW w:w="1170" w:type="dxa"/>
            <w:tcBorders>
              <w:top w:val="nil"/>
              <w:bottom w:val="nil"/>
            </w:tcBorders>
            <w:vAlign w:val="center"/>
          </w:tcPr>
          <w:p w:rsidR="00B01539" w:rsidRPr="00DA7DD2" w:rsidRDefault="00B01539" w:rsidP="0042243B">
            <w:pPr>
              <w:rPr>
                <w:sz w:val="20"/>
              </w:rPr>
            </w:pPr>
            <w:r w:rsidRPr="00DA7DD2">
              <w:rPr>
                <w:sz w:val="20"/>
              </w:rPr>
              <w:t>St. Bernard</w:t>
            </w:r>
          </w:p>
        </w:tc>
        <w:tc>
          <w:tcPr>
            <w:tcW w:w="918" w:type="dxa"/>
            <w:tcBorders>
              <w:top w:val="nil"/>
              <w:bottom w:val="nil"/>
            </w:tcBorders>
            <w:vAlign w:val="center"/>
          </w:tcPr>
          <w:p w:rsidR="00B01539" w:rsidRPr="00DA7DD2" w:rsidRDefault="00B01539" w:rsidP="0042243B">
            <w:pPr>
              <w:jc w:val="center"/>
              <w:rPr>
                <w:sz w:val="20"/>
              </w:rPr>
            </w:pPr>
            <w:r w:rsidRPr="00DA7DD2">
              <w:rPr>
                <w:sz w:val="20"/>
              </w:rPr>
              <w:t>--</w:t>
            </w:r>
          </w:p>
        </w:tc>
        <w:tc>
          <w:tcPr>
            <w:tcW w:w="918" w:type="dxa"/>
            <w:tcBorders>
              <w:top w:val="nil"/>
              <w:bottom w:val="nil"/>
            </w:tcBorders>
            <w:vAlign w:val="center"/>
          </w:tcPr>
          <w:p w:rsidR="00B01539" w:rsidRPr="00DA7DD2" w:rsidRDefault="00B01539" w:rsidP="0042243B">
            <w:pPr>
              <w:jc w:val="center"/>
              <w:rPr>
                <w:sz w:val="20"/>
              </w:rPr>
            </w:pPr>
            <w:r w:rsidRPr="00DA7DD2">
              <w:rPr>
                <w:sz w:val="20"/>
              </w:rPr>
              <w:t>--</w:t>
            </w:r>
          </w:p>
        </w:tc>
        <w:tc>
          <w:tcPr>
            <w:tcW w:w="918" w:type="dxa"/>
            <w:tcBorders>
              <w:top w:val="nil"/>
              <w:bottom w:val="nil"/>
            </w:tcBorders>
            <w:vAlign w:val="center"/>
          </w:tcPr>
          <w:p w:rsidR="00B01539" w:rsidRPr="00DA7DD2" w:rsidRDefault="00B01539" w:rsidP="0042243B">
            <w:pPr>
              <w:jc w:val="center"/>
              <w:rPr>
                <w:sz w:val="20"/>
              </w:rPr>
            </w:pPr>
            <w:r w:rsidRPr="00DA7DD2">
              <w:rPr>
                <w:sz w:val="20"/>
              </w:rPr>
              <w:t>--</w:t>
            </w:r>
          </w:p>
        </w:tc>
        <w:tc>
          <w:tcPr>
            <w:tcW w:w="918" w:type="dxa"/>
            <w:tcBorders>
              <w:top w:val="nil"/>
              <w:bottom w:val="nil"/>
            </w:tcBorders>
            <w:vAlign w:val="center"/>
          </w:tcPr>
          <w:p w:rsidR="00B01539" w:rsidRPr="00DA7DD2" w:rsidRDefault="00B01539" w:rsidP="0042243B">
            <w:pPr>
              <w:jc w:val="center"/>
              <w:rPr>
                <w:sz w:val="20"/>
              </w:rPr>
            </w:pPr>
            <w:r w:rsidRPr="00DA7DD2">
              <w:rPr>
                <w:sz w:val="20"/>
              </w:rPr>
              <w:t>--</w:t>
            </w:r>
          </w:p>
        </w:tc>
        <w:tc>
          <w:tcPr>
            <w:tcW w:w="918" w:type="dxa"/>
            <w:tcBorders>
              <w:top w:val="nil"/>
              <w:bottom w:val="nil"/>
            </w:tcBorders>
            <w:vAlign w:val="center"/>
          </w:tcPr>
          <w:p w:rsidR="00B01539" w:rsidRPr="00DA7DD2" w:rsidRDefault="00B01539" w:rsidP="0042243B">
            <w:pPr>
              <w:jc w:val="center"/>
              <w:rPr>
                <w:sz w:val="20"/>
              </w:rPr>
            </w:pPr>
            <w:r w:rsidRPr="00DA7DD2">
              <w:rPr>
                <w:sz w:val="20"/>
              </w:rPr>
              <w:t>--</w:t>
            </w:r>
          </w:p>
        </w:tc>
        <w:tc>
          <w:tcPr>
            <w:tcW w:w="918" w:type="dxa"/>
            <w:tcBorders>
              <w:top w:val="nil"/>
              <w:bottom w:val="nil"/>
            </w:tcBorders>
            <w:vAlign w:val="center"/>
          </w:tcPr>
          <w:p w:rsidR="00B01539" w:rsidRPr="00DA7DD2" w:rsidRDefault="00B01539" w:rsidP="0042243B">
            <w:pPr>
              <w:jc w:val="center"/>
              <w:rPr>
                <w:sz w:val="20"/>
              </w:rPr>
            </w:pPr>
            <w:r w:rsidRPr="00DA7DD2">
              <w:rPr>
                <w:sz w:val="20"/>
              </w:rPr>
              <w:t>--</w:t>
            </w:r>
          </w:p>
        </w:tc>
      </w:tr>
      <w:tr w:rsidR="00B01539" w:rsidRPr="00DA7DD2" w:rsidTr="0042243B">
        <w:trPr>
          <w:cantSplit/>
          <w:jc w:val="center"/>
        </w:trPr>
        <w:tc>
          <w:tcPr>
            <w:tcW w:w="1188" w:type="dxa"/>
            <w:vMerge/>
            <w:vAlign w:val="center"/>
          </w:tcPr>
          <w:p w:rsidR="00B01539" w:rsidRPr="00DA7DD2" w:rsidRDefault="00B01539" w:rsidP="0042243B">
            <w:pPr>
              <w:ind w:left="270"/>
              <w:rPr>
                <w:sz w:val="20"/>
              </w:rPr>
            </w:pPr>
          </w:p>
        </w:tc>
        <w:tc>
          <w:tcPr>
            <w:tcW w:w="1170" w:type="dxa"/>
            <w:tcBorders>
              <w:top w:val="nil"/>
              <w:bottom w:val="single" w:sz="4" w:space="0" w:color="auto"/>
            </w:tcBorders>
            <w:vAlign w:val="center"/>
          </w:tcPr>
          <w:p w:rsidR="00B01539" w:rsidRPr="00DA7DD2" w:rsidRDefault="00B01539" w:rsidP="0042243B">
            <w:pPr>
              <w:rPr>
                <w:sz w:val="20"/>
              </w:rPr>
            </w:pPr>
            <w:r w:rsidRPr="00DA7DD2">
              <w:rPr>
                <w:sz w:val="20"/>
              </w:rPr>
              <w:t>Statewide</w:t>
            </w:r>
          </w:p>
        </w:tc>
        <w:tc>
          <w:tcPr>
            <w:tcW w:w="918" w:type="dxa"/>
            <w:tcBorders>
              <w:top w:val="nil"/>
              <w:bottom w:val="single" w:sz="4" w:space="0" w:color="auto"/>
            </w:tcBorders>
            <w:vAlign w:val="center"/>
          </w:tcPr>
          <w:p w:rsidR="00B01539" w:rsidRPr="00DA7DD2" w:rsidRDefault="00B01539" w:rsidP="0042243B">
            <w:pPr>
              <w:jc w:val="center"/>
              <w:rPr>
                <w:color w:val="000000"/>
                <w:sz w:val="20"/>
              </w:rPr>
            </w:pPr>
            <w:r w:rsidRPr="00DA7DD2">
              <w:rPr>
                <w:color w:val="000000"/>
                <w:sz w:val="20"/>
              </w:rPr>
              <w:t>58.8</w:t>
            </w:r>
          </w:p>
        </w:tc>
        <w:tc>
          <w:tcPr>
            <w:tcW w:w="918" w:type="dxa"/>
            <w:tcBorders>
              <w:top w:val="nil"/>
              <w:bottom w:val="single" w:sz="4" w:space="0" w:color="auto"/>
            </w:tcBorders>
            <w:vAlign w:val="center"/>
          </w:tcPr>
          <w:p w:rsidR="00B01539" w:rsidRPr="00DA7DD2" w:rsidRDefault="00B01539" w:rsidP="0042243B">
            <w:pPr>
              <w:jc w:val="center"/>
              <w:rPr>
                <w:color w:val="000000"/>
                <w:sz w:val="20"/>
              </w:rPr>
            </w:pPr>
            <w:r w:rsidRPr="00DA7DD2">
              <w:rPr>
                <w:color w:val="000000"/>
                <w:sz w:val="20"/>
              </w:rPr>
              <w:t>60.7</w:t>
            </w:r>
          </w:p>
        </w:tc>
        <w:tc>
          <w:tcPr>
            <w:tcW w:w="918" w:type="dxa"/>
            <w:tcBorders>
              <w:top w:val="nil"/>
              <w:bottom w:val="single" w:sz="4" w:space="0" w:color="auto"/>
            </w:tcBorders>
            <w:vAlign w:val="center"/>
          </w:tcPr>
          <w:p w:rsidR="00B01539" w:rsidRPr="00DA7DD2" w:rsidRDefault="00B01539" w:rsidP="0042243B">
            <w:pPr>
              <w:jc w:val="center"/>
              <w:rPr>
                <w:color w:val="000000"/>
                <w:sz w:val="20"/>
              </w:rPr>
            </w:pPr>
            <w:r w:rsidRPr="00DA7DD2">
              <w:rPr>
                <w:color w:val="000000"/>
                <w:sz w:val="20"/>
              </w:rPr>
              <w:t>64.8</w:t>
            </w:r>
          </w:p>
        </w:tc>
        <w:tc>
          <w:tcPr>
            <w:tcW w:w="918" w:type="dxa"/>
            <w:tcBorders>
              <w:top w:val="nil"/>
              <w:bottom w:val="single" w:sz="4" w:space="0" w:color="auto"/>
            </w:tcBorders>
            <w:vAlign w:val="center"/>
          </w:tcPr>
          <w:p w:rsidR="00B01539" w:rsidRPr="00DA7DD2" w:rsidRDefault="00B01539" w:rsidP="0042243B">
            <w:pPr>
              <w:jc w:val="center"/>
              <w:rPr>
                <w:color w:val="000000"/>
                <w:sz w:val="20"/>
              </w:rPr>
            </w:pPr>
            <w:r w:rsidRPr="00DA7DD2">
              <w:rPr>
                <w:color w:val="000000"/>
                <w:sz w:val="20"/>
              </w:rPr>
              <w:t>63.5</w:t>
            </w:r>
          </w:p>
        </w:tc>
        <w:tc>
          <w:tcPr>
            <w:tcW w:w="918" w:type="dxa"/>
            <w:tcBorders>
              <w:top w:val="nil"/>
              <w:bottom w:val="single" w:sz="4" w:space="0" w:color="auto"/>
            </w:tcBorders>
            <w:vAlign w:val="center"/>
          </w:tcPr>
          <w:p w:rsidR="00B01539" w:rsidRPr="00DA7DD2" w:rsidRDefault="00B01539" w:rsidP="0042243B">
            <w:pPr>
              <w:jc w:val="center"/>
              <w:rPr>
                <w:color w:val="000000"/>
                <w:sz w:val="20"/>
              </w:rPr>
            </w:pPr>
            <w:r w:rsidRPr="00DA7DD2">
              <w:rPr>
                <w:color w:val="000000"/>
                <w:sz w:val="20"/>
              </w:rPr>
              <w:t>64.7</w:t>
            </w:r>
            <w:r w:rsidRPr="0057014D">
              <w:rPr>
                <w:color w:val="000000"/>
                <w:sz w:val="20"/>
              </w:rPr>
              <w:t>*</w:t>
            </w:r>
          </w:p>
        </w:tc>
        <w:tc>
          <w:tcPr>
            <w:tcW w:w="918" w:type="dxa"/>
            <w:tcBorders>
              <w:top w:val="nil"/>
              <w:bottom w:val="single" w:sz="4" w:space="0" w:color="auto"/>
            </w:tcBorders>
            <w:vAlign w:val="center"/>
          </w:tcPr>
          <w:p w:rsidR="00B01539" w:rsidRPr="00DA7DD2" w:rsidRDefault="00B01539" w:rsidP="0042243B">
            <w:pPr>
              <w:jc w:val="center"/>
              <w:rPr>
                <w:color w:val="000000"/>
                <w:sz w:val="20"/>
              </w:rPr>
            </w:pPr>
            <w:r w:rsidRPr="00DA7DD2">
              <w:rPr>
                <w:color w:val="000000"/>
                <w:sz w:val="20"/>
              </w:rPr>
              <w:t>64.9</w:t>
            </w:r>
          </w:p>
        </w:tc>
      </w:tr>
      <w:tr w:rsidR="00B01539" w:rsidRPr="00DA7DD2" w:rsidTr="0042243B">
        <w:trPr>
          <w:cantSplit/>
          <w:jc w:val="center"/>
        </w:trPr>
        <w:tc>
          <w:tcPr>
            <w:tcW w:w="1188" w:type="dxa"/>
            <w:vMerge w:val="restart"/>
            <w:vAlign w:val="center"/>
          </w:tcPr>
          <w:p w:rsidR="00B01539" w:rsidRPr="00DA7DD2" w:rsidRDefault="00304D7D" w:rsidP="0042243B">
            <w:pPr>
              <w:rPr>
                <w:sz w:val="20"/>
              </w:rPr>
            </w:pPr>
            <w:r>
              <w:rPr>
                <w:sz w:val="20"/>
              </w:rPr>
              <w:t>Smoke</w:t>
            </w:r>
            <w:r w:rsidR="00B01539" w:rsidRPr="00DA7DD2">
              <w:rPr>
                <w:sz w:val="20"/>
              </w:rPr>
              <w:t xml:space="preserve"> </w:t>
            </w:r>
            <w:r w:rsidR="00B01539" w:rsidRPr="00DA7DD2">
              <w:rPr>
                <w:b/>
                <w:sz w:val="20"/>
              </w:rPr>
              <w:t>marijuana</w:t>
            </w:r>
            <w:r w:rsidR="00B01539" w:rsidRPr="00DA7DD2">
              <w:rPr>
                <w:sz w:val="20"/>
              </w:rPr>
              <w:t xml:space="preserve"> regularly</w:t>
            </w:r>
          </w:p>
        </w:tc>
        <w:tc>
          <w:tcPr>
            <w:tcW w:w="1170" w:type="dxa"/>
            <w:tcBorders>
              <w:bottom w:val="nil"/>
            </w:tcBorders>
            <w:vAlign w:val="center"/>
          </w:tcPr>
          <w:p w:rsidR="00B01539" w:rsidRPr="00DA7DD2" w:rsidRDefault="00B01539" w:rsidP="0042243B">
            <w:pPr>
              <w:rPr>
                <w:sz w:val="20"/>
              </w:rPr>
            </w:pPr>
            <w:r w:rsidRPr="00DA7DD2">
              <w:rPr>
                <w:sz w:val="20"/>
              </w:rPr>
              <w:t>Orleans</w:t>
            </w:r>
          </w:p>
        </w:tc>
        <w:tc>
          <w:tcPr>
            <w:tcW w:w="918" w:type="dxa"/>
            <w:tcBorders>
              <w:bottom w:val="nil"/>
            </w:tcBorders>
            <w:vAlign w:val="center"/>
          </w:tcPr>
          <w:p w:rsidR="00B01539" w:rsidRPr="00DA7DD2" w:rsidRDefault="00B01539" w:rsidP="0042243B">
            <w:pPr>
              <w:jc w:val="center"/>
              <w:rPr>
                <w:sz w:val="20"/>
              </w:rPr>
            </w:pPr>
            <w:r w:rsidRPr="00DA7DD2">
              <w:rPr>
                <w:sz w:val="20"/>
              </w:rPr>
              <w:t>75.8</w:t>
            </w:r>
            <w:r w:rsidRPr="0057014D">
              <w:rPr>
                <w:sz w:val="20"/>
              </w:rPr>
              <w:t>#</w:t>
            </w:r>
          </w:p>
        </w:tc>
        <w:tc>
          <w:tcPr>
            <w:tcW w:w="918" w:type="dxa"/>
            <w:tcBorders>
              <w:bottom w:val="nil"/>
            </w:tcBorders>
            <w:vAlign w:val="center"/>
          </w:tcPr>
          <w:p w:rsidR="00B01539" w:rsidRPr="00DA7DD2" w:rsidRDefault="00B01539" w:rsidP="0042243B">
            <w:pPr>
              <w:jc w:val="center"/>
              <w:rPr>
                <w:sz w:val="20"/>
              </w:rPr>
            </w:pPr>
            <w:r w:rsidRPr="00DA7DD2">
              <w:rPr>
                <w:sz w:val="20"/>
              </w:rPr>
              <w:t>81.5</w:t>
            </w:r>
            <w:r w:rsidRPr="0057014D">
              <w:rPr>
                <w:sz w:val="20"/>
              </w:rPr>
              <w:t>#</w:t>
            </w:r>
          </w:p>
        </w:tc>
        <w:tc>
          <w:tcPr>
            <w:tcW w:w="918" w:type="dxa"/>
            <w:tcBorders>
              <w:bottom w:val="nil"/>
            </w:tcBorders>
            <w:vAlign w:val="center"/>
          </w:tcPr>
          <w:p w:rsidR="00B01539" w:rsidRPr="00DA7DD2" w:rsidRDefault="00B01539" w:rsidP="0042243B">
            <w:pPr>
              <w:jc w:val="center"/>
              <w:rPr>
                <w:sz w:val="20"/>
              </w:rPr>
            </w:pPr>
            <w:r w:rsidRPr="00DA7DD2">
              <w:rPr>
                <w:sz w:val="20"/>
              </w:rPr>
              <w:t>71.9</w:t>
            </w:r>
            <w:r w:rsidRPr="0057014D">
              <w:rPr>
                <w:sz w:val="20"/>
              </w:rPr>
              <w:t>#</w:t>
            </w:r>
          </w:p>
        </w:tc>
        <w:tc>
          <w:tcPr>
            <w:tcW w:w="918" w:type="dxa"/>
            <w:tcBorders>
              <w:bottom w:val="nil"/>
            </w:tcBorders>
            <w:vAlign w:val="center"/>
          </w:tcPr>
          <w:p w:rsidR="00B01539" w:rsidRPr="00DA7DD2" w:rsidRDefault="00B01539" w:rsidP="0042243B">
            <w:pPr>
              <w:jc w:val="center"/>
              <w:rPr>
                <w:sz w:val="20"/>
              </w:rPr>
            </w:pPr>
            <w:r w:rsidRPr="00DA7DD2">
              <w:rPr>
                <w:sz w:val="20"/>
              </w:rPr>
              <w:t>80.1</w:t>
            </w:r>
            <w:r w:rsidRPr="0057014D">
              <w:rPr>
                <w:sz w:val="20"/>
              </w:rPr>
              <w:t>#</w:t>
            </w:r>
          </w:p>
        </w:tc>
        <w:tc>
          <w:tcPr>
            <w:tcW w:w="918" w:type="dxa"/>
            <w:tcBorders>
              <w:bottom w:val="nil"/>
            </w:tcBorders>
            <w:vAlign w:val="center"/>
          </w:tcPr>
          <w:p w:rsidR="00B01539" w:rsidRPr="00DA7DD2" w:rsidRDefault="00B01539" w:rsidP="0042243B">
            <w:pPr>
              <w:jc w:val="center"/>
              <w:rPr>
                <w:sz w:val="20"/>
              </w:rPr>
            </w:pPr>
            <w:r w:rsidRPr="00DA7DD2">
              <w:rPr>
                <w:sz w:val="20"/>
              </w:rPr>
              <w:t>66.9</w:t>
            </w:r>
            <w:r w:rsidRPr="0057014D">
              <w:rPr>
                <w:sz w:val="20"/>
              </w:rPr>
              <w:t>#</w:t>
            </w:r>
          </w:p>
        </w:tc>
        <w:tc>
          <w:tcPr>
            <w:tcW w:w="918" w:type="dxa"/>
            <w:tcBorders>
              <w:bottom w:val="nil"/>
            </w:tcBorders>
            <w:vAlign w:val="center"/>
          </w:tcPr>
          <w:p w:rsidR="00B01539" w:rsidRPr="00DA7DD2" w:rsidRDefault="00B01539" w:rsidP="0042243B">
            <w:pPr>
              <w:jc w:val="center"/>
              <w:rPr>
                <w:sz w:val="20"/>
              </w:rPr>
            </w:pPr>
            <w:r w:rsidRPr="00DA7DD2">
              <w:rPr>
                <w:sz w:val="20"/>
              </w:rPr>
              <w:t>53.5</w:t>
            </w:r>
            <w:r w:rsidRPr="0057014D">
              <w:rPr>
                <w:sz w:val="20"/>
              </w:rPr>
              <w:t>#</w:t>
            </w:r>
          </w:p>
        </w:tc>
      </w:tr>
      <w:tr w:rsidR="00B01539" w:rsidRPr="00DA7DD2" w:rsidTr="0042243B">
        <w:trPr>
          <w:cantSplit/>
          <w:jc w:val="center"/>
        </w:trPr>
        <w:tc>
          <w:tcPr>
            <w:tcW w:w="1188" w:type="dxa"/>
            <w:vMerge/>
            <w:vAlign w:val="center"/>
          </w:tcPr>
          <w:p w:rsidR="00B01539" w:rsidRPr="00DA7DD2" w:rsidRDefault="00B01539" w:rsidP="0042243B">
            <w:pPr>
              <w:ind w:left="270"/>
              <w:rPr>
                <w:sz w:val="20"/>
              </w:rPr>
            </w:pPr>
          </w:p>
        </w:tc>
        <w:tc>
          <w:tcPr>
            <w:tcW w:w="1170" w:type="dxa"/>
            <w:tcBorders>
              <w:top w:val="nil"/>
              <w:bottom w:val="nil"/>
            </w:tcBorders>
            <w:vAlign w:val="center"/>
          </w:tcPr>
          <w:p w:rsidR="00B01539" w:rsidRPr="00DA7DD2" w:rsidRDefault="00B01539" w:rsidP="0042243B">
            <w:pPr>
              <w:rPr>
                <w:sz w:val="20"/>
              </w:rPr>
            </w:pPr>
            <w:r w:rsidRPr="00DA7DD2">
              <w:rPr>
                <w:sz w:val="20"/>
              </w:rPr>
              <w:t>Jefferson</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76.5</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70.7</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67.8</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76.6</w:t>
            </w:r>
            <w:r w:rsidRPr="0057014D">
              <w:rPr>
                <w:color w:val="000000"/>
                <w:sz w:val="20"/>
              </w:rPr>
              <w:t>*</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70.2</w:t>
            </w:r>
            <w:r w:rsidRPr="0057014D">
              <w:rPr>
                <w:color w:val="000000"/>
                <w:sz w:val="20"/>
              </w:rPr>
              <w:t>*</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61.8</w:t>
            </w:r>
            <w:r w:rsidRPr="0057014D">
              <w:rPr>
                <w:color w:val="000000"/>
                <w:sz w:val="20"/>
              </w:rPr>
              <w:t>*</w:t>
            </w:r>
          </w:p>
        </w:tc>
      </w:tr>
      <w:tr w:rsidR="00B01539" w:rsidRPr="00DA7DD2" w:rsidTr="0042243B">
        <w:trPr>
          <w:cantSplit/>
          <w:jc w:val="center"/>
        </w:trPr>
        <w:tc>
          <w:tcPr>
            <w:tcW w:w="1188" w:type="dxa"/>
            <w:vMerge/>
            <w:vAlign w:val="center"/>
          </w:tcPr>
          <w:p w:rsidR="00B01539" w:rsidRPr="00DA7DD2" w:rsidRDefault="00B01539" w:rsidP="0042243B">
            <w:pPr>
              <w:ind w:left="270"/>
              <w:rPr>
                <w:sz w:val="20"/>
              </w:rPr>
            </w:pPr>
          </w:p>
        </w:tc>
        <w:tc>
          <w:tcPr>
            <w:tcW w:w="1170" w:type="dxa"/>
            <w:tcBorders>
              <w:top w:val="nil"/>
              <w:bottom w:val="nil"/>
            </w:tcBorders>
            <w:vAlign w:val="center"/>
          </w:tcPr>
          <w:p w:rsidR="00B01539" w:rsidRPr="00DA7DD2" w:rsidRDefault="00B01539" w:rsidP="0042243B">
            <w:pPr>
              <w:rPr>
                <w:sz w:val="20"/>
              </w:rPr>
            </w:pPr>
            <w:r w:rsidRPr="00DA7DD2">
              <w:rPr>
                <w:sz w:val="20"/>
              </w:rPr>
              <w:t>Plaquemines</w:t>
            </w:r>
          </w:p>
        </w:tc>
        <w:tc>
          <w:tcPr>
            <w:tcW w:w="918" w:type="dxa"/>
            <w:tcBorders>
              <w:top w:val="nil"/>
              <w:bottom w:val="nil"/>
            </w:tcBorders>
            <w:vAlign w:val="center"/>
          </w:tcPr>
          <w:p w:rsidR="00B01539" w:rsidRPr="00DA7DD2" w:rsidRDefault="00B01539" w:rsidP="0042243B">
            <w:pPr>
              <w:jc w:val="center"/>
              <w:rPr>
                <w:sz w:val="20"/>
              </w:rPr>
            </w:pPr>
            <w:r w:rsidRPr="00DA7DD2">
              <w:rPr>
                <w:sz w:val="20"/>
              </w:rPr>
              <w:t>81.9</w:t>
            </w:r>
          </w:p>
        </w:tc>
        <w:tc>
          <w:tcPr>
            <w:tcW w:w="918" w:type="dxa"/>
            <w:tcBorders>
              <w:top w:val="nil"/>
              <w:bottom w:val="nil"/>
            </w:tcBorders>
            <w:vAlign w:val="center"/>
          </w:tcPr>
          <w:p w:rsidR="00B01539" w:rsidRPr="00DA7DD2" w:rsidRDefault="00B01539" w:rsidP="0042243B">
            <w:pPr>
              <w:jc w:val="center"/>
              <w:rPr>
                <w:sz w:val="20"/>
              </w:rPr>
            </w:pPr>
            <w:r w:rsidRPr="00DA7DD2">
              <w:rPr>
                <w:sz w:val="20"/>
              </w:rPr>
              <w:t>88.1</w:t>
            </w:r>
            <w:r w:rsidRPr="0057014D">
              <w:rPr>
                <w:sz w:val="20"/>
              </w:rPr>
              <w:t>*</w:t>
            </w:r>
          </w:p>
        </w:tc>
        <w:tc>
          <w:tcPr>
            <w:tcW w:w="918" w:type="dxa"/>
            <w:tcBorders>
              <w:top w:val="nil"/>
              <w:bottom w:val="nil"/>
            </w:tcBorders>
            <w:vAlign w:val="center"/>
          </w:tcPr>
          <w:p w:rsidR="00B01539" w:rsidRPr="00DA7DD2" w:rsidRDefault="00B01539" w:rsidP="0042243B">
            <w:pPr>
              <w:jc w:val="center"/>
              <w:rPr>
                <w:sz w:val="20"/>
              </w:rPr>
            </w:pPr>
            <w:r w:rsidRPr="00DA7DD2">
              <w:rPr>
                <w:sz w:val="20"/>
              </w:rPr>
              <w:t>79.9</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74.5</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69.9</w:t>
            </w:r>
            <w:r w:rsidRPr="0057014D">
              <w:rPr>
                <w:color w:val="000000"/>
                <w:sz w:val="20"/>
              </w:rPr>
              <w:t>*</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61.7</w:t>
            </w:r>
          </w:p>
        </w:tc>
      </w:tr>
      <w:tr w:rsidR="00B01539" w:rsidRPr="00DA7DD2" w:rsidTr="0042243B">
        <w:trPr>
          <w:cantSplit/>
          <w:jc w:val="center"/>
        </w:trPr>
        <w:tc>
          <w:tcPr>
            <w:tcW w:w="1188" w:type="dxa"/>
            <w:vMerge/>
            <w:vAlign w:val="center"/>
          </w:tcPr>
          <w:p w:rsidR="00B01539" w:rsidRPr="00DA7DD2" w:rsidRDefault="00B01539" w:rsidP="0042243B">
            <w:pPr>
              <w:ind w:left="270"/>
              <w:rPr>
                <w:sz w:val="20"/>
              </w:rPr>
            </w:pPr>
          </w:p>
        </w:tc>
        <w:tc>
          <w:tcPr>
            <w:tcW w:w="1170" w:type="dxa"/>
            <w:tcBorders>
              <w:top w:val="nil"/>
              <w:bottom w:val="nil"/>
            </w:tcBorders>
            <w:vAlign w:val="center"/>
          </w:tcPr>
          <w:p w:rsidR="00B01539" w:rsidRPr="00DA7DD2" w:rsidRDefault="00B01539" w:rsidP="0042243B">
            <w:pPr>
              <w:rPr>
                <w:sz w:val="20"/>
              </w:rPr>
            </w:pPr>
            <w:r w:rsidRPr="00DA7DD2">
              <w:rPr>
                <w:sz w:val="20"/>
              </w:rPr>
              <w:t>St. Bernard</w:t>
            </w:r>
          </w:p>
        </w:tc>
        <w:tc>
          <w:tcPr>
            <w:tcW w:w="918" w:type="dxa"/>
            <w:tcBorders>
              <w:top w:val="nil"/>
              <w:bottom w:val="nil"/>
            </w:tcBorders>
            <w:vAlign w:val="center"/>
          </w:tcPr>
          <w:p w:rsidR="00B01539" w:rsidRPr="00DA7DD2" w:rsidRDefault="00B01539" w:rsidP="0042243B">
            <w:pPr>
              <w:jc w:val="center"/>
              <w:rPr>
                <w:sz w:val="20"/>
              </w:rPr>
            </w:pPr>
            <w:r w:rsidRPr="00DA7DD2">
              <w:rPr>
                <w:sz w:val="20"/>
              </w:rPr>
              <w:t>--</w:t>
            </w:r>
          </w:p>
        </w:tc>
        <w:tc>
          <w:tcPr>
            <w:tcW w:w="918" w:type="dxa"/>
            <w:tcBorders>
              <w:top w:val="nil"/>
              <w:bottom w:val="nil"/>
            </w:tcBorders>
            <w:vAlign w:val="center"/>
          </w:tcPr>
          <w:p w:rsidR="00B01539" w:rsidRPr="00DA7DD2" w:rsidRDefault="00B01539" w:rsidP="0042243B">
            <w:pPr>
              <w:jc w:val="center"/>
              <w:rPr>
                <w:sz w:val="20"/>
              </w:rPr>
            </w:pPr>
            <w:r w:rsidRPr="00DA7DD2">
              <w:rPr>
                <w:sz w:val="20"/>
              </w:rPr>
              <w:t>--</w:t>
            </w:r>
          </w:p>
        </w:tc>
        <w:tc>
          <w:tcPr>
            <w:tcW w:w="918" w:type="dxa"/>
            <w:tcBorders>
              <w:top w:val="nil"/>
              <w:bottom w:val="nil"/>
            </w:tcBorders>
            <w:vAlign w:val="center"/>
          </w:tcPr>
          <w:p w:rsidR="00B01539" w:rsidRPr="00DA7DD2" w:rsidRDefault="00B01539" w:rsidP="0042243B">
            <w:pPr>
              <w:jc w:val="center"/>
              <w:rPr>
                <w:sz w:val="20"/>
              </w:rPr>
            </w:pPr>
            <w:r w:rsidRPr="00DA7DD2">
              <w:rPr>
                <w:sz w:val="20"/>
              </w:rPr>
              <w:t>--</w:t>
            </w:r>
          </w:p>
        </w:tc>
        <w:tc>
          <w:tcPr>
            <w:tcW w:w="918" w:type="dxa"/>
            <w:tcBorders>
              <w:top w:val="nil"/>
              <w:bottom w:val="nil"/>
            </w:tcBorders>
            <w:vAlign w:val="center"/>
          </w:tcPr>
          <w:p w:rsidR="00B01539" w:rsidRPr="00DA7DD2" w:rsidRDefault="00B01539" w:rsidP="0042243B">
            <w:pPr>
              <w:jc w:val="center"/>
              <w:rPr>
                <w:sz w:val="20"/>
              </w:rPr>
            </w:pPr>
            <w:r w:rsidRPr="00DA7DD2">
              <w:rPr>
                <w:sz w:val="20"/>
              </w:rPr>
              <w:t>--</w:t>
            </w:r>
          </w:p>
        </w:tc>
        <w:tc>
          <w:tcPr>
            <w:tcW w:w="918" w:type="dxa"/>
            <w:tcBorders>
              <w:top w:val="nil"/>
              <w:bottom w:val="nil"/>
            </w:tcBorders>
            <w:vAlign w:val="center"/>
          </w:tcPr>
          <w:p w:rsidR="00B01539" w:rsidRPr="00DA7DD2" w:rsidRDefault="00B01539" w:rsidP="0042243B">
            <w:pPr>
              <w:jc w:val="center"/>
              <w:rPr>
                <w:sz w:val="20"/>
              </w:rPr>
            </w:pPr>
            <w:r w:rsidRPr="00DA7DD2">
              <w:rPr>
                <w:sz w:val="20"/>
              </w:rPr>
              <w:t>--</w:t>
            </w:r>
          </w:p>
        </w:tc>
        <w:tc>
          <w:tcPr>
            <w:tcW w:w="918" w:type="dxa"/>
            <w:tcBorders>
              <w:top w:val="nil"/>
              <w:bottom w:val="nil"/>
            </w:tcBorders>
            <w:vAlign w:val="center"/>
          </w:tcPr>
          <w:p w:rsidR="00B01539" w:rsidRPr="00DA7DD2" w:rsidRDefault="00B01539" w:rsidP="0042243B">
            <w:pPr>
              <w:jc w:val="center"/>
              <w:rPr>
                <w:sz w:val="20"/>
              </w:rPr>
            </w:pPr>
            <w:r w:rsidRPr="00DA7DD2">
              <w:rPr>
                <w:sz w:val="20"/>
              </w:rPr>
              <w:t>--</w:t>
            </w:r>
          </w:p>
        </w:tc>
      </w:tr>
      <w:tr w:rsidR="00B01539" w:rsidRPr="00DA7DD2" w:rsidTr="0042243B">
        <w:trPr>
          <w:cantSplit/>
          <w:jc w:val="center"/>
        </w:trPr>
        <w:tc>
          <w:tcPr>
            <w:tcW w:w="1188" w:type="dxa"/>
            <w:vMerge/>
            <w:vAlign w:val="center"/>
          </w:tcPr>
          <w:p w:rsidR="00B01539" w:rsidRPr="00DA7DD2" w:rsidRDefault="00B01539" w:rsidP="0042243B">
            <w:pPr>
              <w:ind w:left="270"/>
              <w:rPr>
                <w:sz w:val="20"/>
              </w:rPr>
            </w:pPr>
          </w:p>
        </w:tc>
        <w:tc>
          <w:tcPr>
            <w:tcW w:w="1170" w:type="dxa"/>
            <w:tcBorders>
              <w:top w:val="nil"/>
              <w:bottom w:val="single" w:sz="4" w:space="0" w:color="auto"/>
            </w:tcBorders>
            <w:vAlign w:val="center"/>
          </w:tcPr>
          <w:p w:rsidR="00B01539" w:rsidRPr="00DA7DD2" w:rsidRDefault="00B01539" w:rsidP="0042243B">
            <w:pPr>
              <w:rPr>
                <w:sz w:val="20"/>
              </w:rPr>
            </w:pPr>
            <w:r w:rsidRPr="00DA7DD2">
              <w:rPr>
                <w:sz w:val="20"/>
              </w:rPr>
              <w:t>Statewide</w:t>
            </w:r>
          </w:p>
        </w:tc>
        <w:tc>
          <w:tcPr>
            <w:tcW w:w="918" w:type="dxa"/>
            <w:tcBorders>
              <w:top w:val="nil"/>
              <w:bottom w:val="single" w:sz="4" w:space="0" w:color="auto"/>
            </w:tcBorders>
            <w:vAlign w:val="center"/>
          </w:tcPr>
          <w:p w:rsidR="00B01539" w:rsidRPr="00DA7DD2" w:rsidRDefault="00B01539" w:rsidP="0042243B">
            <w:pPr>
              <w:jc w:val="center"/>
              <w:rPr>
                <w:color w:val="000000"/>
                <w:sz w:val="20"/>
              </w:rPr>
            </w:pPr>
            <w:r w:rsidRPr="00DA7DD2">
              <w:rPr>
                <w:color w:val="000000"/>
                <w:sz w:val="20"/>
              </w:rPr>
              <w:t>80.6</w:t>
            </w:r>
          </w:p>
        </w:tc>
        <w:tc>
          <w:tcPr>
            <w:tcW w:w="918" w:type="dxa"/>
            <w:tcBorders>
              <w:top w:val="nil"/>
              <w:bottom w:val="single" w:sz="4" w:space="0" w:color="auto"/>
            </w:tcBorders>
            <w:vAlign w:val="center"/>
          </w:tcPr>
          <w:p w:rsidR="00B01539" w:rsidRPr="00DA7DD2" w:rsidRDefault="00B01539" w:rsidP="0042243B">
            <w:pPr>
              <w:jc w:val="center"/>
              <w:rPr>
                <w:color w:val="000000"/>
                <w:sz w:val="20"/>
              </w:rPr>
            </w:pPr>
            <w:r w:rsidRPr="00DA7DD2">
              <w:rPr>
                <w:color w:val="000000"/>
                <w:sz w:val="20"/>
              </w:rPr>
              <w:t>80.0</w:t>
            </w:r>
          </w:p>
        </w:tc>
        <w:tc>
          <w:tcPr>
            <w:tcW w:w="918" w:type="dxa"/>
            <w:tcBorders>
              <w:top w:val="nil"/>
              <w:bottom w:val="single" w:sz="4" w:space="0" w:color="auto"/>
            </w:tcBorders>
            <w:vAlign w:val="center"/>
          </w:tcPr>
          <w:p w:rsidR="00B01539" w:rsidRPr="00DA7DD2" w:rsidRDefault="00B01539" w:rsidP="0042243B">
            <w:pPr>
              <w:jc w:val="center"/>
              <w:rPr>
                <w:color w:val="000000"/>
                <w:sz w:val="20"/>
              </w:rPr>
            </w:pPr>
            <w:r w:rsidRPr="00DA7DD2">
              <w:rPr>
                <w:color w:val="000000"/>
                <w:sz w:val="20"/>
              </w:rPr>
              <w:t>77.4</w:t>
            </w:r>
          </w:p>
        </w:tc>
        <w:tc>
          <w:tcPr>
            <w:tcW w:w="918" w:type="dxa"/>
            <w:tcBorders>
              <w:top w:val="nil"/>
              <w:bottom w:val="single" w:sz="4" w:space="0" w:color="auto"/>
            </w:tcBorders>
            <w:vAlign w:val="center"/>
          </w:tcPr>
          <w:p w:rsidR="00B01539" w:rsidRPr="00DA7DD2" w:rsidRDefault="00B01539" w:rsidP="0042243B">
            <w:pPr>
              <w:jc w:val="center"/>
              <w:rPr>
                <w:color w:val="000000"/>
                <w:sz w:val="20"/>
              </w:rPr>
            </w:pPr>
            <w:r w:rsidRPr="00DA7DD2">
              <w:rPr>
                <w:color w:val="000000"/>
                <w:sz w:val="20"/>
              </w:rPr>
              <w:t>78.5</w:t>
            </w:r>
          </w:p>
        </w:tc>
        <w:tc>
          <w:tcPr>
            <w:tcW w:w="918" w:type="dxa"/>
            <w:tcBorders>
              <w:top w:val="nil"/>
              <w:bottom w:val="single" w:sz="4" w:space="0" w:color="auto"/>
            </w:tcBorders>
            <w:vAlign w:val="center"/>
          </w:tcPr>
          <w:p w:rsidR="00B01539" w:rsidRPr="00DA7DD2" w:rsidRDefault="00B01539" w:rsidP="0042243B">
            <w:pPr>
              <w:jc w:val="center"/>
              <w:rPr>
                <w:color w:val="000000"/>
                <w:sz w:val="20"/>
              </w:rPr>
            </w:pPr>
            <w:r w:rsidRPr="00DA7DD2">
              <w:rPr>
                <w:color w:val="000000"/>
                <w:sz w:val="20"/>
              </w:rPr>
              <w:t>74.5</w:t>
            </w:r>
            <w:r w:rsidRPr="0057014D">
              <w:rPr>
                <w:color w:val="000000"/>
                <w:sz w:val="20"/>
              </w:rPr>
              <w:t>*</w:t>
            </w:r>
          </w:p>
        </w:tc>
        <w:tc>
          <w:tcPr>
            <w:tcW w:w="918" w:type="dxa"/>
            <w:tcBorders>
              <w:top w:val="nil"/>
              <w:bottom w:val="single" w:sz="4" w:space="0" w:color="auto"/>
            </w:tcBorders>
            <w:vAlign w:val="center"/>
          </w:tcPr>
          <w:p w:rsidR="00B01539" w:rsidRPr="00DA7DD2" w:rsidRDefault="00B01539" w:rsidP="0042243B">
            <w:pPr>
              <w:jc w:val="center"/>
              <w:rPr>
                <w:color w:val="000000"/>
                <w:sz w:val="20"/>
              </w:rPr>
            </w:pPr>
            <w:r w:rsidRPr="00DA7DD2">
              <w:rPr>
                <w:color w:val="000000"/>
                <w:sz w:val="20"/>
              </w:rPr>
              <w:t>67.5</w:t>
            </w:r>
          </w:p>
        </w:tc>
      </w:tr>
      <w:tr w:rsidR="00B01539" w:rsidRPr="00DA7DD2" w:rsidTr="0042243B">
        <w:trPr>
          <w:cantSplit/>
          <w:jc w:val="center"/>
        </w:trPr>
        <w:tc>
          <w:tcPr>
            <w:tcW w:w="1188" w:type="dxa"/>
            <w:vMerge w:val="restart"/>
            <w:vAlign w:val="center"/>
          </w:tcPr>
          <w:p w:rsidR="00B01539" w:rsidRPr="00DA7DD2" w:rsidRDefault="00304D7D" w:rsidP="00447048">
            <w:pPr>
              <w:rPr>
                <w:sz w:val="20"/>
              </w:rPr>
            </w:pPr>
            <w:r>
              <w:rPr>
                <w:sz w:val="20"/>
              </w:rPr>
              <w:t>Smoke</w:t>
            </w:r>
            <w:r w:rsidR="00B01539" w:rsidRPr="00DA7DD2">
              <w:rPr>
                <w:sz w:val="20"/>
              </w:rPr>
              <w:t xml:space="preserve"> one or more packs of </w:t>
            </w:r>
            <w:r w:rsidR="00B01539" w:rsidRPr="00DA7DD2">
              <w:rPr>
                <w:b/>
                <w:sz w:val="20"/>
              </w:rPr>
              <w:t>cigarettes</w:t>
            </w:r>
            <w:r w:rsidR="00B01539" w:rsidRPr="00DA7DD2">
              <w:rPr>
                <w:sz w:val="20"/>
              </w:rPr>
              <w:t xml:space="preserve"> </w:t>
            </w:r>
            <w:r w:rsidR="00447048">
              <w:rPr>
                <w:sz w:val="20"/>
              </w:rPr>
              <w:t>per</w:t>
            </w:r>
            <w:r w:rsidR="00B01539" w:rsidRPr="00DA7DD2">
              <w:rPr>
                <w:sz w:val="20"/>
              </w:rPr>
              <w:t xml:space="preserve"> day</w:t>
            </w:r>
          </w:p>
        </w:tc>
        <w:tc>
          <w:tcPr>
            <w:tcW w:w="1170" w:type="dxa"/>
            <w:tcBorders>
              <w:bottom w:val="nil"/>
            </w:tcBorders>
            <w:vAlign w:val="center"/>
          </w:tcPr>
          <w:p w:rsidR="00B01539" w:rsidRPr="00DA7DD2" w:rsidRDefault="00B01539" w:rsidP="0042243B">
            <w:pPr>
              <w:rPr>
                <w:sz w:val="20"/>
              </w:rPr>
            </w:pPr>
            <w:r w:rsidRPr="00DA7DD2">
              <w:rPr>
                <w:sz w:val="20"/>
              </w:rPr>
              <w:t>Orleans</w:t>
            </w:r>
          </w:p>
        </w:tc>
        <w:tc>
          <w:tcPr>
            <w:tcW w:w="918" w:type="dxa"/>
            <w:tcBorders>
              <w:bottom w:val="nil"/>
            </w:tcBorders>
            <w:vAlign w:val="center"/>
          </w:tcPr>
          <w:p w:rsidR="00B01539" w:rsidRPr="00DA7DD2" w:rsidRDefault="00B01539" w:rsidP="0042243B">
            <w:pPr>
              <w:jc w:val="center"/>
              <w:rPr>
                <w:color w:val="000000"/>
                <w:sz w:val="20"/>
              </w:rPr>
            </w:pPr>
            <w:r w:rsidRPr="00DA7DD2">
              <w:rPr>
                <w:color w:val="000000"/>
                <w:sz w:val="20"/>
              </w:rPr>
              <w:t>77.6</w:t>
            </w:r>
            <w:r w:rsidRPr="0057014D">
              <w:rPr>
                <w:color w:val="000000"/>
                <w:sz w:val="20"/>
              </w:rPr>
              <w:t>#</w:t>
            </w:r>
          </w:p>
        </w:tc>
        <w:tc>
          <w:tcPr>
            <w:tcW w:w="918" w:type="dxa"/>
            <w:tcBorders>
              <w:bottom w:val="nil"/>
            </w:tcBorders>
            <w:vAlign w:val="center"/>
          </w:tcPr>
          <w:p w:rsidR="00B01539" w:rsidRPr="00DA7DD2" w:rsidRDefault="00B01539" w:rsidP="0042243B">
            <w:pPr>
              <w:jc w:val="center"/>
              <w:rPr>
                <w:color w:val="000000"/>
                <w:sz w:val="20"/>
              </w:rPr>
            </w:pPr>
            <w:r w:rsidRPr="00DA7DD2">
              <w:rPr>
                <w:color w:val="000000"/>
                <w:sz w:val="20"/>
              </w:rPr>
              <w:t>83.6</w:t>
            </w:r>
            <w:r w:rsidRPr="0057014D">
              <w:rPr>
                <w:color w:val="000000"/>
                <w:sz w:val="20"/>
              </w:rPr>
              <w:t>#</w:t>
            </w:r>
          </w:p>
        </w:tc>
        <w:tc>
          <w:tcPr>
            <w:tcW w:w="918" w:type="dxa"/>
            <w:tcBorders>
              <w:bottom w:val="nil"/>
            </w:tcBorders>
            <w:vAlign w:val="center"/>
          </w:tcPr>
          <w:p w:rsidR="00B01539" w:rsidRPr="00DA7DD2" w:rsidRDefault="00B01539" w:rsidP="0042243B">
            <w:pPr>
              <w:jc w:val="center"/>
              <w:rPr>
                <w:color w:val="000000"/>
                <w:sz w:val="20"/>
              </w:rPr>
            </w:pPr>
            <w:r w:rsidRPr="00DA7DD2">
              <w:rPr>
                <w:color w:val="000000"/>
                <w:sz w:val="20"/>
              </w:rPr>
              <w:t>80.6</w:t>
            </w:r>
            <w:r w:rsidRPr="0057014D">
              <w:rPr>
                <w:color w:val="000000"/>
                <w:sz w:val="20"/>
              </w:rPr>
              <w:t>#</w:t>
            </w:r>
          </w:p>
        </w:tc>
        <w:tc>
          <w:tcPr>
            <w:tcW w:w="918" w:type="dxa"/>
            <w:tcBorders>
              <w:bottom w:val="nil"/>
            </w:tcBorders>
            <w:vAlign w:val="center"/>
          </w:tcPr>
          <w:p w:rsidR="00B01539" w:rsidRPr="00DA7DD2" w:rsidRDefault="00B01539" w:rsidP="0042243B">
            <w:pPr>
              <w:jc w:val="center"/>
              <w:rPr>
                <w:color w:val="000000"/>
                <w:sz w:val="20"/>
              </w:rPr>
            </w:pPr>
            <w:r w:rsidRPr="00DA7DD2">
              <w:rPr>
                <w:color w:val="000000"/>
                <w:sz w:val="20"/>
              </w:rPr>
              <w:t>85.3</w:t>
            </w:r>
            <w:r w:rsidRPr="0057014D">
              <w:rPr>
                <w:color w:val="000000"/>
                <w:sz w:val="20"/>
              </w:rPr>
              <w:t>#</w:t>
            </w:r>
          </w:p>
        </w:tc>
        <w:tc>
          <w:tcPr>
            <w:tcW w:w="918" w:type="dxa"/>
            <w:tcBorders>
              <w:bottom w:val="nil"/>
            </w:tcBorders>
            <w:vAlign w:val="center"/>
          </w:tcPr>
          <w:p w:rsidR="00B01539" w:rsidRPr="00DA7DD2" w:rsidRDefault="00B01539" w:rsidP="0042243B">
            <w:pPr>
              <w:jc w:val="center"/>
              <w:rPr>
                <w:color w:val="000000"/>
                <w:sz w:val="20"/>
              </w:rPr>
            </w:pPr>
            <w:r w:rsidRPr="00DA7DD2">
              <w:rPr>
                <w:color w:val="000000"/>
                <w:sz w:val="20"/>
              </w:rPr>
              <w:t>82.8</w:t>
            </w:r>
            <w:r w:rsidRPr="0057014D">
              <w:rPr>
                <w:color w:val="000000"/>
                <w:sz w:val="20"/>
              </w:rPr>
              <w:t>#</w:t>
            </w:r>
          </w:p>
        </w:tc>
        <w:tc>
          <w:tcPr>
            <w:tcW w:w="918" w:type="dxa"/>
            <w:tcBorders>
              <w:bottom w:val="nil"/>
            </w:tcBorders>
            <w:vAlign w:val="center"/>
          </w:tcPr>
          <w:p w:rsidR="00B01539" w:rsidRPr="00DA7DD2" w:rsidRDefault="00B01539" w:rsidP="0042243B">
            <w:pPr>
              <w:jc w:val="center"/>
              <w:rPr>
                <w:color w:val="000000"/>
                <w:sz w:val="20"/>
              </w:rPr>
            </w:pPr>
            <w:r w:rsidRPr="00DA7DD2">
              <w:rPr>
                <w:color w:val="000000"/>
                <w:sz w:val="20"/>
              </w:rPr>
              <w:t>82.0</w:t>
            </w:r>
            <w:r w:rsidRPr="0057014D">
              <w:rPr>
                <w:color w:val="000000"/>
                <w:sz w:val="20"/>
              </w:rPr>
              <w:t>#</w:t>
            </w:r>
          </w:p>
        </w:tc>
      </w:tr>
      <w:tr w:rsidR="00B01539" w:rsidRPr="00DA7DD2" w:rsidTr="0042243B">
        <w:trPr>
          <w:cantSplit/>
          <w:jc w:val="center"/>
        </w:trPr>
        <w:tc>
          <w:tcPr>
            <w:tcW w:w="1188" w:type="dxa"/>
            <w:vMerge/>
            <w:vAlign w:val="center"/>
          </w:tcPr>
          <w:p w:rsidR="00B01539" w:rsidRPr="00DA7DD2" w:rsidRDefault="00B01539" w:rsidP="0042243B">
            <w:pPr>
              <w:ind w:left="270"/>
              <w:rPr>
                <w:sz w:val="20"/>
              </w:rPr>
            </w:pPr>
          </w:p>
        </w:tc>
        <w:tc>
          <w:tcPr>
            <w:tcW w:w="1170" w:type="dxa"/>
            <w:tcBorders>
              <w:top w:val="nil"/>
              <w:bottom w:val="nil"/>
            </w:tcBorders>
            <w:vAlign w:val="center"/>
          </w:tcPr>
          <w:p w:rsidR="00B01539" w:rsidRPr="00DA7DD2" w:rsidRDefault="00B01539" w:rsidP="0042243B">
            <w:pPr>
              <w:rPr>
                <w:sz w:val="20"/>
              </w:rPr>
            </w:pPr>
            <w:r w:rsidRPr="00DA7DD2">
              <w:rPr>
                <w:sz w:val="20"/>
              </w:rPr>
              <w:t>Jefferson</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78.1</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75.8</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75.1</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85.1</w:t>
            </w:r>
            <w:r w:rsidRPr="0057014D">
              <w:rPr>
                <w:color w:val="000000"/>
                <w:sz w:val="20"/>
              </w:rPr>
              <w:t>*</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83.4</w:t>
            </w:r>
            <w:r w:rsidRPr="0057014D">
              <w:rPr>
                <w:color w:val="000000"/>
                <w:sz w:val="20"/>
              </w:rPr>
              <w:t>*</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79.5</w:t>
            </w:r>
            <w:r w:rsidRPr="0057014D">
              <w:rPr>
                <w:color w:val="000000"/>
                <w:sz w:val="20"/>
              </w:rPr>
              <w:t>*</w:t>
            </w:r>
          </w:p>
        </w:tc>
      </w:tr>
      <w:tr w:rsidR="00B01539" w:rsidRPr="00DA7DD2" w:rsidTr="0042243B">
        <w:trPr>
          <w:cantSplit/>
          <w:jc w:val="center"/>
        </w:trPr>
        <w:tc>
          <w:tcPr>
            <w:tcW w:w="1188" w:type="dxa"/>
            <w:vMerge/>
            <w:vAlign w:val="center"/>
          </w:tcPr>
          <w:p w:rsidR="00B01539" w:rsidRPr="00DA7DD2" w:rsidRDefault="00B01539" w:rsidP="0042243B">
            <w:pPr>
              <w:ind w:left="270"/>
              <w:rPr>
                <w:sz w:val="20"/>
              </w:rPr>
            </w:pPr>
          </w:p>
        </w:tc>
        <w:tc>
          <w:tcPr>
            <w:tcW w:w="1170" w:type="dxa"/>
            <w:tcBorders>
              <w:top w:val="nil"/>
              <w:bottom w:val="nil"/>
            </w:tcBorders>
            <w:vAlign w:val="center"/>
          </w:tcPr>
          <w:p w:rsidR="00B01539" w:rsidRPr="00DA7DD2" w:rsidRDefault="00B01539" w:rsidP="0042243B">
            <w:pPr>
              <w:rPr>
                <w:sz w:val="20"/>
              </w:rPr>
            </w:pPr>
            <w:r w:rsidRPr="00DA7DD2">
              <w:rPr>
                <w:sz w:val="20"/>
              </w:rPr>
              <w:t>Plaquemines</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87.1</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82.8</w:t>
            </w:r>
            <w:r w:rsidRPr="0057014D">
              <w:rPr>
                <w:color w:val="000000"/>
                <w:sz w:val="20"/>
              </w:rPr>
              <w:t>*</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79.3</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85.1</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78.8</w:t>
            </w:r>
            <w:r w:rsidRPr="0057014D">
              <w:rPr>
                <w:color w:val="000000"/>
                <w:sz w:val="20"/>
              </w:rPr>
              <w:t>*</w:t>
            </w:r>
          </w:p>
        </w:tc>
        <w:tc>
          <w:tcPr>
            <w:tcW w:w="918" w:type="dxa"/>
            <w:tcBorders>
              <w:top w:val="nil"/>
              <w:bottom w:val="nil"/>
            </w:tcBorders>
            <w:vAlign w:val="center"/>
          </w:tcPr>
          <w:p w:rsidR="00B01539" w:rsidRPr="00DA7DD2" w:rsidRDefault="00B01539" w:rsidP="0042243B">
            <w:pPr>
              <w:jc w:val="center"/>
              <w:rPr>
                <w:color w:val="000000"/>
                <w:sz w:val="20"/>
              </w:rPr>
            </w:pPr>
            <w:r w:rsidRPr="00DA7DD2">
              <w:rPr>
                <w:color w:val="000000"/>
                <w:sz w:val="20"/>
              </w:rPr>
              <w:t>86.8</w:t>
            </w:r>
          </w:p>
        </w:tc>
      </w:tr>
      <w:tr w:rsidR="00B01539" w:rsidRPr="00DA7DD2" w:rsidTr="0042243B">
        <w:trPr>
          <w:cantSplit/>
          <w:jc w:val="center"/>
        </w:trPr>
        <w:tc>
          <w:tcPr>
            <w:tcW w:w="1188" w:type="dxa"/>
            <w:vMerge/>
            <w:vAlign w:val="center"/>
          </w:tcPr>
          <w:p w:rsidR="00B01539" w:rsidRPr="00DA7DD2" w:rsidRDefault="00B01539" w:rsidP="0042243B">
            <w:pPr>
              <w:ind w:left="270"/>
              <w:rPr>
                <w:sz w:val="20"/>
              </w:rPr>
            </w:pPr>
          </w:p>
        </w:tc>
        <w:tc>
          <w:tcPr>
            <w:tcW w:w="1170" w:type="dxa"/>
            <w:tcBorders>
              <w:top w:val="nil"/>
              <w:bottom w:val="nil"/>
            </w:tcBorders>
            <w:vAlign w:val="center"/>
          </w:tcPr>
          <w:p w:rsidR="00B01539" w:rsidRPr="00DA7DD2" w:rsidRDefault="00B01539" w:rsidP="0042243B">
            <w:pPr>
              <w:rPr>
                <w:sz w:val="20"/>
              </w:rPr>
            </w:pPr>
            <w:r w:rsidRPr="00DA7DD2">
              <w:rPr>
                <w:sz w:val="20"/>
              </w:rPr>
              <w:t>St. Bernard</w:t>
            </w:r>
          </w:p>
        </w:tc>
        <w:tc>
          <w:tcPr>
            <w:tcW w:w="918" w:type="dxa"/>
            <w:tcBorders>
              <w:top w:val="nil"/>
              <w:bottom w:val="nil"/>
            </w:tcBorders>
            <w:vAlign w:val="center"/>
          </w:tcPr>
          <w:p w:rsidR="00B01539" w:rsidRPr="00DA7DD2" w:rsidRDefault="00B01539" w:rsidP="0042243B">
            <w:pPr>
              <w:jc w:val="center"/>
              <w:rPr>
                <w:sz w:val="20"/>
              </w:rPr>
            </w:pPr>
            <w:r w:rsidRPr="00DA7DD2">
              <w:rPr>
                <w:sz w:val="20"/>
              </w:rPr>
              <w:t>--</w:t>
            </w:r>
          </w:p>
        </w:tc>
        <w:tc>
          <w:tcPr>
            <w:tcW w:w="918" w:type="dxa"/>
            <w:tcBorders>
              <w:top w:val="nil"/>
              <w:bottom w:val="nil"/>
            </w:tcBorders>
            <w:vAlign w:val="center"/>
          </w:tcPr>
          <w:p w:rsidR="00B01539" w:rsidRPr="00DA7DD2" w:rsidRDefault="00B01539" w:rsidP="0042243B">
            <w:pPr>
              <w:jc w:val="center"/>
              <w:rPr>
                <w:sz w:val="20"/>
              </w:rPr>
            </w:pPr>
            <w:r w:rsidRPr="00DA7DD2">
              <w:rPr>
                <w:sz w:val="20"/>
              </w:rPr>
              <w:t>--</w:t>
            </w:r>
          </w:p>
        </w:tc>
        <w:tc>
          <w:tcPr>
            <w:tcW w:w="918" w:type="dxa"/>
            <w:tcBorders>
              <w:top w:val="nil"/>
              <w:bottom w:val="nil"/>
            </w:tcBorders>
            <w:vAlign w:val="center"/>
          </w:tcPr>
          <w:p w:rsidR="00B01539" w:rsidRPr="00DA7DD2" w:rsidRDefault="00B01539" w:rsidP="0042243B">
            <w:pPr>
              <w:jc w:val="center"/>
              <w:rPr>
                <w:sz w:val="20"/>
              </w:rPr>
            </w:pPr>
            <w:r w:rsidRPr="00DA7DD2">
              <w:rPr>
                <w:sz w:val="20"/>
              </w:rPr>
              <w:t>--</w:t>
            </w:r>
          </w:p>
        </w:tc>
        <w:tc>
          <w:tcPr>
            <w:tcW w:w="918" w:type="dxa"/>
            <w:tcBorders>
              <w:top w:val="nil"/>
              <w:bottom w:val="nil"/>
            </w:tcBorders>
            <w:vAlign w:val="center"/>
          </w:tcPr>
          <w:p w:rsidR="00B01539" w:rsidRPr="00DA7DD2" w:rsidRDefault="00B01539" w:rsidP="0042243B">
            <w:pPr>
              <w:jc w:val="center"/>
              <w:rPr>
                <w:sz w:val="20"/>
              </w:rPr>
            </w:pPr>
            <w:r w:rsidRPr="00DA7DD2">
              <w:rPr>
                <w:sz w:val="20"/>
              </w:rPr>
              <w:t>--</w:t>
            </w:r>
          </w:p>
        </w:tc>
        <w:tc>
          <w:tcPr>
            <w:tcW w:w="918" w:type="dxa"/>
            <w:tcBorders>
              <w:top w:val="nil"/>
              <w:bottom w:val="nil"/>
            </w:tcBorders>
            <w:vAlign w:val="center"/>
          </w:tcPr>
          <w:p w:rsidR="00B01539" w:rsidRPr="00DA7DD2" w:rsidRDefault="00B01539" w:rsidP="0042243B">
            <w:pPr>
              <w:jc w:val="center"/>
              <w:rPr>
                <w:sz w:val="20"/>
              </w:rPr>
            </w:pPr>
            <w:r w:rsidRPr="00DA7DD2">
              <w:rPr>
                <w:sz w:val="20"/>
              </w:rPr>
              <w:t>--</w:t>
            </w:r>
          </w:p>
        </w:tc>
        <w:tc>
          <w:tcPr>
            <w:tcW w:w="918" w:type="dxa"/>
            <w:tcBorders>
              <w:top w:val="nil"/>
              <w:bottom w:val="nil"/>
            </w:tcBorders>
            <w:vAlign w:val="center"/>
          </w:tcPr>
          <w:p w:rsidR="00B01539" w:rsidRPr="00DA7DD2" w:rsidRDefault="00B01539" w:rsidP="0042243B">
            <w:pPr>
              <w:jc w:val="center"/>
              <w:rPr>
                <w:sz w:val="20"/>
              </w:rPr>
            </w:pPr>
            <w:r w:rsidRPr="00DA7DD2">
              <w:rPr>
                <w:sz w:val="20"/>
              </w:rPr>
              <w:t>--</w:t>
            </w:r>
          </w:p>
        </w:tc>
      </w:tr>
      <w:tr w:rsidR="00B01539" w:rsidRPr="00DA7DD2" w:rsidTr="0042243B">
        <w:trPr>
          <w:cantSplit/>
          <w:jc w:val="center"/>
        </w:trPr>
        <w:tc>
          <w:tcPr>
            <w:tcW w:w="1188" w:type="dxa"/>
            <w:vMerge/>
            <w:vAlign w:val="center"/>
          </w:tcPr>
          <w:p w:rsidR="00B01539" w:rsidRPr="00DA7DD2" w:rsidRDefault="00B01539" w:rsidP="0042243B">
            <w:pPr>
              <w:ind w:left="270"/>
              <w:rPr>
                <w:sz w:val="20"/>
              </w:rPr>
            </w:pPr>
          </w:p>
        </w:tc>
        <w:tc>
          <w:tcPr>
            <w:tcW w:w="1170" w:type="dxa"/>
            <w:tcBorders>
              <w:top w:val="nil"/>
              <w:bottom w:val="single" w:sz="4" w:space="0" w:color="auto"/>
            </w:tcBorders>
            <w:vAlign w:val="center"/>
          </w:tcPr>
          <w:p w:rsidR="00B01539" w:rsidRPr="00DA7DD2" w:rsidRDefault="00B01539" w:rsidP="0042243B">
            <w:pPr>
              <w:rPr>
                <w:sz w:val="20"/>
              </w:rPr>
            </w:pPr>
            <w:r w:rsidRPr="00DA7DD2">
              <w:rPr>
                <w:sz w:val="20"/>
              </w:rPr>
              <w:t>Statewide</w:t>
            </w:r>
          </w:p>
        </w:tc>
        <w:tc>
          <w:tcPr>
            <w:tcW w:w="918" w:type="dxa"/>
            <w:tcBorders>
              <w:top w:val="nil"/>
              <w:bottom w:val="single" w:sz="4" w:space="0" w:color="auto"/>
            </w:tcBorders>
            <w:vAlign w:val="center"/>
          </w:tcPr>
          <w:p w:rsidR="00B01539" w:rsidRPr="00DA7DD2" w:rsidRDefault="00B01539" w:rsidP="0042243B">
            <w:pPr>
              <w:jc w:val="center"/>
              <w:rPr>
                <w:color w:val="000000"/>
                <w:sz w:val="20"/>
              </w:rPr>
            </w:pPr>
            <w:r w:rsidRPr="00DA7DD2">
              <w:rPr>
                <w:color w:val="000000"/>
                <w:sz w:val="20"/>
              </w:rPr>
              <w:t>79.3</w:t>
            </w:r>
          </w:p>
        </w:tc>
        <w:tc>
          <w:tcPr>
            <w:tcW w:w="918" w:type="dxa"/>
            <w:tcBorders>
              <w:top w:val="nil"/>
              <w:bottom w:val="single" w:sz="4" w:space="0" w:color="auto"/>
            </w:tcBorders>
            <w:vAlign w:val="center"/>
          </w:tcPr>
          <w:p w:rsidR="00B01539" w:rsidRPr="00DA7DD2" w:rsidRDefault="00B01539" w:rsidP="0042243B">
            <w:pPr>
              <w:jc w:val="center"/>
              <w:rPr>
                <w:color w:val="000000"/>
                <w:sz w:val="20"/>
              </w:rPr>
            </w:pPr>
            <w:r w:rsidRPr="00DA7DD2">
              <w:rPr>
                <w:color w:val="000000"/>
                <w:sz w:val="20"/>
              </w:rPr>
              <w:t>80.2</w:t>
            </w:r>
          </w:p>
        </w:tc>
        <w:tc>
          <w:tcPr>
            <w:tcW w:w="918" w:type="dxa"/>
            <w:tcBorders>
              <w:top w:val="nil"/>
              <w:bottom w:val="single" w:sz="4" w:space="0" w:color="auto"/>
            </w:tcBorders>
            <w:vAlign w:val="center"/>
          </w:tcPr>
          <w:p w:rsidR="00B01539" w:rsidRPr="00DA7DD2" w:rsidRDefault="00B01539" w:rsidP="0042243B">
            <w:pPr>
              <w:jc w:val="center"/>
              <w:rPr>
                <w:color w:val="000000"/>
                <w:sz w:val="20"/>
              </w:rPr>
            </w:pPr>
            <w:r w:rsidRPr="00DA7DD2">
              <w:rPr>
                <w:color w:val="000000"/>
                <w:sz w:val="20"/>
              </w:rPr>
              <w:t>79.5</w:t>
            </w:r>
          </w:p>
        </w:tc>
        <w:tc>
          <w:tcPr>
            <w:tcW w:w="918" w:type="dxa"/>
            <w:tcBorders>
              <w:top w:val="nil"/>
              <w:bottom w:val="single" w:sz="4" w:space="0" w:color="auto"/>
            </w:tcBorders>
            <w:vAlign w:val="center"/>
          </w:tcPr>
          <w:p w:rsidR="00B01539" w:rsidRPr="00DA7DD2" w:rsidRDefault="00B01539" w:rsidP="0042243B">
            <w:pPr>
              <w:jc w:val="center"/>
              <w:rPr>
                <w:color w:val="000000"/>
                <w:sz w:val="20"/>
              </w:rPr>
            </w:pPr>
            <w:r w:rsidRPr="00DA7DD2">
              <w:rPr>
                <w:color w:val="000000"/>
                <w:sz w:val="20"/>
              </w:rPr>
              <w:t>85.6</w:t>
            </w:r>
          </w:p>
        </w:tc>
        <w:tc>
          <w:tcPr>
            <w:tcW w:w="918" w:type="dxa"/>
            <w:tcBorders>
              <w:top w:val="nil"/>
              <w:bottom w:val="single" w:sz="4" w:space="0" w:color="auto"/>
            </w:tcBorders>
            <w:vAlign w:val="center"/>
          </w:tcPr>
          <w:p w:rsidR="00B01539" w:rsidRPr="00DA7DD2" w:rsidRDefault="00B01539" w:rsidP="0042243B">
            <w:pPr>
              <w:jc w:val="center"/>
              <w:rPr>
                <w:color w:val="000000"/>
                <w:sz w:val="20"/>
              </w:rPr>
            </w:pPr>
            <w:r w:rsidRPr="00DA7DD2">
              <w:rPr>
                <w:color w:val="000000"/>
                <w:sz w:val="20"/>
              </w:rPr>
              <w:t>85.6</w:t>
            </w:r>
            <w:r w:rsidRPr="0057014D">
              <w:rPr>
                <w:color w:val="000000"/>
                <w:sz w:val="20"/>
              </w:rPr>
              <w:t>*</w:t>
            </w:r>
          </w:p>
        </w:tc>
        <w:tc>
          <w:tcPr>
            <w:tcW w:w="918" w:type="dxa"/>
            <w:tcBorders>
              <w:top w:val="nil"/>
              <w:bottom w:val="single" w:sz="4" w:space="0" w:color="auto"/>
            </w:tcBorders>
            <w:vAlign w:val="center"/>
          </w:tcPr>
          <w:p w:rsidR="00B01539" w:rsidRPr="00DA7DD2" w:rsidRDefault="00B01539" w:rsidP="0042243B">
            <w:pPr>
              <w:jc w:val="center"/>
              <w:rPr>
                <w:color w:val="000000"/>
                <w:sz w:val="20"/>
              </w:rPr>
            </w:pPr>
            <w:r w:rsidRPr="00DA7DD2">
              <w:rPr>
                <w:color w:val="000000"/>
                <w:sz w:val="20"/>
              </w:rPr>
              <w:t>83.6</w:t>
            </w:r>
          </w:p>
        </w:tc>
      </w:tr>
      <w:tr w:rsidR="00B01539" w:rsidRPr="00DA7DD2" w:rsidTr="0042243B">
        <w:trPr>
          <w:cantSplit/>
          <w:jc w:val="center"/>
        </w:trPr>
        <w:tc>
          <w:tcPr>
            <w:tcW w:w="7866" w:type="dxa"/>
            <w:gridSpan w:val="8"/>
            <w:tcBorders>
              <w:top w:val="single" w:sz="4" w:space="0" w:color="auto"/>
            </w:tcBorders>
            <w:vAlign w:val="center"/>
          </w:tcPr>
          <w:p w:rsidR="00B01539" w:rsidRPr="00071C00" w:rsidRDefault="00B01539" w:rsidP="0042243B">
            <w:pPr>
              <w:rPr>
                <w:sz w:val="18"/>
                <w:szCs w:val="18"/>
              </w:rPr>
            </w:pPr>
            <w:r w:rsidRPr="00071C00">
              <w:rPr>
                <w:b/>
                <w:sz w:val="18"/>
                <w:szCs w:val="18"/>
                <w:u w:val="single"/>
              </w:rPr>
              <w:t>Caution</w:t>
            </w:r>
            <w:r w:rsidRPr="00071C00">
              <w:rPr>
                <w:sz w:val="18"/>
                <w:szCs w:val="18"/>
              </w:rPr>
              <w:t>: Figures based on less than a 30% completion rate cannot be considered representative; figures based on completion between 30% and 50% should be interpreted with caution. The completion rate is defined as the percent of enrolled students who complete a valid survey.</w:t>
            </w:r>
          </w:p>
          <w:p w:rsidR="00B01539" w:rsidRPr="00071C00" w:rsidRDefault="00B01539" w:rsidP="0042243B">
            <w:pPr>
              <w:rPr>
                <w:sz w:val="18"/>
                <w:szCs w:val="18"/>
              </w:rPr>
            </w:pPr>
            <w:proofErr w:type="gramStart"/>
            <w:r w:rsidRPr="00071C00">
              <w:rPr>
                <w:b/>
                <w:sz w:val="18"/>
                <w:szCs w:val="18"/>
              </w:rPr>
              <w:t xml:space="preserve"># </w:t>
            </w:r>
            <w:r w:rsidRPr="00071C00">
              <w:rPr>
                <w:sz w:val="18"/>
                <w:szCs w:val="18"/>
              </w:rPr>
              <w:t xml:space="preserve"> Completion</w:t>
            </w:r>
            <w:proofErr w:type="gramEnd"/>
            <w:r w:rsidRPr="00071C00">
              <w:rPr>
                <w:sz w:val="18"/>
                <w:szCs w:val="18"/>
              </w:rPr>
              <w:t xml:space="preserve"> rate is less than 30%</w:t>
            </w:r>
            <w:r>
              <w:rPr>
                <w:sz w:val="18"/>
                <w:szCs w:val="18"/>
              </w:rPr>
              <w:t>;</w:t>
            </w:r>
            <w:r w:rsidRPr="00071C00">
              <w:rPr>
                <w:sz w:val="18"/>
                <w:szCs w:val="18"/>
              </w:rPr>
              <w:t xml:space="preserve">     </w:t>
            </w:r>
            <w:r w:rsidRPr="00071C00">
              <w:rPr>
                <w:b/>
                <w:sz w:val="18"/>
                <w:szCs w:val="18"/>
              </w:rPr>
              <w:t>*</w:t>
            </w:r>
            <w:r w:rsidRPr="00071C00">
              <w:rPr>
                <w:sz w:val="18"/>
                <w:szCs w:val="18"/>
              </w:rPr>
              <w:t xml:space="preserve"> Completion rate is less than 50%, but 30% or greater.</w:t>
            </w:r>
          </w:p>
          <w:p w:rsidR="00B01539" w:rsidRPr="00071C00" w:rsidRDefault="00B01539" w:rsidP="0042243B">
            <w:pPr>
              <w:rPr>
                <w:sz w:val="18"/>
                <w:szCs w:val="18"/>
              </w:rPr>
            </w:pPr>
            <w:r w:rsidRPr="00071C00">
              <w:rPr>
                <w:sz w:val="18"/>
                <w:szCs w:val="18"/>
              </w:rPr>
              <w:t>No statistics are available for St. Bernard Parish.</w:t>
            </w:r>
          </w:p>
          <w:p w:rsidR="00B01539" w:rsidRPr="00384D67" w:rsidRDefault="00B01539" w:rsidP="0042243B">
            <w:pPr>
              <w:rPr>
                <w:sz w:val="18"/>
                <w:szCs w:val="18"/>
                <w:highlight w:val="yellow"/>
              </w:rPr>
            </w:pPr>
            <w:r w:rsidRPr="00071C00">
              <w:rPr>
                <w:sz w:val="18"/>
                <w:szCs w:val="18"/>
              </w:rPr>
              <w:t xml:space="preserve">Data Source: Louisiana Social Indicators - </w:t>
            </w:r>
            <w:hyperlink r:id="rId8" w:history="1">
              <w:r w:rsidRPr="00071C00">
                <w:rPr>
                  <w:rStyle w:val="Hyperlink"/>
                  <w:sz w:val="18"/>
                  <w:szCs w:val="18"/>
                </w:rPr>
                <w:t>http://www.bach-harrison.com/lasocialindicators</w:t>
              </w:r>
            </w:hyperlink>
            <w:r w:rsidRPr="00071C00">
              <w:rPr>
                <w:sz w:val="18"/>
                <w:szCs w:val="18"/>
              </w:rPr>
              <w:t xml:space="preserve"> (7/5/2013).</w:t>
            </w:r>
          </w:p>
        </w:tc>
      </w:tr>
    </w:tbl>
    <w:p w:rsidR="00304D7D" w:rsidRDefault="00304D7D" w:rsidP="00304D7D"/>
    <w:p w:rsidR="00304D7D" w:rsidRPr="00304D7D" w:rsidRDefault="00304D7D" w:rsidP="00304D7D">
      <w:pPr>
        <w:rPr>
          <w:u w:val="single"/>
        </w:rPr>
      </w:pPr>
      <w:r w:rsidRPr="00304D7D">
        <w:rPr>
          <w:u w:val="single"/>
        </w:rPr>
        <w:t>Perceived Risk in Marijuana Use</w:t>
      </w:r>
    </w:p>
    <w:p w:rsidR="00304D7D" w:rsidRDefault="00304D7D" w:rsidP="00304D7D"/>
    <w:p w:rsidR="00304D7D" w:rsidRPr="00304D7D" w:rsidRDefault="00304D7D" w:rsidP="00304D7D">
      <w:r w:rsidRPr="00304D7D">
        <w:t xml:space="preserve">Statewide, </w:t>
      </w:r>
      <w:r>
        <w:t>77</w:t>
      </w:r>
      <w:r w:rsidRPr="00304D7D">
        <w:t xml:space="preserve"> percent of 8</w:t>
      </w:r>
      <w:r w:rsidRPr="00304D7D">
        <w:rPr>
          <w:vertAlign w:val="superscript"/>
        </w:rPr>
        <w:t>th</w:t>
      </w:r>
      <w:r w:rsidRPr="00304D7D">
        <w:t xml:space="preserve"> grade students thought that people put themselves at moderate or great risk by </w:t>
      </w:r>
      <w:r>
        <w:t>s</w:t>
      </w:r>
      <w:r w:rsidRPr="00304D7D">
        <w:t>mok</w:t>
      </w:r>
      <w:r>
        <w:t>ing</w:t>
      </w:r>
      <w:r w:rsidRPr="00304D7D">
        <w:t xml:space="preserve"> </w:t>
      </w:r>
      <w:r w:rsidRPr="006C1851">
        <w:rPr>
          <w:b/>
        </w:rPr>
        <w:t>marijuana</w:t>
      </w:r>
      <w:r w:rsidRPr="00304D7D">
        <w:t xml:space="preserve"> regularly, based on the 2012 CCYS survey. Similarly, among 10</w:t>
      </w:r>
      <w:r w:rsidRPr="00304D7D">
        <w:rPr>
          <w:vertAlign w:val="superscript"/>
        </w:rPr>
        <w:t>th</w:t>
      </w:r>
      <w:r w:rsidRPr="00304D7D">
        <w:t xml:space="preserve"> grade students, </w:t>
      </w:r>
      <w:r w:rsidR="006C1851">
        <w:t>68</w:t>
      </w:r>
      <w:r w:rsidRPr="00304D7D">
        <w:t xml:space="preserve"> percent thought that people put themselves at moderate or great risk by </w:t>
      </w:r>
      <w:r w:rsidR="006C1851" w:rsidRPr="006C1851">
        <w:t>smoking marijuana regularly</w:t>
      </w:r>
      <w:r w:rsidRPr="00304D7D">
        <w:t xml:space="preserve">. Perception of risk from </w:t>
      </w:r>
      <w:r w:rsidR="006C1851" w:rsidRPr="006C1851">
        <w:t xml:space="preserve">smoking marijuana regularly </w:t>
      </w:r>
      <w:r w:rsidR="006C1851">
        <w:t>may have de</w:t>
      </w:r>
      <w:r w:rsidRPr="00304D7D">
        <w:t xml:space="preserve">creased </w:t>
      </w:r>
      <w:r w:rsidR="006C1851">
        <w:t xml:space="preserve">slightly </w:t>
      </w:r>
      <w:r w:rsidRPr="00304D7D">
        <w:t>among 8</w:t>
      </w:r>
      <w:r w:rsidRPr="00304D7D">
        <w:rPr>
          <w:vertAlign w:val="superscript"/>
        </w:rPr>
        <w:t>th</w:t>
      </w:r>
      <w:r w:rsidRPr="00304D7D">
        <w:t xml:space="preserve"> graders from </w:t>
      </w:r>
      <w:r w:rsidR="006C1851">
        <w:t>80.6</w:t>
      </w:r>
      <w:r w:rsidRPr="00304D7D">
        <w:t xml:space="preserve"> percent in 2008 to </w:t>
      </w:r>
      <w:r w:rsidR="006C1851">
        <w:t>77.4</w:t>
      </w:r>
      <w:r w:rsidRPr="00304D7D">
        <w:t xml:space="preserve"> percent in 2012, but among 10</w:t>
      </w:r>
      <w:r w:rsidRPr="00304D7D">
        <w:rPr>
          <w:vertAlign w:val="superscript"/>
        </w:rPr>
        <w:t>th</w:t>
      </w:r>
      <w:r w:rsidRPr="00304D7D">
        <w:t xml:space="preserve"> grade students there was </w:t>
      </w:r>
      <w:r w:rsidR="006C1851">
        <w:t>a substantial decrease in the perception of risk</w:t>
      </w:r>
      <w:r w:rsidR="009E3959">
        <w:t>, from 79 percent in 2008 to 68 percent in 2012</w:t>
      </w:r>
      <w:r w:rsidRPr="00304D7D">
        <w:t>.</w:t>
      </w:r>
    </w:p>
    <w:p w:rsidR="00B01539" w:rsidRPr="000F7581" w:rsidRDefault="00B01539" w:rsidP="000F7581"/>
    <w:p w:rsidR="000F7581" w:rsidRDefault="009E3959" w:rsidP="000F7581">
      <w:r w:rsidRPr="009E3959">
        <w:lastRenderedPageBreak/>
        <w:t>In Greater New Orleans,</w:t>
      </w:r>
      <w:r>
        <w:t xml:space="preserve"> </w:t>
      </w:r>
      <w:r w:rsidRPr="009E3959">
        <w:rPr>
          <w:i/>
        </w:rPr>
        <w:t>about</w:t>
      </w:r>
      <w:r w:rsidRPr="009E3959">
        <w:t xml:space="preserve"> </w:t>
      </w:r>
      <w:r w:rsidR="006A6BA4" w:rsidRPr="006A6BA4">
        <w:t>68</w:t>
      </w:r>
      <w:r w:rsidRPr="009E3959">
        <w:t xml:space="preserve"> percent of 8</w:t>
      </w:r>
      <w:r w:rsidRPr="009E3959">
        <w:rPr>
          <w:vertAlign w:val="superscript"/>
        </w:rPr>
        <w:t>th</w:t>
      </w:r>
      <w:r w:rsidRPr="009E3959">
        <w:t xml:space="preserve"> grade students thought that people put themselves at moderate or great risk by smoking </w:t>
      </w:r>
      <w:r w:rsidRPr="009E3959">
        <w:rPr>
          <w:b/>
        </w:rPr>
        <w:t>marijuana</w:t>
      </w:r>
      <w:r w:rsidRPr="009E3959">
        <w:t xml:space="preserve"> regularly, based on the 2012 CCYS survey. Similarly, among 10</w:t>
      </w:r>
      <w:r w:rsidRPr="009E3959">
        <w:rPr>
          <w:vertAlign w:val="superscript"/>
        </w:rPr>
        <w:t>th</w:t>
      </w:r>
      <w:r w:rsidRPr="009E3959">
        <w:t xml:space="preserve"> grade students,</w:t>
      </w:r>
      <w:r w:rsidRPr="009E3959">
        <w:rPr>
          <w:i/>
        </w:rPr>
        <w:t xml:space="preserve"> about</w:t>
      </w:r>
      <w:r w:rsidRPr="009E3959">
        <w:t xml:space="preserve"> </w:t>
      </w:r>
      <w:r w:rsidRPr="006A6BA4">
        <w:t>6</w:t>
      </w:r>
      <w:r w:rsidR="006A6BA4" w:rsidRPr="006A6BA4">
        <w:t>1</w:t>
      </w:r>
      <w:r w:rsidRPr="009E3959">
        <w:t xml:space="preserve"> percent thought that people put themselves at moderate or great risk by smoking marijuana regularly. Perception of risk from smoking marijuana regularly decreased among 8</w:t>
      </w:r>
      <w:r w:rsidRPr="009E3959">
        <w:rPr>
          <w:vertAlign w:val="superscript"/>
        </w:rPr>
        <w:t>th</w:t>
      </w:r>
      <w:r w:rsidRPr="009E3959">
        <w:t xml:space="preserve"> graders from</w:t>
      </w:r>
      <w:r w:rsidR="00E47D73" w:rsidRPr="00E47D73">
        <w:rPr>
          <w:i/>
        </w:rPr>
        <w:t xml:space="preserve"> about</w:t>
      </w:r>
      <w:r w:rsidRPr="009E3959">
        <w:t xml:space="preserve"> </w:t>
      </w:r>
      <w:r w:rsidR="00E47D73">
        <w:t>76</w:t>
      </w:r>
      <w:r w:rsidRPr="009E3959">
        <w:t xml:space="preserve"> percent in 2008 to </w:t>
      </w:r>
      <w:r w:rsidR="00E47D73" w:rsidRPr="00E47D73">
        <w:rPr>
          <w:i/>
        </w:rPr>
        <w:t>about</w:t>
      </w:r>
      <w:r w:rsidR="00E47D73" w:rsidRPr="00E47D73">
        <w:t xml:space="preserve"> </w:t>
      </w:r>
      <w:r w:rsidR="00E47D73">
        <w:t>68</w:t>
      </w:r>
      <w:r w:rsidRPr="009E3959">
        <w:t xml:space="preserve"> percent in 2012</w:t>
      </w:r>
      <w:r w:rsidR="00E47D73">
        <w:t xml:space="preserve">. </w:t>
      </w:r>
      <w:r w:rsidRPr="009E3959">
        <w:t xml:space="preserve"> </w:t>
      </w:r>
      <w:r w:rsidR="0036302C" w:rsidRPr="009E3959">
        <w:t>Among</w:t>
      </w:r>
      <w:r w:rsidRPr="009E3959">
        <w:t xml:space="preserve"> 10</w:t>
      </w:r>
      <w:r w:rsidRPr="009E3959">
        <w:rPr>
          <w:vertAlign w:val="superscript"/>
        </w:rPr>
        <w:t>th</w:t>
      </w:r>
      <w:r w:rsidRPr="009E3959">
        <w:t xml:space="preserve"> grade students there was a substantial decrease in the perception of risk, from </w:t>
      </w:r>
      <w:r w:rsidR="00E47D73" w:rsidRPr="00E47D73">
        <w:rPr>
          <w:i/>
        </w:rPr>
        <w:t>about</w:t>
      </w:r>
      <w:r w:rsidR="00E47D73" w:rsidRPr="00E47D73">
        <w:t xml:space="preserve"> </w:t>
      </w:r>
      <w:r w:rsidRPr="009E3959">
        <w:t>7</w:t>
      </w:r>
      <w:r w:rsidR="00E47D73">
        <w:t>7</w:t>
      </w:r>
      <w:r w:rsidRPr="009E3959">
        <w:t xml:space="preserve"> percent in 2008 to </w:t>
      </w:r>
      <w:r w:rsidR="00E47D73" w:rsidRPr="00E47D73">
        <w:rPr>
          <w:i/>
        </w:rPr>
        <w:t>about</w:t>
      </w:r>
      <w:r w:rsidR="00E47D73" w:rsidRPr="00E47D73">
        <w:t xml:space="preserve"> </w:t>
      </w:r>
      <w:r w:rsidR="00E47D73">
        <w:t>61</w:t>
      </w:r>
      <w:r w:rsidRPr="009E3959">
        <w:t xml:space="preserve"> percent in 2012.</w:t>
      </w:r>
    </w:p>
    <w:p w:rsidR="009E3959" w:rsidRDefault="009E3959" w:rsidP="000F7581"/>
    <w:p w:rsidR="00CC6266" w:rsidRPr="00CC6266" w:rsidRDefault="00CC6266" w:rsidP="00CC6266">
      <w:pPr>
        <w:rPr>
          <w:u w:val="single"/>
        </w:rPr>
      </w:pPr>
      <w:r w:rsidRPr="00CC6266">
        <w:rPr>
          <w:u w:val="single"/>
        </w:rPr>
        <w:t xml:space="preserve">Perceived Risk in </w:t>
      </w:r>
      <w:r>
        <w:rPr>
          <w:u w:val="single"/>
        </w:rPr>
        <w:t>Tobacco</w:t>
      </w:r>
      <w:r w:rsidRPr="00CC6266">
        <w:rPr>
          <w:u w:val="single"/>
        </w:rPr>
        <w:t xml:space="preserve"> Use</w:t>
      </w:r>
    </w:p>
    <w:p w:rsidR="001D6FB3" w:rsidRDefault="001D6FB3" w:rsidP="000F7581"/>
    <w:p w:rsidR="001D6FB3" w:rsidRPr="001D6FB3" w:rsidRDefault="001D6FB3" w:rsidP="001D6FB3">
      <w:r w:rsidRPr="001D6FB3">
        <w:t xml:space="preserve">Statewide, </w:t>
      </w:r>
      <w:r w:rsidR="00081A92" w:rsidRPr="00081A92">
        <w:t>80</w:t>
      </w:r>
      <w:r w:rsidRPr="001D6FB3">
        <w:t xml:space="preserve"> percent of 8</w:t>
      </w:r>
      <w:r w:rsidRPr="001D6FB3">
        <w:rPr>
          <w:vertAlign w:val="superscript"/>
        </w:rPr>
        <w:t>th</w:t>
      </w:r>
      <w:r w:rsidRPr="001D6FB3">
        <w:t xml:space="preserve"> grade students thought that people put themselves at moderate or great risk by smoking one or more packs of </w:t>
      </w:r>
      <w:r w:rsidRPr="00081A92">
        <w:rPr>
          <w:b/>
        </w:rPr>
        <w:t>cigarettes</w:t>
      </w:r>
      <w:r w:rsidRPr="001D6FB3">
        <w:t xml:space="preserve"> per day, based on the 2012 CCYS survey. Similarly, among 10</w:t>
      </w:r>
      <w:r w:rsidRPr="001D6FB3">
        <w:rPr>
          <w:vertAlign w:val="superscript"/>
        </w:rPr>
        <w:t>th</w:t>
      </w:r>
      <w:r w:rsidRPr="001D6FB3">
        <w:t xml:space="preserve"> grade students, </w:t>
      </w:r>
      <w:r w:rsidR="00081A92" w:rsidRPr="00081A92">
        <w:t>84</w:t>
      </w:r>
      <w:r w:rsidRPr="001D6FB3">
        <w:t xml:space="preserve"> percent thought that people put themselves at moderate or great risk by smoking one or more packs of cigarettes per day. </w:t>
      </w:r>
      <w:r w:rsidR="00081A92" w:rsidRPr="00081A92">
        <w:t xml:space="preserve">There was no apparent change in perception of risk from </w:t>
      </w:r>
      <w:r w:rsidR="00A91591" w:rsidRPr="00A91591">
        <w:t xml:space="preserve">smoking one or more packs of cigarettes per day </w:t>
      </w:r>
      <w:r w:rsidR="00081A92" w:rsidRPr="00081A92">
        <w:t>from 2008 to 2012 among either 8</w:t>
      </w:r>
      <w:r w:rsidR="00081A92" w:rsidRPr="00081A92">
        <w:rPr>
          <w:vertAlign w:val="superscript"/>
        </w:rPr>
        <w:t>th</w:t>
      </w:r>
      <w:r w:rsidR="00081A92" w:rsidRPr="00081A92">
        <w:t xml:space="preserve"> or 10</w:t>
      </w:r>
      <w:r w:rsidR="00081A92" w:rsidRPr="00081A92">
        <w:rPr>
          <w:vertAlign w:val="superscript"/>
        </w:rPr>
        <w:t>th</w:t>
      </w:r>
      <w:r w:rsidR="00081A92" w:rsidRPr="00081A92">
        <w:t xml:space="preserve"> grade students.</w:t>
      </w:r>
    </w:p>
    <w:p w:rsidR="001D6FB3" w:rsidRPr="001D6FB3" w:rsidRDefault="001D6FB3" w:rsidP="001D6FB3"/>
    <w:p w:rsidR="001D6FB3" w:rsidRPr="001D6FB3" w:rsidRDefault="001D6FB3" w:rsidP="001D6FB3">
      <w:r w:rsidRPr="001D6FB3">
        <w:t xml:space="preserve">In Greater New Orleans, </w:t>
      </w:r>
      <w:r w:rsidRPr="001D6FB3">
        <w:rPr>
          <w:i/>
        </w:rPr>
        <w:t>about</w:t>
      </w:r>
      <w:r w:rsidRPr="001D6FB3">
        <w:t xml:space="preserve"> </w:t>
      </w:r>
      <w:r w:rsidR="001A33B3" w:rsidRPr="001A33B3">
        <w:t>76</w:t>
      </w:r>
      <w:r w:rsidRPr="001D6FB3">
        <w:t xml:space="preserve"> percent of 8</w:t>
      </w:r>
      <w:r w:rsidRPr="001D6FB3">
        <w:rPr>
          <w:vertAlign w:val="superscript"/>
        </w:rPr>
        <w:t>th</w:t>
      </w:r>
      <w:r w:rsidRPr="001D6FB3">
        <w:t xml:space="preserve"> grade students thought that people put themselves at moderate or great risk by smoking </w:t>
      </w:r>
      <w:r w:rsidR="00081A92" w:rsidRPr="00081A92">
        <w:t xml:space="preserve">one or more packs of </w:t>
      </w:r>
      <w:r w:rsidR="00081A92" w:rsidRPr="00081A92">
        <w:rPr>
          <w:b/>
        </w:rPr>
        <w:t>cigarettes</w:t>
      </w:r>
      <w:r w:rsidR="00081A92" w:rsidRPr="00081A92">
        <w:t xml:space="preserve"> per day</w:t>
      </w:r>
      <w:r w:rsidRPr="001D6FB3">
        <w:t xml:space="preserve">, based on the 2012 CCYS survey. </w:t>
      </w:r>
      <w:r w:rsidR="001A33B3" w:rsidRPr="001D6FB3">
        <w:t>Among</w:t>
      </w:r>
      <w:r w:rsidRPr="001D6FB3">
        <w:t xml:space="preserve"> 10</w:t>
      </w:r>
      <w:r w:rsidRPr="001D6FB3">
        <w:rPr>
          <w:vertAlign w:val="superscript"/>
        </w:rPr>
        <w:t>th</w:t>
      </w:r>
      <w:r w:rsidRPr="001D6FB3">
        <w:t xml:space="preserve"> grade students,</w:t>
      </w:r>
      <w:r w:rsidRPr="001D6FB3">
        <w:rPr>
          <w:i/>
        </w:rPr>
        <w:t xml:space="preserve"> about</w:t>
      </w:r>
      <w:r w:rsidRPr="001D6FB3">
        <w:t xml:space="preserve"> </w:t>
      </w:r>
      <w:r w:rsidR="001A33B3" w:rsidRPr="001A33B3">
        <w:t>80</w:t>
      </w:r>
      <w:r w:rsidRPr="001D6FB3">
        <w:t xml:space="preserve"> percent thought that people put themselves at moderate or great risk by smoking </w:t>
      </w:r>
      <w:r w:rsidR="00081A92" w:rsidRPr="00081A92">
        <w:t>one or more packs of cigarettes per day</w:t>
      </w:r>
      <w:r w:rsidRPr="001D6FB3">
        <w:t xml:space="preserve">. </w:t>
      </w:r>
      <w:r w:rsidR="001A33B3">
        <w:t>Among 8</w:t>
      </w:r>
      <w:r w:rsidR="001A33B3" w:rsidRPr="001A33B3">
        <w:rPr>
          <w:vertAlign w:val="superscript"/>
        </w:rPr>
        <w:t>th</w:t>
      </w:r>
      <w:r w:rsidR="001A33B3">
        <w:t xml:space="preserve"> graders there was no apparent change in p</w:t>
      </w:r>
      <w:r w:rsidRPr="001D6FB3">
        <w:t xml:space="preserve">erception of risk from smoking </w:t>
      </w:r>
      <w:r w:rsidR="00081A92" w:rsidRPr="00081A92">
        <w:t>one or more packs of cigarettes per day</w:t>
      </w:r>
      <w:r w:rsidR="001A33B3">
        <w:t>,</w:t>
      </w:r>
      <w:r w:rsidR="00081A92" w:rsidRPr="00081A92">
        <w:t xml:space="preserve"> </w:t>
      </w:r>
      <w:r w:rsidR="001A33B3">
        <w:t>but a</w:t>
      </w:r>
      <w:r w:rsidRPr="001D6FB3">
        <w:t>mong 10</w:t>
      </w:r>
      <w:r w:rsidRPr="001D6FB3">
        <w:rPr>
          <w:vertAlign w:val="superscript"/>
        </w:rPr>
        <w:t>th</w:t>
      </w:r>
      <w:r w:rsidRPr="001D6FB3">
        <w:t xml:space="preserve"> grade students there </w:t>
      </w:r>
      <w:r w:rsidR="001A33B3">
        <w:t>may have been a slight decrease</w:t>
      </w:r>
      <w:r w:rsidRPr="001D6FB3">
        <w:t xml:space="preserve"> in the perception of risk, from </w:t>
      </w:r>
      <w:r w:rsidRPr="001D6FB3">
        <w:rPr>
          <w:i/>
        </w:rPr>
        <w:t>about</w:t>
      </w:r>
      <w:r w:rsidRPr="001D6FB3">
        <w:t xml:space="preserve"> </w:t>
      </w:r>
      <w:r w:rsidR="00CC6266" w:rsidRPr="00CC6266">
        <w:t>85</w:t>
      </w:r>
      <w:r w:rsidRPr="001D6FB3">
        <w:t xml:space="preserve"> percent in 2008 to </w:t>
      </w:r>
      <w:r w:rsidRPr="001D6FB3">
        <w:rPr>
          <w:i/>
        </w:rPr>
        <w:t>about</w:t>
      </w:r>
      <w:r w:rsidRPr="001D6FB3">
        <w:t xml:space="preserve"> </w:t>
      </w:r>
      <w:r w:rsidR="00CC6266" w:rsidRPr="00CC6266">
        <w:t>80</w:t>
      </w:r>
      <w:r w:rsidRPr="001D6FB3">
        <w:t xml:space="preserve"> percent in 2012.</w:t>
      </w:r>
    </w:p>
    <w:p w:rsidR="001D6FB3" w:rsidRDefault="001D6FB3" w:rsidP="000F7581">
      <w:bookmarkStart w:id="0" w:name="_GoBack"/>
      <w:bookmarkEnd w:id="0"/>
    </w:p>
    <w:p w:rsidR="001D6FB3" w:rsidRDefault="001D6FB3" w:rsidP="000F7581"/>
    <w:p w:rsidR="001D6FB3" w:rsidRDefault="001D6FB3" w:rsidP="000F7581"/>
    <w:p w:rsidR="00B01539" w:rsidRPr="000F7581" w:rsidRDefault="00B01539" w:rsidP="00B01539">
      <w:r>
        <w:rPr>
          <w:b/>
        </w:rPr>
        <w:t>C</w:t>
      </w:r>
      <w:r w:rsidRPr="000F7581">
        <w:rPr>
          <w:b/>
        </w:rPr>
        <w:t>ontact for Further Information</w:t>
      </w:r>
    </w:p>
    <w:p w:rsidR="00B01539" w:rsidRDefault="00B01539" w:rsidP="00B01539"/>
    <w:p w:rsidR="00B01539" w:rsidRPr="00653608" w:rsidRDefault="00862F0F" w:rsidP="00B01539">
      <w:hyperlink r:id="rId9" w:history="1">
        <w:r w:rsidR="00B01539" w:rsidRPr="00653608">
          <w:rPr>
            <w:rStyle w:val="Hyperlink"/>
          </w:rPr>
          <w:t>http://picardcenter.org/ResearchAreas/QualityOfLife/CCYS/Pages/CCYS_default.aspx</w:t>
        </w:r>
      </w:hyperlink>
    </w:p>
    <w:p w:rsidR="00B01539" w:rsidRDefault="00B01539" w:rsidP="00B01539"/>
    <w:p w:rsidR="00B01539" w:rsidRPr="00952A15" w:rsidRDefault="00B01539" w:rsidP="00B01539">
      <w:pPr>
        <w:rPr>
          <w:sz w:val="20"/>
        </w:rPr>
      </w:pPr>
      <w:r w:rsidRPr="00952A15">
        <w:rPr>
          <w:sz w:val="20"/>
        </w:rPr>
        <w:t>Editor: Robert J Gallati (</w:t>
      </w:r>
      <w:hyperlink r:id="rId10" w:history="1">
        <w:r w:rsidRPr="00952A15">
          <w:rPr>
            <w:rStyle w:val="Hyperlink"/>
            <w:sz w:val="20"/>
          </w:rPr>
          <w:t>rjgallati@yahoo.com</w:t>
        </w:r>
      </w:hyperlink>
      <w:r w:rsidRPr="00952A15">
        <w:rPr>
          <w:sz w:val="20"/>
        </w:rPr>
        <w:t>), updated: 12/23/2013</w:t>
      </w:r>
    </w:p>
    <w:p w:rsidR="004F4264" w:rsidRPr="000F7581" w:rsidRDefault="004F4264" w:rsidP="00B01539"/>
    <w:sectPr w:rsidR="004F4264" w:rsidRPr="000F7581" w:rsidSect="007214C6">
      <w:headerReference w:type="default" r:id="rId11"/>
      <w:foot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F0F" w:rsidRDefault="00862F0F" w:rsidP="001B31CC">
      <w:r>
        <w:separator/>
      </w:r>
    </w:p>
  </w:endnote>
  <w:endnote w:type="continuationSeparator" w:id="0">
    <w:p w:rsidR="00862F0F" w:rsidRDefault="00862F0F" w:rsidP="001B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1CC" w:rsidRDefault="00935627">
    <w:pPr>
      <w:pStyle w:val="Footer"/>
    </w:pPr>
    <w:fldSimple w:instr=" FILENAME   \* MERGEFORMAT ">
      <w:r w:rsidR="00595795" w:rsidRPr="00595795">
        <w:rPr>
          <w:noProof/>
          <w:sz w:val="18"/>
          <w:szCs w:val="18"/>
        </w:rPr>
        <w:t>3-0503_PerceptRiskCCYS_200131226.docx</w:t>
      </w:r>
    </w:fldSimple>
    <w:r w:rsidR="001B31CC">
      <w:tab/>
    </w:r>
    <w:r w:rsidR="007214C6">
      <w:fldChar w:fldCharType="begin"/>
    </w:r>
    <w:r w:rsidR="001B31CC">
      <w:instrText xml:space="preserve"> PAGE   \* MERGEFORMAT </w:instrText>
    </w:r>
    <w:r w:rsidR="007214C6">
      <w:fldChar w:fldCharType="separate"/>
    </w:r>
    <w:r w:rsidR="00595795">
      <w:rPr>
        <w:noProof/>
      </w:rPr>
      <w:t>1</w:t>
    </w:r>
    <w:r w:rsidR="007214C6">
      <w:fldChar w:fldCharType="end"/>
    </w:r>
    <w:r w:rsidR="001B31CC">
      <w:t xml:space="preserve"> of </w:t>
    </w:r>
    <w:fldSimple w:instr=" NUMPAGES   \* MERGEFORMAT ">
      <w:r w:rsidR="00595795">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F0F" w:rsidRDefault="00862F0F" w:rsidP="001B31CC">
      <w:r>
        <w:separator/>
      </w:r>
    </w:p>
  </w:footnote>
  <w:footnote w:type="continuationSeparator" w:id="0">
    <w:p w:rsidR="00862F0F" w:rsidRDefault="00862F0F" w:rsidP="001B31CC">
      <w:r>
        <w:continuationSeparator/>
      </w:r>
    </w:p>
  </w:footnote>
  <w:footnote w:id="1">
    <w:p w:rsidR="00B01539" w:rsidRDefault="00B01539" w:rsidP="00B01539">
      <w:pPr>
        <w:pStyle w:val="FootnoteText"/>
      </w:pPr>
      <w:r>
        <w:rPr>
          <w:rStyle w:val="FootnoteReference"/>
        </w:rPr>
        <w:footnoteRef/>
      </w:r>
      <w:r>
        <w:t xml:space="preserve"> </w:t>
      </w:r>
      <w:r w:rsidRPr="00A9513A">
        <w:t>The CCYS uses a census survey method, attempting to survey all enrolled students.</w:t>
      </w:r>
      <w:r>
        <w:t xml:space="preserve"> Completion rate, as reporting in CCYS state and parish profiles, is the percent of enrolled students who complete a valid CCYS survey. This rate </w:t>
      </w:r>
      <w:r w:rsidR="001A619C">
        <w:t>is affected by</w:t>
      </w:r>
      <w:r>
        <w:t xml:space="preserve"> lack of school participation, student absences and inability to schedule all students to take the survey. See Appendix A for further information including grade and parish-specific completion rates by survey year.</w:t>
      </w:r>
    </w:p>
  </w:footnote>
  <w:footnote w:id="2">
    <w:p w:rsidR="006D4696" w:rsidRDefault="006D4696">
      <w:pPr>
        <w:pStyle w:val="FootnoteText"/>
      </w:pPr>
      <w:r>
        <w:rPr>
          <w:rStyle w:val="FootnoteReference"/>
        </w:rPr>
        <w:footnoteRef/>
      </w:r>
      <w:r>
        <w:t xml:space="preserve"> </w:t>
      </w:r>
      <w:r w:rsidRPr="006D4696">
        <w:t xml:space="preserve">Louisiana Social Indicators - </w:t>
      </w:r>
      <w:hyperlink r:id="rId1" w:history="1">
        <w:r w:rsidRPr="006D4696">
          <w:rPr>
            <w:rStyle w:val="Hyperlink"/>
          </w:rPr>
          <w:t>http://www.bach-harrison.com/lasocialindicators</w:t>
        </w:r>
      </w:hyperlink>
      <w:r w:rsidRPr="006D4696">
        <w:t xml:space="preserve"> (7/5/2013).</w:t>
      </w:r>
    </w:p>
  </w:footnote>
  <w:footnote w:id="3">
    <w:p w:rsidR="006D4696" w:rsidRDefault="006D4696">
      <w:pPr>
        <w:pStyle w:val="FootnoteText"/>
      </w:pPr>
      <w:r>
        <w:rPr>
          <w:rStyle w:val="FootnoteReference"/>
        </w:rPr>
        <w:footnoteRef/>
      </w:r>
      <w:r>
        <w:t xml:space="preserve"> Note that these behaviors are not necessarily equally risky and there is no objective basis for comparing one substance against another. Comparisons can be made across </w:t>
      </w:r>
      <w:r w:rsidR="007A12D3">
        <w:t xml:space="preserve">school </w:t>
      </w:r>
      <w:r>
        <w:t>grade, survey year and geography.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C1" w:rsidRDefault="000E3853">
    <w:pPr>
      <w:pStyle w:val="Header"/>
      <w:rPr>
        <w:b/>
      </w:rPr>
    </w:pPr>
    <w:r>
      <w:rPr>
        <w:b/>
      </w:rPr>
      <w:t xml:space="preserve">Greater New Orleans </w:t>
    </w:r>
    <w:r w:rsidR="006E4BC1" w:rsidRPr="006E4BC1">
      <w:rPr>
        <w:b/>
      </w:rPr>
      <w:t xml:space="preserve">Community Substance </w:t>
    </w:r>
    <w:r w:rsidR="004F4264">
      <w:rPr>
        <w:b/>
      </w:rPr>
      <w:t>U</w:t>
    </w:r>
    <w:r w:rsidR="006E4BC1" w:rsidRPr="006E4BC1">
      <w:rPr>
        <w:b/>
      </w:rPr>
      <w:t>se Health Profile</w:t>
    </w:r>
  </w:p>
  <w:p w:rsidR="00DD1E24" w:rsidRPr="006E4BC1" w:rsidRDefault="00283D5D" w:rsidP="00283D5D">
    <w:pPr>
      <w:pStyle w:val="Header"/>
      <w:rPr>
        <w:b/>
      </w:rPr>
    </w:pPr>
    <w:r w:rsidRPr="00283D5D">
      <w:rPr>
        <w:b/>
      </w:rPr>
      <w:t>Risk and Protective Factors – Soci</w:t>
    </w:r>
    <w:r>
      <w:rPr>
        <w:b/>
      </w:rPr>
      <w:t>al Norms and Perception of Risk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21B"/>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7339B4"/>
    <w:multiLevelType w:val="hybridMultilevel"/>
    <w:tmpl w:val="FECC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3">
    <w:nsid w:val="25C408A7"/>
    <w:multiLevelType w:val="hybridMultilevel"/>
    <w:tmpl w:val="58A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6087E"/>
    <w:multiLevelType w:val="multilevel"/>
    <w:tmpl w:val="17DA4E82"/>
    <w:lvl w:ilvl="0">
      <w:start w:val="9"/>
      <w:numFmt w:val="decimal"/>
      <w:lvlText w:val="%1."/>
      <w:lvlJc w:val="left"/>
      <w:pPr>
        <w:tabs>
          <w:tab w:val="left" w:pos="288"/>
        </w:tabs>
        <w:ind w:left="720"/>
      </w:pPr>
      <w:rPr>
        <w:rFonts w:ascii="Times New Roman" w:eastAsia="Times New Roman" w:hAnsi="Times New Roman"/>
        <w:b/>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EC4815"/>
    <w:multiLevelType w:val="multilevel"/>
    <w:tmpl w:val="14D6A2CC"/>
    <w:lvl w:ilvl="0">
      <w:start w:val="1"/>
      <w:numFmt w:val="bullet"/>
      <w:lvlText w:val="o"/>
      <w:lvlJc w:val="left"/>
      <w:pPr>
        <w:tabs>
          <w:tab w:val="left" w:pos="360"/>
        </w:tabs>
        <w:ind w:left="720"/>
      </w:pPr>
      <w:rPr>
        <w:rFonts w:ascii="Courier New" w:eastAsia="Courier New" w:hAnsi="Courier New"/>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12437A"/>
    <w:multiLevelType w:val="hybridMultilevel"/>
    <w:tmpl w:val="A7E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776534"/>
    <w:multiLevelType w:val="multilevel"/>
    <w:tmpl w:val="77880920"/>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6025D1"/>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E9D1D32"/>
    <w:multiLevelType w:val="multilevel"/>
    <w:tmpl w:val="9E0E08C2"/>
    <w:lvl w:ilvl="0">
      <w:start w:val="7"/>
      <w:numFmt w:val="decimal"/>
      <w:lvlText w:val="%1."/>
      <w:lvlJc w:val="left"/>
      <w:pPr>
        <w:tabs>
          <w:tab w:val="left" w:pos="432"/>
        </w:tabs>
        <w:ind w:left="720"/>
      </w:pPr>
      <w:rPr>
        <w:rFonts w:ascii="Times New Roman" w:eastAsia="Times New Roman" w:hAnsi="Times New Roman"/>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7"/>
  </w:num>
  <w:num w:numId="4">
    <w:abstractNumId w:val="5"/>
  </w:num>
  <w:num w:numId="5">
    <w:abstractNumId w:val="9"/>
  </w:num>
  <w:num w:numId="6">
    <w:abstractNumId w:val="0"/>
  </w:num>
  <w:num w:numId="7">
    <w:abstractNumId w:val="10"/>
  </w:num>
  <w:num w:numId="8">
    <w:abstractNumId w:val="4"/>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5"/>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04"/>
    <w:rsid w:val="000231AC"/>
    <w:rsid w:val="00034184"/>
    <w:rsid w:val="0004249E"/>
    <w:rsid w:val="00047859"/>
    <w:rsid w:val="0005363D"/>
    <w:rsid w:val="000613DD"/>
    <w:rsid w:val="000726C0"/>
    <w:rsid w:val="00081A92"/>
    <w:rsid w:val="000C092D"/>
    <w:rsid w:val="000D188F"/>
    <w:rsid w:val="000E3853"/>
    <w:rsid w:val="000F3280"/>
    <w:rsid w:val="000F7581"/>
    <w:rsid w:val="001440D4"/>
    <w:rsid w:val="0015747A"/>
    <w:rsid w:val="001A33B3"/>
    <w:rsid w:val="001A619C"/>
    <w:rsid w:val="001B31CC"/>
    <w:rsid w:val="001C7E49"/>
    <w:rsid w:val="001D6FB3"/>
    <w:rsid w:val="001E7474"/>
    <w:rsid w:val="00202AD8"/>
    <w:rsid w:val="00213B5A"/>
    <w:rsid w:val="002315F0"/>
    <w:rsid w:val="002318EB"/>
    <w:rsid w:val="0024791A"/>
    <w:rsid w:val="002517AA"/>
    <w:rsid w:val="002838EF"/>
    <w:rsid w:val="00283D5D"/>
    <w:rsid w:val="0028675C"/>
    <w:rsid w:val="002B140C"/>
    <w:rsid w:val="002C5D2D"/>
    <w:rsid w:val="00302423"/>
    <w:rsid w:val="00304D7D"/>
    <w:rsid w:val="003348D2"/>
    <w:rsid w:val="0036302C"/>
    <w:rsid w:val="0036519E"/>
    <w:rsid w:val="00392126"/>
    <w:rsid w:val="0039218D"/>
    <w:rsid w:val="003D7190"/>
    <w:rsid w:val="00447048"/>
    <w:rsid w:val="00487A22"/>
    <w:rsid w:val="004A474C"/>
    <w:rsid w:val="004D57B2"/>
    <w:rsid w:val="004E7EF2"/>
    <w:rsid w:val="004F4264"/>
    <w:rsid w:val="00520F3D"/>
    <w:rsid w:val="00546230"/>
    <w:rsid w:val="00563573"/>
    <w:rsid w:val="005917EF"/>
    <w:rsid w:val="00595795"/>
    <w:rsid w:val="0060239C"/>
    <w:rsid w:val="006169A3"/>
    <w:rsid w:val="00650C16"/>
    <w:rsid w:val="00684CF0"/>
    <w:rsid w:val="00693BBB"/>
    <w:rsid w:val="00694BCF"/>
    <w:rsid w:val="0069748D"/>
    <w:rsid w:val="006A65C8"/>
    <w:rsid w:val="006A6BA4"/>
    <w:rsid w:val="006B22A9"/>
    <w:rsid w:val="006B2887"/>
    <w:rsid w:val="006C1851"/>
    <w:rsid w:val="006D4696"/>
    <w:rsid w:val="006D4F96"/>
    <w:rsid w:val="006E4BC1"/>
    <w:rsid w:val="007214C6"/>
    <w:rsid w:val="007215B1"/>
    <w:rsid w:val="00722A7F"/>
    <w:rsid w:val="007439F1"/>
    <w:rsid w:val="007476B9"/>
    <w:rsid w:val="0075355D"/>
    <w:rsid w:val="007619DF"/>
    <w:rsid w:val="007A023C"/>
    <w:rsid w:val="007A12D3"/>
    <w:rsid w:val="008020DA"/>
    <w:rsid w:val="00812E90"/>
    <w:rsid w:val="008302C3"/>
    <w:rsid w:val="008324A9"/>
    <w:rsid w:val="00843D1D"/>
    <w:rsid w:val="00862080"/>
    <w:rsid w:val="00862F0F"/>
    <w:rsid w:val="008D578E"/>
    <w:rsid w:val="008F74AA"/>
    <w:rsid w:val="008F7EBF"/>
    <w:rsid w:val="00935627"/>
    <w:rsid w:val="0094555E"/>
    <w:rsid w:val="00952A84"/>
    <w:rsid w:val="0096217B"/>
    <w:rsid w:val="00962F2E"/>
    <w:rsid w:val="00975E1E"/>
    <w:rsid w:val="00985016"/>
    <w:rsid w:val="009C039F"/>
    <w:rsid w:val="009C534C"/>
    <w:rsid w:val="009D1DAB"/>
    <w:rsid w:val="009E292F"/>
    <w:rsid w:val="009E3959"/>
    <w:rsid w:val="00A02D06"/>
    <w:rsid w:val="00A06288"/>
    <w:rsid w:val="00A37AD2"/>
    <w:rsid w:val="00A4227B"/>
    <w:rsid w:val="00A85D4E"/>
    <w:rsid w:val="00A8644E"/>
    <w:rsid w:val="00A91591"/>
    <w:rsid w:val="00AB44E8"/>
    <w:rsid w:val="00AC3FD1"/>
    <w:rsid w:val="00AD6173"/>
    <w:rsid w:val="00AE18B3"/>
    <w:rsid w:val="00AF5A02"/>
    <w:rsid w:val="00B01539"/>
    <w:rsid w:val="00B03D3C"/>
    <w:rsid w:val="00B42169"/>
    <w:rsid w:val="00B7364F"/>
    <w:rsid w:val="00B964DB"/>
    <w:rsid w:val="00BB36AD"/>
    <w:rsid w:val="00BC0572"/>
    <w:rsid w:val="00BD41FF"/>
    <w:rsid w:val="00C13A65"/>
    <w:rsid w:val="00C17E6A"/>
    <w:rsid w:val="00C26DD8"/>
    <w:rsid w:val="00C33589"/>
    <w:rsid w:val="00C338CA"/>
    <w:rsid w:val="00C42104"/>
    <w:rsid w:val="00C64A71"/>
    <w:rsid w:val="00C81ED2"/>
    <w:rsid w:val="00CB08D4"/>
    <w:rsid w:val="00CB19AA"/>
    <w:rsid w:val="00CC58D0"/>
    <w:rsid w:val="00CC6266"/>
    <w:rsid w:val="00CF5D44"/>
    <w:rsid w:val="00D146B2"/>
    <w:rsid w:val="00D66870"/>
    <w:rsid w:val="00DC0DE1"/>
    <w:rsid w:val="00DD1E24"/>
    <w:rsid w:val="00DF1139"/>
    <w:rsid w:val="00E47D73"/>
    <w:rsid w:val="00E77285"/>
    <w:rsid w:val="00E81BD9"/>
    <w:rsid w:val="00E82620"/>
    <w:rsid w:val="00E8405F"/>
    <w:rsid w:val="00E95D8C"/>
    <w:rsid w:val="00EA430E"/>
    <w:rsid w:val="00EB2A9A"/>
    <w:rsid w:val="00EB71B1"/>
    <w:rsid w:val="00EC04F1"/>
    <w:rsid w:val="00EC5CFD"/>
    <w:rsid w:val="00EE6935"/>
    <w:rsid w:val="00EF0510"/>
    <w:rsid w:val="00F653C3"/>
    <w:rsid w:val="00F7602E"/>
    <w:rsid w:val="00F77D5B"/>
    <w:rsid w:val="00F94B0C"/>
    <w:rsid w:val="00FA1B45"/>
    <w:rsid w:val="00FA1C4F"/>
    <w:rsid w:val="00FB20B9"/>
    <w:rsid w:val="00FB48D1"/>
    <w:rsid w:val="00FB615F"/>
    <w:rsid w:val="00FE43A9"/>
    <w:rsid w:val="00FF1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ch-harrison.com/lasocialindicator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jgallati@yahoo.com" TargetMode="External"/><Relationship Id="rId4" Type="http://schemas.openxmlformats.org/officeDocument/2006/relationships/settings" Target="settings.xml"/><Relationship Id="rId9" Type="http://schemas.openxmlformats.org/officeDocument/2006/relationships/hyperlink" Target="http://picardcenter.org/ResearchAreas/QualityOfLife/CCYS/Pages/CCYS_default.asp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ach-harrison.com/lasocialindica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180</TotalTime>
  <Pages>3</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Robert J Gallati</cp:lastModifiedBy>
  <cp:revision>9</cp:revision>
  <cp:lastPrinted>2014-02-03T22:58:00Z</cp:lastPrinted>
  <dcterms:created xsi:type="dcterms:W3CDTF">2014-01-07T03:08:00Z</dcterms:created>
  <dcterms:modified xsi:type="dcterms:W3CDTF">2014-02-03T23:07:00Z</dcterms:modified>
</cp:coreProperties>
</file>