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BC1" w:rsidRDefault="006E4BC1" w:rsidP="00034184">
      <w:pPr>
        <w:jc w:val="center"/>
        <w:rPr>
          <w:b/>
          <w:sz w:val="28"/>
          <w:szCs w:val="28"/>
        </w:rPr>
      </w:pPr>
    </w:p>
    <w:p w:rsidR="00034184" w:rsidRPr="00C33589" w:rsidRDefault="00F97EC9" w:rsidP="000341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Perception of Risk among All Adults and Young Adults</w:t>
      </w:r>
    </w:p>
    <w:p w:rsidR="000F7581" w:rsidRDefault="000F7581" w:rsidP="000F7581"/>
    <w:p w:rsidR="00EA511F" w:rsidRDefault="00F4786B" w:rsidP="00EA511F">
      <w:r w:rsidRPr="00F4786B">
        <w:t xml:space="preserve">The National Survey on Drug Use and Health (NSDUH) </w:t>
      </w:r>
      <w:r>
        <w:t>publishes</w:t>
      </w:r>
      <w:r w:rsidRPr="00F4786B">
        <w:t xml:space="preserve"> sub-state estimates for a limited number of indicators measuring substance use, substance use disorders and risk</w:t>
      </w:r>
      <w:r>
        <w:t xml:space="preserve"> and protective</w:t>
      </w:r>
      <w:r w:rsidRPr="00F4786B">
        <w:t xml:space="preserve"> factors.</w:t>
      </w:r>
      <w:r>
        <w:t xml:space="preserve"> Only three indicators address risk and protective factors</w:t>
      </w:r>
      <w:r w:rsidR="00EA511F" w:rsidRPr="00EA511F">
        <w:t xml:space="preserve"> for sub-state areas: the respondents’ perception of great risk from (a) smoking marijuana once a month; (b) having five or more drinks of alcohol once or twice a week, and (c) smoking one or more packs of cigarettes per day. It is important to </w:t>
      </w:r>
      <w:r w:rsidR="00BE35FE">
        <w:t>understand</w:t>
      </w:r>
      <w:r w:rsidR="00EA511F" w:rsidRPr="00EA511F">
        <w:t xml:space="preserve"> that risks associated with these three substances cannot be compared</w:t>
      </w:r>
      <w:r w:rsidR="00BE35FE">
        <w:t>,</w:t>
      </w:r>
      <w:r w:rsidR="00EA511F" w:rsidRPr="00EA511F">
        <w:t xml:space="preserve"> if only because</w:t>
      </w:r>
      <w:r w:rsidR="00BE35FE">
        <w:t xml:space="preserve"> of the</w:t>
      </w:r>
      <w:r w:rsidR="00EA511F" w:rsidRPr="00EA511F">
        <w:t xml:space="preserve"> vastly different frequencies asked about. Although the substances cannot be compared one against another, differences </w:t>
      </w:r>
      <w:r w:rsidR="00F92BFB">
        <w:t>in perception of risk for</w:t>
      </w:r>
      <w:r w:rsidR="00EA511F" w:rsidRPr="00EA511F">
        <w:t xml:space="preserve"> any </w:t>
      </w:r>
      <w:r w:rsidR="00F92BFB">
        <w:t>particular</w:t>
      </w:r>
      <w:r w:rsidR="00EA511F" w:rsidRPr="00EA511F">
        <w:t xml:space="preserve"> substance can be compared across time and geography.</w:t>
      </w:r>
    </w:p>
    <w:p w:rsidR="00EA511F" w:rsidRPr="00EA511F" w:rsidRDefault="00EA511F" w:rsidP="00EA511F"/>
    <w:p w:rsidR="0076428B" w:rsidRDefault="001F72FF" w:rsidP="001F72FF">
      <w:r w:rsidRPr="001F72FF">
        <w:t xml:space="preserve">For Louisiana sub-state areas include the Metropolitan </w:t>
      </w:r>
      <w:r w:rsidR="00F92BFB">
        <w:t xml:space="preserve">Human Services </w:t>
      </w:r>
      <w:r w:rsidRPr="001F72FF">
        <w:t xml:space="preserve">District (Orleans, Plaquemines and St. Bernard parishes) combined with the South Central parishes. In this report, these parishes will be referred to as the </w:t>
      </w:r>
      <w:r w:rsidR="004E1F6F" w:rsidRPr="004E1F6F">
        <w:t>“Metropolitan &amp; South Central” area</w:t>
      </w:r>
      <w:r w:rsidRPr="001F72FF">
        <w:t>.</w:t>
      </w:r>
      <w:r w:rsidR="004E1F6F">
        <w:t xml:space="preserve"> </w:t>
      </w:r>
      <w:r w:rsidR="00F4786B">
        <w:t xml:space="preserve">NSDUH does not currently provide estimates for Greater New Orleans, </w:t>
      </w:r>
      <w:r w:rsidR="004E1F6F" w:rsidRPr="004E1F6F">
        <w:t>the 4-parish area consisting of Orleans, Jefferson, Plaquemines and St. Bern</w:t>
      </w:r>
      <w:r w:rsidR="00F4786B">
        <w:t>ard parishes.</w:t>
      </w:r>
      <w:r w:rsidR="004E1F6F">
        <w:t xml:space="preserve"> </w:t>
      </w:r>
      <w:r w:rsidR="00F4786B">
        <w:t>However, it does</w:t>
      </w:r>
      <w:r w:rsidRPr="001F72FF">
        <w:t xml:space="preserve"> </w:t>
      </w:r>
      <w:r w:rsidR="0076428B" w:rsidRPr="001F72FF">
        <w:t>provide</w:t>
      </w:r>
      <w:r w:rsidRPr="001F72FF">
        <w:t xml:space="preserve"> separate estimates for Jefferson Parish. </w:t>
      </w:r>
      <w:r w:rsidR="00402927" w:rsidRPr="00402927">
        <w:t>New sub-state estimates will be published by the fall 2014; they will include separate estimates for Greater New Orleans and the Metropolitan District as well as Jefferson Parish.</w:t>
      </w:r>
      <w:r w:rsidR="00402927">
        <w:t xml:space="preserve"> </w:t>
      </w:r>
    </w:p>
    <w:p w:rsidR="0076428B" w:rsidRDefault="0076428B" w:rsidP="001F72FF"/>
    <w:p w:rsidR="00DC4B84" w:rsidRDefault="00D65FBF" w:rsidP="001F72FF">
      <w:r w:rsidRPr="00D65FBF">
        <w:t xml:space="preserve">Sub-state estimates </w:t>
      </w:r>
      <w:r w:rsidR="001F72FF" w:rsidRPr="001F72FF">
        <w:t xml:space="preserve">are made by pooling 3 years of data. </w:t>
      </w:r>
      <w:r w:rsidR="00DC4B84" w:rsidRPr="00DC4B84">
        <w:t>The currently available estimates are based on data from 2008, 2009 and 2010. These data are, on average, almost 5 years old at this point. New sub-state estimates will be published by the fall 2014. These estimates will be based on pooled data from 2010, 2011 and 2012. Thus, on average, the data will be 3 years old at the time of publication.</w:t>
      </w:r>
      <w:r w:rsidR="00DC4B84" w:rsidRPr="001F72FF">
        <w:t xml:space="preserve"> This</w:t>
      </w:r>
      <w:r w:rsidR="001F72FF" w:rsidRPr="001F72FF">
        <w:t xml:space="preserve"> is an important limitation given the dynamic population changes resulting from Hurricane Katrina. Nevertheless, </w:t>
      </w:r>
      <w:r w:rsidR="001F72FF" w:rsidRPr="001F72FF">
        <w:rPr>
          <w:i/>
        </w:rPr>
        <w:t>NSDUH provides the most comprehensive information available based on a national standard and permits comparisons across sub-state areas, states and regions as well as monitoring of trends over time</w:t>
      </w:r>
      <w:r w:rsidR="001F72FF" w:rsidRPr="001F72FF">
        <w:t>.</w:t>
      </w:r>
      <w:r w:rsidR="001F72FF" w:rsidRPr="001F72FF">
        <w:rPr>
          <w:vertAlign w:val="superscript"/>
        </w:rPr>
        <w:footnoteReference w:id="1"/>
      </w:r>
      <w:r w:rsidR="001F72FF" w:rsidRPr="001F72FF">
        <w:t xml:space="preserve">  </w:t>
      </w:r>
    </w:p>
    <w:p w:rsidR="00061299" w:rsidRDefault="00061299" w:rsidP="001F72FF"/>
    <w:p w:rsidR="00061299" w:rsidRPr="00061299" w:rsidRDefault="00061299" w:rsidP="001F72FF">
      <w:pPr>
        <w:rPr>
          <w:b/>
        </w:rPr>
      </w:pPr>
      <w:r w:rsidRPr="00061299">
        <w:rPr>
          <w:b/>
        </w:rPr>
        <w:t>Estimates for Greater New Orleans</w:t>
      </w:r>
    </w:p>
    <w:p w:rsidR="00061299" w:rsidRDefault="00061299" w:rsidP="001F72FF"/>
    <w:p w:rsidR="00F92BFB" w:rsidRDefault="00F92BFB" w:rsidP="001F72FF">
      <w:r>
        <w:t xml:space="preserve">As indicated above, NSDUH does not currently provide estimates </w:t>
      </w:r>
      <w:r w:rsidR="00AF41DD">
        <w:t xml:space="preserve">specifically </w:t>
      </w:r>
      <w:r>
        <w:t>for Greater New Orleans or the Metropolitan Human Services District. However, for planning purposes</w:t>
      </w:r>
      <w:r w:rsidR="00AF41DD">
        <w:t xml:space="preserve"> approximat</w:t>
      </w:r>
      <w:r w:rsidR="008939FC">
        <w:t>ions can be made by simply averaging</w:t>
      </w:r>
      <w:r w:rsidR="005B2C8E">
        <w:t xml:space="preserve"> </w:t>
      </w:r>
      <w:r w:rsidR="005B2C8E" w:rsidRPr="005B2C8E">
        <w:t>Metropolitan &amp; South Central</w:t>
      </w:r>
      <w:r w:rsidR="005B2C8E">
        <w:t xml:space="preserve"> with Jefferson Parish statistics.</w:t>
      </w:r>
      <w:r w:rsidR="00F714A8">
        <w:rPr>
          <w:rStyle w:val="FootnoteReference"/>
        </w:rPr>
        <w:footnoteReference w:id="2"/>
      </w:r>
      <w:r w:rsidR="005B2C8E">
        <w:t xml:space="preserve"> Greater New Orleans estimates </w:t>
      </w:r>
      <w:r w:rsidR="00580008">
        <w:t>are</w:t>
      </w:r>
      <w:r w:rsidR="005B2C8E">
        <w:t xml:space="preserve"> prefaced with “about” to signal that they are no</w:t>
      </w:r>
      <w:r w:rsidR="00984C21">
        <w:t xml:space="preserve">t direct survey estimates. These “planning estimates” cannot not be used to track change over time. </w:t>
      </w:r>
      <w:r w:rsidR="00984C21" w:rsidRPr="00F17C3B">
        <w:rPr>
          <w:i/>
        </w:rPr>
        <w:t>When the new sub-state NSDUH estimates are published</w:t>
      </w:r>
      <w:r w:rsidR="00587AFD" w:rsidRPr="00F17C3B">
        <w:rPr>
          <w:i/>
        </w:rPr>
        <w:t xml:space="preserve"> in the fall 2014</w:t>
      </w:r>
      <w:r w:rsidR="00984C21" w:rsidRPr="00F17C3B">
        <w:rPr>
          <w:i/>
        </w:rPr>
        <w:t xml:space="preserve">, with direct </w:t>
      </w:r>
      <w:r w:rsidR="00984C21" w:rsidRPr="00F17C3B">
        <w:rPr>
          <w:i/>
        </w:rPr>
        <w:lastRenderedPageBreak/>
        <w:t xml:space="preserve">estimates for Greater New Orleans and the Metropolitan District, </w:t>
      </w:r>
      <w:r w:rsidR="001E69CB" w:rsidRPr="00F17C3B">
        <w:rPr>
          <w:i/>
        </w:rPr>
        <w:t>the planning</w:t>
      </w:r>
      <w:r w:rsidR="00F714A8" w:rsidRPr="00F17C3B">
        <w:rPr>
          <w:i/>
        </w:rPr>
        <w:t xml:space="preserve"> estimates should be discarded.</w:t>
      </w:r>
    </w:p>
    <w:p w:rsidR="00061299" w:rsidRDefault="00061299" w:rsidP="001F72FF"/>
    <w:p w:rsidR="00C40876" w:rsidRDefault="00C40876" w:rsidP="000F7581">
      <w:r>
        <w:t xml:space="preserve">Among the adult population (ages 18 and older) </w:t>
      </w:r>
      <w:r w:rsidR="00E82FE8">
        <w:t>in</w:t>
      </w:r>
      <w:r>
        <w:t xml:space="preserve"> Greater New Orleans, almost half (about 43%) </w:t>
      </w:r>
      <w:r w:rsidRPr="00C40876">
        <w:t xml:space="preserve">indicated that </w:t>
      </w:r>
      <w:r w:rsidRPr="00C40876">
        <w:rPr>
          <w:u w:val="single"/>
        </w:rPr>
        <w:t>smoking marijuana once a month</w:t>
      </w:r>
      <w:r w:rsidRPr="00C40876">
        <w:t xml:space="preserve"> posed a great risk</w:t>
      </w:r>
      <w:r w:rsidR="0055541D">
        <w:t xml:space="preserve">, based on </w:t>
      </w:r>
      <w:r w:rsidR="003C0C47">
        <w:t>NSDUH surveys</w:t>
      </w:r>
      <w:r w:rsidR="004A3BF7">
        <w:t xml:space="preserve"> for 2008-10</w:t>
      </w:r>
      <w:r w:rsidRPr="00C40876">
        <w:t xml:space="preserve">. This figure is </w:t>
      </w:r>
      <w:r w:rsidR="003C0C47">
        <w:t>similar to the rate for</w:t>
      </w:r>
      <w:r w:rsidRPr="00C40876">
        <w:t xml:space="preserve"> the state as a whole. </w:t>
      </w:r>
      <w:r>
        <w:t>The Louisiana state figure (43%)</w:t>
      </w:r>
      <w:r w:rsidRPr="00C40876">
        <w:t xml:space="preserve"> </w:t>
      </w:r>
      <w:r>
        <w:t>is</w:t>
      </w:r>
      <w:r w:rsidRPr="00C40876">
        <w:t xml:space="preserve"> slightly higher than </w:t>
      </w:r>
      <w:r>
        <w:t>that</w:t>
      </w:r>
      <w:r w:rsidRPr="00C40876">
        <w:t xml:space="preserve"> for southern states</w:t>
      </w:r>
      <w:r>
        <w:t xml:space="preserve"> (40%)</w:t>
      </w:r>
      <w:r w:rsidRPr="00C40876">
        <w:t xml:space="preserve"> and substantially higher than</w:t>
      </w:r>
      <w:r>
        <w:t xml:space="preserve"> the</w:t>
      </w:r>
      <w:r w:rsidRPr="00C40876">
        <w:t xml:space="preserve"> national figure</w:t>
      </w:r>
      <w:r>
        <w:t xml:space="preserve"> (35%)</w:t>
      </w:r>
      <w:r w:rsidRPr="00C40876">
        <w:t>.</w:t>
      </w:r>
    </w:p>
    <w:p w:rsidR="00D01DCF" w:rsidRDefault="00D01DCF" w:rsidP="000F7581"/>
    <w:p w:rsidR="00D01DCF" w:rsidRDefault="00D01DCF" w:rsidP="000F7581">
      <w:r>
        <w:t xml:space="preserve">Among young adults (ages 18-25) in Greater New Orleans, less </w:t>
      </w:r>
      <w:r w:rsidR="00575E65">
        <w:t>than</w:t>
      </w:r>
      <w:r>
        <w:t xml:space="preserve"> a quarter (about 23%)</w:t>
      </w:r>
      <w:r w:rsidRPr="00D01DCF">
        <w:t xml:space="preserve"> indicated that </w:t>
      </w:r>
      <w:r w:rsidRPr="00D01DCF">
        <w:rPr>
          <w:u w:val="single"/>
        </w:rPr>
        <w:t>smoking marijuana once a month</w:t>
      </w:r>
      <w:r w:rsidRPr="00D01DCF">
        <w:t xml:space="preserve"> posed a great risk</w:t>
      </w:r>
      <w:r w:rsidR="004A3BF7" w:rsidRPr="004A3BF7">
        <w:t xml:space="preserve">, based on </w:t>
      </w:r>
      <w:r w:rsidR="003C0C47">
        <w:t>NSDUH surveys</w:t>
      </w:r>
      <w:r w:rsidR="004A3BF7" w:rsidRPr="004A3BF7">
        <w:t xml:space="preserve"> for 2008-10</w:t>
      </w:r>
      <w:r w:rsidRPr="00D01DCF">
        <w:t>.</w:t>
      </w:r>
      <w:r w:rsidR="00575E65">
        <w:t xml:space="preserve"> (This is </w:t>
      </w:r>
      <w:r w:rsidR="003C0C47">
        <w:t>about</w:t>
      </w:r>
      <w:r w:rsidR="00575E65">
        <w:t xml:space="preserve"> half the rate of perceived risk </w:t>
      </w:r>
      <w:r w:rsidR="00E62D0D">
        <w:t xml:space="preserve">for </w:t>
      </w:r>
      <w:r w:rsidR="00575E65">
        <w:t xml:space="preserve">adults as a whole.) The Greater New Orleans rate appears to be slightly lower than for young adults statewide.  </w:t>
      </w:r>
      <w:r w:rsidR="00E82FE8">
        <w:t>Young adult perception risk regarding marijuana in Louisiana (26%) is slightly greater than for Southern States (24%), which in turn is slightly greater than the national figure (20%).</w:t>
      </w:r>
    </w:p>
    <w:tbl>
      <w:tblPr>
        <w:tblStyle w:val="TableGrid"/>
        <w:tblpPr w:leftFromText="187" w:rightFromText="187" w:vertAnchor="text" w:tblpXSpec="center" w:tblpY="1"/>
        <w:tblOverlap w:val="never"/>
        <w:tblW w:w="9583" w:type="dxa"/>
        <w:tblLayout w:type="fixed"/>
        <w:tblCellMar>
          <w:left w:w="43" w:type="dxa"/>
          <w:right w:w="29" w:type="dxa"/>
        </w:tblCellMar>
        <w:tblLook w:val="04A0" w:firstRow="1" w:lastRow="0" w:firstColumn="1" w:lastColumn="0" w:noHBand="0" w:noVBand="1"/>
      </w:tblPr>
      <w:tblGrid>
        <w:gridCol w:w="4543"/>
        <w:gridCol w:w="825"/>
        <w:gridCol w:w="825"/>
        <w:gridCol w:w="825"/>
        <w:gridCol w:w="825"/>
        <w:gridCol w:w="825"/>
        <w:gridCol w:w="915"/>
      </w:tblGrid>
      <w:tr w:rsidR="00E62D0D" w:rsidRPr="00B32666" w:rsidTr="00674BB0">
        <w:trPr>
          <w:cantSplit/>
          <w:trHeight w:val="629"/>
        </w:trPr>
        <w:tc>
          <w:tcPr>
            <w:tcW w:w="9583" w:type="dxa"/>
            <w:gridSpan w:val="7"/>
            <w:tcBorders>
              <w:top w:val="nil"/>
              <w:left w:val="nil"/>
              <w:right w:val="nil"/>
            </w:tcBorders>
            <w:vAlign w:val="center"/>
            <w:hideMark/>
          </w:tcPr>
          <w:p w:rsidR="00E62D0D" w:rsidRPr="00B32666" w:rsidRDefault="00E62D0D" w:rsidP="00674BB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Table 1: </w:t>
            </w:r>
            <w:r w:rsidRPr="00B32666">
              <w:rPr>
                <w:b/>
                <w:bCs/>
                <w:sz w:val="20"/>
              </w:rPr>
              <w:t>Perception of Risk from Substance Use, National Survey on Drug Use and</w:t>
            </w:r>
          </w:p>
          <w:p w:rsidR="00E62D0D" w:rsidRPr="00B32666" w:rsidRDefault="00E62D0D" w:rsidP="00674BB0">
            <w:pPr>
              <w:jc w:val="center"/>
              <w:rPr>
                <w:b/>
                <w:bCs/>
                <w:sz w:val="20"/>
              </w:rPr>
            </w:pPr>
            <w:r w:rsidRPr="00B32666">
              <w:rPr>
                <w:b/>
                <w:bCs/>
                <w:sz w:val="20"/>
              </w:rPr>
              <w:t>Health (NSDUH) Pooled Survey Data from 2008, 2009 and 2010.</w:t>
            </w:r>
          </w:p>
        </w:tc>
      </w:tr>
      <w:tr w:rsidR="00E62D0D" w:rsidRPr="00B32666" w:rsidTr="00674BB0">
        <w:trPr>
          <w:cantSplit/>
          <w:trHeight w:val="20"/>
        </w:trPr>
        <w:tc>
          <w:tcPr>
            <w:tcW w:w="4543" w:type="dxa"/>
            <w:vMerge w:val="restart"/>
            <w:vAlign w:val="center"/>
            <w:hideMark/>
          </w:tcPr>
          <w:p w:rsidR="00E62D0D" w:rsidRPr="00B32666" w:rsidRDefault="00E62D0D" w:rsidP="00674BB0">
            <w:pPr>
              <w:jc w:val="center"/>
              <w:rPr>
                <w:b/>
                <w:sz w:val="20"/>
              </w:rPr>
            </w:pPr>
            <w:r w:rsidRPr="00B32666">
              <w:rPr>
                <w:b/>
                <w:sz w:val="20"/>
              </w:rPr>
              <w:t>Perception of Great Risk</w:t>
            </w:r>
            <w:r w:rsidRPr="00B32666">
              <w:rPr>
                <w:sz w:val="20"/>
              </w:rPr>
              <w:t xml:space="preserve"> </w:t>
            </w:r>
            <w:r w:rsidRPr="00B32666">
              <w:rPr>
                <w:b/>
                <w:sz w:val="20"/>
              </w:rPr>
              <w:t>from…</w:t>
            </w:r>
          </w:p>
          <w:p w:rsidR="00E62D0D" w:rsidRPr="00B32666" w:rsidRDefault="00E62D0D" w:rsidP="00674BB0">
            <w:pPr>
              <w:jc w:val="center"/>
              <w:rPr>
                <w:sz w:val="20"/>
              </w:rPr>
            </w:pPr>
            <w:r w:rsidRPr="00B32666">
              <w:rPr>
                <w:b/>
                <w:sz w:val="20"/>
              </w:rPr>
              <w:t>by All Adults and Young Adults</w:t>
            </w:r>
          </w:p>
          <w:p w:rsidR="00E62D0D" w:rsidRPr="00B32666" w:rsidRDefault="00E62D0D" w:rsidP="00674BB0">
            <w:pPr>
              <w:jc w:val="center"/>
              <w:rPr>
                <w:sz w:val="20"/>
              </w:rPr>
            </w:pPr>
            <w:r w:rsidRPr="00B32666">
              <w:rPr>
                <w:sz w:val="20"/>
              </w:rPr>
              <w:t>(percentages)</w:t>
            </w:r>
          </w:p>
        </w:tc>
        <w:tc>
          <w:tcPr>
            <w:tcW w:w="5040" w:type="dxa"/>
            <w:gridSpan w:val="6"/>
            <w:noWrap/>
            <w:vAlign w:val="center"/>
            <w:hideMark/>
          </w:tcPr>
          <w:p w:rsidR="00E62D0D" w:rsidRPr="00B32666" w:rsidRDefault="007D7123" w:rsidP="00674B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Region</w:t>
            </w:r>
          </w:p>
        </w:tc>
      </w:tr>
      <w:tr w:rsidR="00E62D0D" w:rsidRPr="00B32666" w:rsidTr="00674BB0">
        <w:trPr>
          <w:cantSplit/>
          <w:trHeight w:val="20"/>
        </w:trPr>
        <w:tc>
          <w:tcPr>
            <w:tcW w:w="454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62D0D" w:rsidRPr="00B32666" w:rsidRDefault="00E62D0D" w:rsidP="00674BB0">
            <w:pPr>
              <w:rPr>
                <w:sz w:val="20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tcMar>
              <w:left w:w="29" w:type="dxa"/>
            </w:tcMar>
            <w:vAlign w:val="center"/>
          </w:tcPr>
          <w:p w:rsidR="00E62D0D" w:rsidRDefault="00E62D0D" w:rsidP="00674B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Greater New Orleans</w:t>
            </w:r>
          </w:p>
          <w:p w:rsidR="00E62D0D" w:rsidRPr="00B16582" w:rsidRDefault="00E62D0D" w:rsidP="00674B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**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E62D0D" w:rsidRPr="00B16582" w:rsidRDefault="00E62D0D" w:rsidP="00674BB0">
            <w:pPr>
              <w:jc w:val="center"/>
              <w:rPr>
                <w:sz w:val="20"/>
              </w:rPr>
            </w:pPr>
            <w:r w:rsidRPr="00B16582">
              <w:rPr>
                <w:sz w:val="20"/>
              </w:rPr>
              <w:t>Metro</w:t>
            </w:r>
            <w:r>
              <w:rPr>
                <w:sz w:val="20"/>
              </w:rPr>
              <w:t>-</w:t>
            </w:r>
            <w:proofErr w:type="spellStart"/>
            <w:r w:rsidRPr="00B16582">
              <w:rPr>
                <w:sz w:val="20"/>
              </w:rPr>
              <w:t>politan</w:t>
            </w:r>
            <w:proofErr w:type="spellEnd"/>
            <w:r w:rsidRPr="00B16582">
              <w:rPr>
                <w:sz w:val="20"/>
              </w:rPr>
              <w:t xml:space="preserve"> &amp; So. Central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tcMar>
              <w:left w:w="29" w:type="dxa"/>
            </w:tcMar>
            <w:vAlign w:val="center"/>
            <w:hideMark/>
          </w:tcPr>
          <w:p w:rsidR="00E62D0D" w:rsidRPr="00B16582" w:rsidRDefault="00E62D0D" w:rsidP="00674BB0">
            <w:pPr>
              <w:jc w:val="center"/>
              <w:rPr>
                <w:sz w:val="20"/>
              </w:rPr>
            </w:pPr>
            <w:r w:rsidRPr="00B16582">
              <w:rPr>
                <w:sz w:val="20"/>
              </w:rPr>
              <w:t>Jefferson Parish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tcMar>
              <w:left w:w="29" w:type="dxa"/>
            </w:tcMar>
            <w:vAlign w:val="center"/>
            <w:hideMark/>
          </w:tcPr>
          <w:p w:rsidR="00E62D0D" w:rsidRPr="00B16582" w:rsidRDefault="00E62D0D" w:rsidP="00674BB0">
            <w:pPr>
              <w:jc w:val="center"/>
              <w:rPr>
                <w:sz w:val="20"/>
              </w:rPr>
            </w:pPr>
            <w:proofErr w:type="spellStart"/>
            <w:r w:rsidRPr="00B16582">
              <w:rPr>
                <w:sz w:val="20"/>
              </w:rPr>
              <w:t>Louisi-ana</w:t>
            </w:r>
            <w:proofErr w:type="spellEnd"/>
          </w:p>
        </w:tc>
        <w:tc>
          <w:tcPr>
            <w:tcW w:w="825" w:type="dxa"/>
            <w:tcBorders>
              <w:bottom w:val="single" w:sz="4" w:space="0" w:color="auto"/>
            </w:tcBorders>
            <w:tcMar>
              <w:left w:w="29" w:type="dxa"/>
            </w:tcMar>
            <w:vAlign w:val="center"/>
            <w:hideMark/>
          </w:tcPr>
          <w:p w:rsidR="00E62D0D" w:rsidRDefault="00E62D0D" w:rsidP="00674BB0">
            <w:pPr>
              <w:jc w:val="center"/>
              <w:rPr>
                <w:sz w:val="20"/>
              </w:rPr>
            </w:pPr>
            <w:r w:rsidRPr="00B16582">
              <w:rPr>
                <w:sz w:val="20"/>
              </w:rPr>
              <w:t>Southern States</w:t>
            </w:r>
          </w:p>
          <w:p w:rsidR="00892209" w:rsidRPr="00B16582" w:rsidRDefault="00892209" w:rsidP="00674B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***</w:t>
            </w:r>
            <w:bookmarkStart w:id="0" w:name="_GoBack"/>
            <w:bookmarkEnd w:id="0"/>
          </w:p>
        </w:tc>
        <w:tc>
          <w:tcPr>
            <w:tcW w:w="915" w:type="dxa"/>
            <w:tcBorders>
              <w:bottom w:val="single" w:sz="4" w:space="0" w:color="auto"/>
            </w:tcBorders>
            <w:tcMar>
              <w:left w:w="29" w:type="dxa"/>
            </w:tcMar>
            <w:vAlign w:val="center"/>
            <w:hideMark/>
          </w:tcPr>
          <w:p w:rsidR="00E62D0D" w:rsidRPr="00B16582" w:rsidRDefault="00E62D0D" w:rsidP="00674BB0">
            <w:pPr>
              <w:jc w:val="center"/>
              <w:rPr>
                <w:sz w:val="20"/>
              </w:rPr>
            </w:pPr>
            <w:r w:rsidRPr="00B16582">
              <w:rPr>
                <w:sz w:val="20"/>
              </w:rPr>
              <w:t>Total United States</w:t>
            </w:r>
          </w:p>
        </w:tc>
      </w:tr>
      <w:tr w:rsidR="00E62D0D" w:rsidRPr="00B32666" w:rsidTr="00674BB0">
        <w:trPr>
          <w:cantSplit/>
          <w:trHeight w:val="20"/>
        </w:trPr>
        <w:tc>
          <w:tcPr>
            <w:tcW w:w="4543" w:type="dxa"/>
            <w:tcBorders>
              <w:bottom w:val="nil"/>
            </w:tcBorders>
            <w:vAlign w:val="center"/>
          </w:tcPr>
          <w:p w:rsidR="00E62D0D" w:rsidRPr="00B32666" w:rsidRDefault="00E62D0D" w:rsidP="00674BB0">
            <w:pPr>
              <w:rPr>
                <w:bCs/>
                <w:i/>
                <w:sz w:val="20"/>
              </w:rPr>
            </w:pPr>
            <w:r w:rsidRPr="00B32666">
              <w:rPr>
                <w:i/>
                <w:sz w:val="20"/>
              </w:rPr>
              <w:t>Smoking Marijuana Once a Month</w:t>
            </w:r>
          </w:p>
        </w:tc>
        <w:tc>
          <w:tcPr>
            <w:tcW w:w="825" w:type="dxa"/>
            <w:tcBorders>
              <w:bottom w:val="nil"/>
            </w:tcBorders>
            <w:noWrap/>
            <w:tcMar>
              <w:left w:w="43" w:type="dxa"/>
            </w:tcMar>
            <w:vAlign w:val="center"/>
          </w:tcPr>
          <w:p w:rsidR="00E62D0D" w:rsidRPr="00B16582" w:rsidRDefault="00E62D0D" w:rsidP="00674BB0">
            <w:pPr>
              <w:jc w:val="center"/>
              <w:rPr>
                <w:sz w:val="20"/>
              </w:rPr>
            </w:pPr>
          </w:p>
        </w:tc>
        <w:tc>
          <w:tcPr>
            <w:tcW w:w="825" w:type="dxa"/>
            <w:tcBorders>
              <w:bottom w:val="nil"/>
            </w:tcBorders>
            <w:vAlign w:val="center"/>
          </w:tcPr>
          <w:p w:rsidR="00E62D0D" w:rsidRPr="00B16582" w:rsidRDefault="00E62D0D" w:rsidP="00674BB0">
            <w:pPr>
              <w:jc w:val="center"/>
              <w:rPr>
                <w:sz w:val="20"/>
              </w:rPr>
            </w:pPr>
          </w:p>
        </w:tc>
        <w:tc>
          <w:tcPr>
            <w:tcW w:w="825" w:type="dxa"/>
            <w:tcBorders>
              <w:bottom w:val="nil"/>
            </w:tcBorders>
            <w:noWrap/>
            <w:tcMar>
              <w:left w:w="43" w:type="dxa"/>
            </w:tcMar>
            <w:vAlign w:val="center"/>
          </w:tcPr>
          <w:p w:rsidR="00E62D0D" w:rsidRPr="00B16582" w:rsidRDefault="00E62D0D" w:rsidP="00674BB0">
            <w:pPr>
              <w:jc w:val="center"/>
              <w:rPr>
                <w:sz w:val="20"/>
              </w:rPr>
            </w:pPr>
          </w:p>
        </w:tc>
        <w:tc>
          <w:tcPr>
            <w:tcW w:w="825" w:type="dxa"/>
            <w:tcBorders>
              <w:bottom w:val="nil"/>
            </w:tcBorders>
            <w:noWrap/>
            <w:tcMar>
              <w:left w:w="43" w:type="dxa"/>
            </w:tcMar>
            <w:vAlign w:val="center"/>
          </w:tcPr>
          <w:p w:rsidR="00E62D0D" w:rsidRPr="00B16582" w:rsidRDefault="00E62D0D" w:rsidP="00674BB0">
            <w:pPr>
              <w:jc w:val="center"/>
              <w:rPr>
                <w:sz w:val="20"/>
              </w:rPr>
            </w:pPr>
          </w:p>
        </w:tc>
        <w:tc>
          <w:tcPr>
            <w:tcW w:w="825" w:type="dxa"/>
            <w:tcBorders>
              <w:bottom w:val="nil"/>
            </w:tcBorders>
            <w:noWrap/>
            <w:tcMar>
              <w:left w:w="43" w:type="dxa"/>
            </w:tcMar>
            <w:vAlign w:val="center"/>
          </w:tcPr>
          <w:p w:rsidR="00E62D0D" w:rsidRPr="00B16582" w:rsidRDefault="00E62D0D" w:rsidP="00674BB0">
            <w:pPr>
              <w:jc w:val="center"/>
              <w:rPr>
                <w:sz w:val="20"/>
              </w:rPr>
            </w:pPr>
          </w:p>
        </w:tc>
        <w:tc>
          <w:tcPr>
            <w:tcW w:w="915" w:type="dxa"/>
            <w:tcBorders>
              <w:bottom w:val="nil"/>
            </w:tcBorders>
            <w:noWrap/>
            <w:tcMar>
              <w:left w:w="43" w:type="dxa"/>
            </w:tcMar>
            <w:vAlign w:val="center"/>
          </w:tcPr>
          <w:p w:rsidR="00E62D0D" w:rsidRPr="00B16582" w:rsidRDefault="00E62D0D" w:rsidP="00674BB0">
            <w:pPr>
              <w:jc w:val="center"/>
              <w:rPr>
                <w:sz w:val="20"/>
              </w:rPr>
            </w:pPr>
          </w:p>
        </w:tc>
      </w:tr>
      <w:tr w:rsidR="00E62D0D" w:rsidRPr="00B32666" w:rsidTr="00674BB0">
        <w:trPr>
          <w:cantSplit/>
          <w:trHeight w:val="20"/>
        </w:trPr>
        <w:tc>
          <w:tcPr>
            <w:tcW w:w="4543" w:type="dxa"/>
            <w:tcBorders>
              <w:top w:val="nil"/>
              <w:bottom w:val="nil"/>
            </w:tcBorders>
            <w:vAlign w:val="center"/>
          </w:tcPr>
          <w:p w:rsidR="00E62D0D" w:rsidRPr="00B32666" w:rsidRDefault="00E62D0D" w:rsidP="00674BB0">
            <w:pPr>
              <w:rPr>
                <w:bCs/>
                <w:sz w:val="20"/>
              </w:rPr>
            </w:pPr>
            <w:r w:rsidRPr="00B32666">
              <w:rPr>
                <w:bCs/>
                <w:sz w:val="20"/>
              </w:rPr>
              <w:tab/>
              <w:t>All Adults (ages 18 and older)</w:t>
            </w:r>
          </w:p>
        </w:tc>
        <w:tc>
          <w:tcPr>
            <w:tcW w:w="825" w:type="dxa"/>
            <w:tcBorders>
              <w:top w:val="nil"/>
              <w:bottom w:val="nil"/>
            </w:tcBorders>
            <w:noWrap/>
            <w:tcMar>
              <w:left w:w="43" w:type="dxa"/>
            </w:tcMar>
            <w:vAlign w:val="center"/>
          </w:tcPr>
          <w:p w:rsidR="00E62D0D" w:rsidRPr="00B16582" w:rsidRDefault="00E62D0D" w:rsidP="00674B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42.8</w:t>
            </w:r>
          </w:p>
        </w:tc>
        <w:tc>
          <w:tcPr>
            <w:tcW w:w="825" w:type="dxa"/>
            <w:tcBorders>
              <w:top w:val="nil"/>
              <w:bottom w:val="nil"/>
            </w:tcBorders>
            <w:vAlign w:val="center"/>
          </w:tcPr>
          <w:p w:rsidR="00E62D0D" w:rsidRPr="00B16582" w:rsidRDefault="00E62D0D" w:rsidP="00674BB0">
            <w:pPr>
              <w:jc w:val="center"/>
              <w:rPr>
                <w:sz w:val="20"/>
              </w:rPr>
            </w:pPr>
            <w:r w:rsidRPr="00B16582">
              <w:rPr>
                <w:sz w:val="20"/>
              </w:rPr>
              <w:t>45.2</w:t>
            </w:r>
          </w:p>
        </w:tc>
        <w:tc>
          <w:tcPr>
            <w:tcW w:w="825" w:type="dxa"/>
            <w:tcBorders>
              <w:top w:val="nil"/>
              <w:bottom w:val="nil"/>
            </w:tcBorders>
            <w:noWrap/>
            <w:tcMar>
              <w:left w:w="43" w:type="dxa"/>
            </w:tcMar>
            <w:vAlign w:val="center"/>
          </w:tcPr>
          <w:p w:rsidR="00E62D0D" w:rsidRPr="00B16582" w:rsidRDefault="00E62D0D" w:rsidP="00674BB0">
            <w:pPr>
              <w:jc w:val="center"/>
              <w:rPr>
                <w:sz w:val="20"/>
              </w:rPr>
            </w:pPr>
            <w:r w:rsidRPr="00B16582">
              <w:rPr>
                <w:sz w:val="20"/>
              </w:rPr>
              <w:t>40.3</w:t>
            </w:r>
          </w:p>
        </w:tc>
        <w:tc>
          <w:tcPr>
            <w:tcW w:w="825" w:type="dxa"/>
            <w:tcBorders>
              <w:top w:val="nil"/>
              <w:bottom w:val="nil"/>
            </w:tcBorders>
            <w:noWrap/>
            <w:tcMar>
              <w:left w:w="43" w:type="dxa"/>
            </w:tcMar>
            <w:vAlign w:val="center"/>
          </w:tcPr>
          <w:p w:rsidR="00E62D0D" w:rsidRPr="00B16582" w:rsidRDefault="00E62D0D" w:rsidP="00674BB0">
            <w:pPr>
              <w:jc w:val="center"/>
              <w:rPr>
                <w:sz w:val="20"/>
              </w:rPr>
            </w:pPr>
            <w:r w:rsidRPr="00B16582">
              <w:rPr>
                <w:sz w:val="20"/>
              </w:rPr>
              <w:t>42.7</w:t>
            </w:r>
          </w:p>
        </w:tc>
        <w:tc>
          <w:tcPr>
            <w:tcW w:w="825" w:type="dxa"/>
            <w:tcBorders>
              <w:top w:val="nil"/>
              <w:bottom w:val="nil"/>
            </w:tcBorders>
            <w:noWrap/>
            <w:tcMar>
              <w:left w:w="43" w:type="dxa"/>
            </w:tcMar>
            <w:vAlign w:val="center"/>
          </w:tcPr>
          <w:p w:rsidR="00E62D0D" w:rsidRPr="00B16582" w:rsidRDefault="00E62D0D" w:rsidP="00674BB0">
            <w:pPr>
              <w:jc w:val="center"/>
              <w:rPr>
                <w:sz w:val="20"/>
              </w:rPr>
            </w:pPr>
            <w:r w:rsidRPr="00B16582">
              <w:rPr>
                <w:sz w:val="20"/>
              </w:rPr>
              <w:t>39.6</w:t>
            </w:r>
          </w:p>
        </w:tc>
        <w:tc>
          <w:tcPr>
            <w:tcW w:w="915" w:type="dxa"/>
            <w:tcBorders>
              <w:top w:val="nil"/>
              <w:bottom w:val="nil"/>
            </w:tcBorders>
            <w:noWrap/>
            <w:tcMar>
              <w:left w:w="43" w:type="dxa"/>
            </w:tcMar>
            <w:vAlign w:val="center"/>
          </w:tcPr>
          <w:p w:rsidR="00E62D0D" w:rsidRPr="00B16582" w:rsidRDefault="00E62D0D" w:rsidP="00674BB0">
            <w:pPr>
              <w:jc w:val="center"/>
              <w:rPr>
                <w:sz w:val="20"/>
              </w:rPr>
            </w:pPr>
            <w:r w:rsidRPr="00B16582">
              <w:rPr>
                <w:sz w:val="20"/>
              </w:rPr>
              <w:t>35.1</w:t>
            </w:r>
          </w:p>
        </w:tc>
      </w:tr>
      <w:tr w:rsidR="00E62D0D" w:rsidRPr="00B32666" w:rsidTr="00674BB0">
        <w:trPr>
          <w:cantSplit/>
          <w:trHeight w:val="20"/>
        </w:trPr>
        <w:tc>
          <w:tcPr>
            <w:tcW w:w="4543" w:type="dxa"/>
            <w:tcBorders>
              <w:top w:val="nil"/>
              <w:bottom w:val="single" w:sz="4" w:space="0" w:color="auto"/>
            </w:tcBorders>
            <w:vAlign w:val="center"/>
          </w:tcPr>
          <w:p w:rsidR="00E62D0D" w:rsidRPr="00B32666" w:rsidRDefault="00E62D0D" w:rsidP="00674BB0">
            <w:pPr>
              <w:rPr>
                <w:bCs/>
                <w:sz w:val="20"/>
              </w:rPr>
            </w:pPr>
            <w:r w:rsidRPr="00B32666">
              <w:rPr>
                <w:bCs/>
                <w:sz w:val="20"/>
              </w:rPr>
              <w:tab/>
              <w:t>Young Adults (ages 18-25)</w:t>
            </w:r>
          </w:p>
        </w:tc>
        <w:tc>
          <w:tcPr>
            <w:tcW w:w="825" w:type="dxa"/>
            <w:tcBorders>
              <w:top w:val="nil"/>
              <w:bottom w:val="single" w:sz="4" w:space="0" w:color="auto"/>
            </w:tcBorders>
            <w:noWrap/>
            <w:tcMar>
              <w:left w:w="43" w:type="dxa"/>
            </w:tcMar>
            <w:vAlign w:val="center"/>
          </w:tcPr>
          <w:p w:rsidR="00E62D0D" w:rsidRPr="00B16582" w:rsidRDefault="00E62D0D" w:rsidP="00674B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23.3</w:t>
            </w:r>
          </w:p>
        </w:tc>
        <w:tc>
          <w:tcPr>
            <w:tcW w:w="825" w:type="dxa"/>
            <w:tcBorders>
              <w:top w:val="nil"/>
              <w:bottom w:val="single" w:sz="4" w:space="0" w:color="auto"/>
            </w:tcBorders>
            <w:vAlign w:val="center"/>
          </w:tcPr>
          <w:p w:rsidR="00E62D0D" w:rsidRPr="00B16582" w:rsidRDefault="00E62D0D" w:rsidP="00674BB0">
            <w:pPr>
              <w:jc w:val="center"/>
              <w:rPr>
                <w:sz w:val="20"/>
              </w:rPr>
            </w:pPr>
            <w:r w:rsidRPr="00B16582">
              <w:rPr>
                <w:sz w:val="20"/>
              </w:rPr>
              <w:t>26.1</w:t>
            </w:r>
          </w:p>
        </w:tc>
        <w:tc>
          <w:tcPr>
            <w:tcW w:w="825" w:type="dxa"/>
            <w:tcBorders>
              <w:top w:val="nil"/>
              <w:bottom w:val="single" w:sz="4" w:space="0" w:color="auto"/>
            </w:tcBorders>
            <w:noWrap/>
            <w:tcMar>
              <w:left w:w="43" w:type="dxa"/>
            </w:tcMar>
            <w:vAlign w:val="center"/>
          </w:tcPr>
          <w:p w:rsidR="00E62D0D" w:rsidRPr="00B16582" w:rsidRDefault="00E62D0D" w:rsidP="00674BB0">
            <w:pPr>
              <w:jc w:val="center"/>
              <w:rPr>
                <w:sz w:val="20"/>
              </w:rPr>
            </w:pPr>
            <w:r w:rsidRPr="00B16582">
              <w:rPr>
                <w:sz w:val="20"/>
              </w:rPr>
              <w:t>20.4</w:t>
            </w:r>
          </w:p>
        </w:tc>
        <w:tc>
          <w:tcPr>
            <w:tcW w:w="825" w:type="dxa"/>
            <w:tcBorders>
              <w:top w:val="nil"/>
              <w:bottom w:val="single" w:sz="4" w:space="0" w:color="auto"/>
            </w:tcBorders>
            <w:noWrap/>
            <w:tcMar>
              <w:left w:w="43" w:type="dxa"/>
            </w:tcMar>
            <w:vAlign w:val="center"/>
          </w:tcPr>
          <w:p w:rsidR="00E62D0D" w:rsidRPr="00B16582" w:rsidRDefault="00E62D0D" w:rsidP="00674BB0">
            <w:pPr>
              <w:jc w:val="center"/>
              <w:rPr>
                <w:sz w:val="20"/>
              </w:rPr>
            </w:pPr>
            <w:r w:rsidRPr="00B16582">
              <w:rPr>
                <w:sz w:val="20"/>
              </w:rPr>
              <w:t>26.3</w:t>
            </w:r>
          </w:p>
        </w:tc>
        <w:tc>
          <w:tcPr>
            <w:tcW w:w="825" w:type="dxa"/>
            <w:tcBorders>
              <w:top w:val="nil"/>
              <w:bottom w:val="single" w:sz="4" w:space="0" w:color="auto"/>
            </w:tcBorders>
            <w:noWrap/>
            <w:tcMar>
              <w:left w:w="43" w:type="dxa"/>
            </w:tcMar>
            <w:vAlign w:val="center"/>
          </w:tcPr>
          <w:p w:rsidR="00E62D0D" w:rsidRPr="00B16582" w:rsidRDefault="00E62D0D" w:rsidP="00674BB0">
            <w:pPr>
              <w:jc w:val="center"/>
              <w:rPr>
                <w:sz w:val="20"/>
              </w:rPr>
            </w:pPr>
            <w:r w:rsidRPr="00B16582">
              <w:rPr>
                <w:sz w:val="20"/>
              </w:rPr>
              <w:t>23.6</w:t>
            </w:r>
          </w:p>
        </w:tc>
        <w:tc>
          <w:tcPr>
            <w:tcW w:w="915" w:type="dxa"/>
            <w:tcBorders>
              <w:top w:val="nil"/>
              <w:bottom w:val="single" w:sz="4" w:space="0" w:color="auto"/>
            </w:tcBorders>
            <w:noWrap/>
            <w:tcMar>
              <w:left w:w="43" w:type="dxa"/>
            </w:tcMar>
            <w:vAlign w:val="center"/>
          </w:tcPr>
          <w:p w:rsidR="00E62D0D" w:rsidRPr="00B16582" w:rsidRDefault="00E62D0D" w:rsidP="00674BB0">
            <w:pPr>
              <w:jc w:val="center"/>
              <w:rPr>
                <w:sz w:val="20"/>
              </w:rPr>
            </w:pPr>
            <w:r w:rsidRPr="00B16582">
              <w:rPr>
                <w:sz w:val="20"/>
              </w:rPr>
              <w:t>20.4</w:t>
            </w:r>
          </w:p>
        </w:tc>
      </w:tr>
      <w:tr w:rsidR="00E62D0D" w:rsidRPr="00B32666" w:rsidTr="00674BB0">
        <w:trPr>
          <w:cantSplit/>
          <w:trHeight w:val="20"/>
        </w:trPr>
        <w:tc>
          <w:tcPr>
            <w:tcW w:w="4543" w:type="dxa"/>
            <w:tcBorders>
              <w:bottom w:val="nil"/>
            </w:tcBorders>
            <w:vAlign w:val="center"/>
          </w:tcPr>
          <w:p w:rsidR="00E62D0D" w:rsidRPr="00B32666" w:rsidRDefault="00E62D0D" w:rsidP="00674BB0">
            <w:pPr>
              <w:rPr>
                <w:bCs/>
                <w:i/>
                <w:sz w:val="20"/>
              </w:rPr>
            </w:pPr>
            <w:r w:rsidRPr="00B32666">
              <w:rPr>
                <w:i/>
                <w:sz w:val="20"/>
              </w:rPr>
              <w:t>Five or More Drinks of Alcohol Once or Twice a Week</w:t>
            </w:r>
          </w:p>
        </w:tc>
        <w:tc>
          <w:tcPr>
            <w:tcW w:w="825" w:type="dxa"/>
            <w:tcBorders>
              <w:bottom w:val="nil"/>
            </w:tcBorders>
            <w:noWrap/>
            <w:tcMar>
              <w:left w:w="43" w:type="dxa"/>
            </w:tcMar>
            <w:vAlign w:val="center"/>
          </w:tcPr>
          <w:p w:rsidR="00E62D0D" w:rsidRPr="00B16582" w:rsidRDefault="00E62D0D" w:rsidP="00674BB0">
            <w:pPr>
              <w:jc w:val="center"/>
              <w:rPr>
                <w:sz w:val="20"/>
              </w:rPr>
            </w:pPr>
          </w:p>
        </w:tc>
        <w:tc>
          <w:tcPr>
            <w:tcW w:w="825" w:type="dxa"/>
            <w:tcBorders>
              <w:bottom w:val="nil"/>
            </w:tcBorders>
            <w:vAlign w:val="center"/>
          </w:tcPr>
          <w:p w:rsidR="00E62D0D" w:rsidRPr="00B16582" w:rsidRDefault="00E62D0D" w:rsidP="00674BB0">
            <w:pPr>
              <w:jc w:val="center"/>
              <w:rPr>
                <w:sz w:val="20"/>
              </w:rPr>
            </w:pPr>
          </w:p>
        </w:tc>
        <w:tc>
          <w:tcPr>
            <w:tcW w:w="825" w:type="dxa"/>
            <w:tcBorders>
              <w:bottom w:val="nil"/>
            </w:tcBorders>
            <w:noWrap/>
            <w:tcMar>
              <w:left w:w="43" w:type="dxa"/>
            </w:tcMar>
            <w:vAlign w:val="center"/>
          </w:tcPr>
          <w:p w:rsidR="00E62D0D" w:rsidRPr="00B16582" w:rsidRDefault="00E62D0D" w:rsidP="00674BB0">
            <w:pPr>
              <w:jc w:val="center"/>
              <w:rPr>
                <w:sz w:val="20"/>
              </w:rPr>
            </w:pPr>
          </w:p>
        </w:tc>
        <w:tc>
          <w:tcPr>
            <w:tcW w:w="825" w:type="dxa"/>
            <w:tcBorders>
              <w:bottom w:val="nil"/>
            </w:tcBorders>
            <w:noWrap/>
            <w:tcMar>
              <w:left w:w="43" w:type="dxa"/>
            </w:tcMar>
            <w:vAlign w:val="center"/>
          </w:tcPr>
          <w:p w:rsidR="00E62D0D" w:rsidRPr="00B16582" w:rsidRDefault="00E62D0D" w:rsidP="00674BB0">
            <w:pPr>
              <w:jc w:val="center"/>
              <w:rPr>
                <w:sz w:val="20"/>
              </w:rPr>
            </w:pPr>
          </w:p>
        </w:tc>
        <w:tc>
          <w:tcPr>
            <w:tcW w:w="825" w:type="dxa"/>
            <w:tcBorders>
              <w:bottom w:val="nil"/>
            </w:tcBorders>
            <w:noWrap/>
            <w:tcMar>
              <w:left w:w="43" w:type="dxa"/>
            </w:tcMar>
            <w:vAlign w:val="center"/>
          </w:tcPr>
          <w:p w:rsidR="00E62D0D" w:rsidRPr="00B16582" w:rsidRDefault="00E62D0D" w:rsidP="00674BB0">
            <w:pPr>
              <w:jc w:val="center"/>
              <w:rPr>
                <w:sz w:val="20"/>
              </w:rPr>
            </w:pPr>
          </w:p>
        </w:tc>
        <w:tc>
          <w:tcPr>
            <w:tcW w:w="915" w:type="dxa"/>
            <w:tcBorders>
              <w:bottom w:val="nil"/>
            </w:tcBorders>
            <w:noWrap/>
            <w:tcMar>
              <w:left w:w="43" w:type="dxa"/>
            </w:tcMar>
            <w:vAlign w:val="center"/>
          </w:tcPr>
          <w:p w:rsidR="00E62D0D" w:rsidRPr="00B16582" w:rsidRDefault="00E62D0D" w:rsidP="00674BB0">
            <w:pPr>
              <w:jc w:val="center"/>
              <w:rPr>
                <w:sz w:val="20"/>
              </w:rPr>
            </w:pPr>
          </w:p>
        </w:tc>
      </w:tr>
      <w:tr w:rsidR="00E62D0D" w:rsidRPr="00B32666" w:rsidTr="00674BB0">
        <w:trPr>
          <w:cantSplit/>
          <w:trHeight w:val="20"/>
        </w:trPr>
        <w:tc>
          <w:tcPr>
            <w:tcW w:w="4543" w:type="dxa"/>
            <w:tcBorders>
              <w:top w:val="nil"/>
              <w:bottom w:val="nil"/>
            </w:tcBorders>
            <w:vAlign w:val="center"/>
          </w:tcPr>
          <w:p w:rsidR="00E62D0D" w:rsidRPr="00B32666" w:rsidRDefault="00E62D0D" w:rsidP="00674BB0">
            <w:pPr>
              <w:rPr>
                <w:bCs/>
                <w:sz w:val="20"/>
              </w:rPr>
            </w:pPr>
            <w:r w:rsidRPr="00B32666">
              <w:rPr>
                <w:bCs/>
                <w:sz w:val="20"/>
              </w:rPr>
              <w:tab/>
              <w:t>All Adults (ages 18 and older)</w:t>
            </w:r>
          </w:p>
        </w:tc>
        <w:tc>
          <w:tcPr>
            <w:tcW w:w="825" w:type="dxa"/>
            <w:tcBorders>
              <w:top w:val="nil"/>
              <w:bottom w:val="nil"/>
            </w:tcBorders>
            <w:noWrap/>
            <w:tcMar>
              <w:left w:w="43" w:type="dxa"/>
            </w:tcMar>
            <w:vAlign w:val="center"/>
          </w:tcPr>
          <w:p w:rsidR="00E62D0D" w:rsidRPr="00B16582" w:rsidRDefault="00E62D0D" w:rsidP="00674B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46.2</w:t>
            </w:r>
          </w:p>
        </w:tc>
        <w:tc>
          <w:tcPr>
            <w:tcW w:w="825" w:type="dxa"/>
            <w:tcBorders>
              <w:top w:val="nil"/>
              <w:bottom w:val="nil"/>
            </w:tcBorders>
            <w:vAlign w:val="center"/>
          </w:tcPr>
          <w:p w:rsidR="00E62D0D" w:rsidRPr="00B16582" w:rsidRDefault="00E62D0D" w:rsidP="00674BB0">
            <w:pPr>
              <w:jc w:val="center"/>
              <w:rPr>
                <w:sz w:val="20"/>
              </w:rPr>
            </w:pPr>
            <w:r w:rsidRPr="00B16582">
              <w:rPr>
                <w:sz w:val="20"/>
              </w:rPr>
              <w:t>46.8</w:t>
            </w:r>
          </w:p>
        </w:tc>
        <w:tc>
          <w:tcPr>
            <w:tcW w:w="825" w:type="dxa"/>
            <w:tcBorders>
              <w:top w:val="nil"/>
              <w:bottom w:val="nil"/>
            </w:tcBorders>
            <w:noWrap/>
            <w:tcMar>
              <w:left w:w="43" w:type="dxa"/>
            </w:tcMar>
            <w:vAlign w:val="center"/>
          </w:tcPr>
          <w:p w:rsidR="00E62D0D" w:rsidRPr="00B16582" w:rsidRDefault="00E62D0D" w:rsidP="00674BB0">
            <w:pPr>
              <w:jc w:val="center"/>
              <w:rPr>
                <w:sz w:val="20"/>
              </w:rPr>
            </w:pPr>
            <w:r w:rsidRPr="00B16582">
              <w:rPr>
                <w:sz w:val="20"/>
              </w:rPr>
              <w:t>45.5</w:t>
            </w:r>
          </w:p>
        </w:tc>
        <w:tc>
          <w:tcPr>
            <w:tcW w:w="825" w:type="dxa"/>
            <w:tcBorders>
              <w:top w:val="nil"/>
              <w:bottom w:val="nil"/>
            </w:tcBorders>
            <w:noWrap/>
            <w:tcMar>
              <w:left w:w="43" w:type="dxa"/>
            </w:tcMar>
            <w:vAlign w:val="center"/>
          </w:tcPr>
          <w:p w:rsidR="00E62D0D" w:rsidRPr="00B16582" w:rsidRDefault="00E62D0D" w:rsidP="00674BB0">
            <w:pPr>
              <w:jc w:val="center"/>
              <w:rPr>
                <w:sz w:val="20"/>
              </w:rPr>
            </w:pPr>
            <w:r w:rsidRPr="00B16582">
              <w:rPr>
                <w:sz w:val="20"/>
              </w:rPr>
              <w:t>46.2</w:t>
            </w:r>
          </w:p>
        </w:tc>
        <w:tc>
          <w:tcPr>
            <w:tcW w:w="825" w:type="dxa"/>
            <w:tcBorders>
              <w:top w:val="nil"/>
              <w:bottom w:val="nil"/>
            </w:tcBorders>
            <w:noWrap/>
            <w:tcMar>
              <w:left w:w="43" w:type="dxa"/>
            </w:tcMar>
            <w:vAlign w:val="center"/>
          </w:tcPr>
          <w:p w:rsidR="00E62D0D" w:rsidRPr="00B16582" w:rsidRDefault="00E62D0D" w:rsidP="00674BB0">
            <w:pPr>
              <w:jc w:val="center"/>
              <w:rPr>
                <w:sz w:val="20"/>
              </w:rPr>
            </w:pPr>
            <w:r w:rsidRPr="00B16582">
              <w:rPr>
                <w:sz w:val="20"/>
              </w:rPr>
              <w:t>44.8</w:t>
            </w:r>
          </w:p>
        </w:tc>
        <w:tc>
          <w:tcPr>
            <w:tcW w:w="915" w:type="dxa"/>
            <w:tcBorders>
              <w:top w:val="nil"/>
              <w:bottom w:val="nil"/>
            </w:tcBorders>
            <w:noWrap/>
            <w:tcMar>
              <w:left w:w="43" w:type="dxa"/>
            </w:tcMar>
            <w:vAlign w:val="center"/>
          </w:tcPr>
          <w:p w:rsidR="00E62D0D" w:rsidRPr="00B16582" w:rsidRDefault="00E62D0D" w:rsidP="00674BB0">
            <w:pPr>
              <w:jc w:val="center"/>
              <w:rPr>
                <w:sz w:val="20"/>
              </w:rPr>
            </w:pPr>
            <w:r w:rsidRPr="00B16582">
              <w:rPr>
                <w:sz w:val="20"/>
              </w:rPr>
              <w:t>42.3</w:t>
            </w:r>
          </w:p>
        </w:tc>
      </w:tr>
      <w:tr w:rsidR="00E62D0D" w:rsidRPr="00B32666" w:rsidTr="00674BB0">
        <w:trPr>
          <w:cantSplit/>
          <w:trHeight w:val="20"/>
        </w:trPr>
        <w:tc>
          <w:tcPr>
            <w:tcW w:w="4543" w:type="dxa"/>
            <w:tcBorders>
              <w:top w:val="nil"/>
              <w:bottom w:val="single" w:sz="4" w:space="0" w:color="auto"/>
            </w:tcBorders>
            <w:vAlign w:val="center"/>
          </w:tcPr>
          <w:p w:rsidR="00E62D0D" w:rsidRPr="00B32666" w:rsidRDefault="00E62D0D" w:rsidP="00674BB0">
            <w:pPr>
              <w:rPr>
                <w:bCs/>
                <w:sz w:val="20"/>
              </w:rPr>
            </w:pPr>
            <w:r w:rsidRPr="00B32666">
              <w:rPr>
                <w:bCs/>
                <w:sz w:val="20"/>
              </w:rPr>
              <w:tab/>
              <w:t>Young Adults (ages 18-25)</w:t>
            </w:r>
          </w:p>
        </w:tc>
        <w:tc>
          <w:tcPr>
            <w:tcW w:w="825" w:type="dxa"/>
            <w:tcBorders>
              <w:top w:val="nil"/>
              <w:bottom w:val="single" w:sz="4" w:space="0" w:color="auto"/>
            </w:tcBorders>
            <w:noWrap/>
            <w:tcMar>
              <w:left w:w="43" w:type="dxa"/>
            </w:tcMar>
            <w:vAlign w:val="center"/>
          </w:tcPr>
          <w:p w:rsidR="00E62D0D" w:rsidRPr="00B16582" w:rsidRDefault="00E62D0D" w:rsidP="00674B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40.6</w:t>
            </w:r>
          </w:p>
        </w:tc>
        <w:tc>
          <w:tcPr>
            <w:tcW w:w="825" w:type="dxa"/>
            <w:tcBorders>
              <w:top w:val="nil"/>
              <w:bottom w:val="single" w:sz="4" w:space="0" w:color="auto"/>
            </w:tcBorders>
            <w:vAlign w:val="center"/>
          </w:tcPr>
          <w:p w:rsidR="00E62D0D" w:rsidRPr="00B16582" w:rsidRDefault="00E62D0D" w:rsidP="00674BB0">
            <w:pPr>
              <w:jc w:val="center"/>
              <w:rPr>
                <w:sz w:val="20"/>
              </w:rPr>
            </w:pPr>
            <w:r w:rsidRPr="00B16582">
              <w:rPr>
                <w:sz w:val="20"/>
              </w:rPr>
              <w:t>41.1</w:t>
            </w:r>
          </w:p>
        </w:tc>
        <w:tc>
          <w:tcPr>
            <w:tcW w:w="825" w:type="dxa"/>
            <w:tcBorders>
              <w:top w:val="nil"/>
              <w:bottom w:val="single" w:sz="4" w:space="0" w:color="auto"/>
            </w:tcBorders>
            <w:noWrap/>
            <w:tcMar>
              <w:left w:w="43" w:type="dxa"/>
            </w:tcMar>
            <w:vAlign w:val="center"/>
          </w:tcPr>
          <w:p w:rsidR="00E62D0D" w:rsidRPr="00B16582" w:rsidRDefault="00E62D0D" w:rsidP="00674BB0">
            <w:pPr>
              <w:jc w:val="center"/>
              <w:rPr>
                <w:sz w:val="20"/>
              </w:rPr>
            </w:pPr>
            <w:r w:rsidRPr="00B16582">
              <w:rPr>
                <w:sz w:val="20"/>
              </w:rPr>
              <w:t>40.1</w:t>
            </w:r>
          </w:p>
        </w:tc>
        <w:tc>
          <w:tcPr>
            <w:tcW w:w="825" w:type="dxa"/>
            <w:tcBorders>
              <w:top w:val="nil"/>
              <w:bottom w:val="single" w:sz="4" w:space="0" w:color="auto"/>
            </w:tcBorders>
            <w:noWrap/>
            <w:tcMar>
              <w:left w:w="43" w:type="dxa"/>
            </w:tcMar>
            <w:vAlign w:val="center"/>
          </w:tcPr>
          <w:p w:rsidR="00E62D0D" w:rsidRPr="00B16582" w:rsidRDefault="00E62D0D" w:rsidP="00674BB0">
            <w:pPr>
              <w:jc w:val="center"/>
              <w:rPr>
                <w:sz w:val="20"/>
              </w:rPr>
            </w:pPr>
            <w:r w:rsidRPr="00B16582">
              <w:rPr>
                <w:sz w:val="20"/>
              </w:rPr>
              <w:t>40.6</w:t>
            </w:r>
          </w:p>
        </w:tc>
        <w:tc>
          <w:tcPr>
            <w:tcW w:w="825" w:type="dxa"/>
            <w:tcBorders>
              <w:top w:val="nil"/>
              <w:bottom w:val="single" w:sz="4" w:space="0" w:color="auto"/>
            </w:tcBorders>
            <w:noWrap/>
            <w:tcMar>
              <w:left w:w="43" w:type="dxa"/>
            </w:tcMar>
            <w:vAlign w:val="center"/>
          </w:tcPr>
          <w:p w:rsidR="00E62D0D" w:rsidRPr="00B16582" w:rsidRDefault="00E62D0D" w:rsidP="00674BB0">
            <w:pPr>
              <w:jc w:val="center"/>
              <w:rPr>
                <w:sz w:val="20"/>
              </w:rPr>
            </w:pPr>
            <w:r w:rsidRPr="00B16582">
              <w:rPr>
                <w:sz w:val="20"/>
              </w:rPr>
              <w:t>36.4</w:t>
            </w:r>
          </w:p>
        </w:tc>
        <w:tc>
          <w:tcPr>
            <w:tcW w:w="915" w:type="dxa"/>
            <w:tcBorders>
              <w:top w:val="nil"/>
              <w:bottom w:val="single" w:sz="4" w:space="0" w:color="auto"/>
            </w:tcBorders>
            <w:noWrap/>
            <w:tcMar>
              <w:left w:w="43" w:type="dxa"/>
            </w:tcMar>
            <w:vAlign w:val="center"/>
          </w:tcPr>
          <w:p w:rsidR="00E62D0D" w:rsidRPr="00B16582" w:rsidRDefault="00E62D0D" w:rsidP="00674BB0">
            <w:pPr>
              <w:jc w:val="center"/>
              <w:rPr>
                <w:sz w:val="20"/>
              </w:rPr>
            </w:pPr>
            <w:r w:rsidRPr="00B16582">
              <w:rPr>
                <w:sz w:val="20"/>
              </w:rPr>
              <w:t>33.4</w:t>
            </w:r>
          </w:p>
        </w:tc>
      </w:tr>
      <w:tr w:rsidR="00E62D0D" w:rsidRPr="00B32666" w:rsidTr="00674BB0">
        <w:trPr>
          <w:cantSplit/>
          <w:trHeight w:val="20"/>
        </w:trPr>
        <w:tc>
          <w:tcPr>
            <w:tcW w:w="4543" w:type="dxa"/>
            <w:tcBorders>
              <w:bottom w:val="nil"/>
            </w:tcBorders>
            <w:vAlign w:val="center"/>
          </w:tcPr>
          <w:p w:rsidR="00E62D0D" w:rsidRPr="00B32666" w:rsidRDefault="00E62D0D" w:rsidP="00674BB0">
            <w:pPr>
              <w:rPr>
                <w:b/>
                <w:bCs/>
                <w:i/>
                <w:sz w:val="20"/>
              </w:rPr>
            </w:pPr>
            <w:r w:rsidRPr="00B32666">
              <w:rPr>
                <w:i/>
                <w:sz w:val="20"/>
              </w:rPr>
              <w:t>Smoking One or More Packs of Cigarettes Per Day</w:t>
            </w:r>
          </w:p>
        </w:tc>
        <w:tc>
          <w:tcPr>
            <w:tcW w:w="825" w:type="dxa"/>
            <w:tcBorders>
              <w:bottom w:val="nil"/>
            </w:tcBorders>
            <w:noWrap/>
            <w:tcMar>
              <w:left w:w="43" w:type="dxa"/>
            </w:tcMar>
            <w:vAlign w:val="center"/>
          </w:tcPr>
          <w:p w:rsidR="00E62D0D" w:rsidRPr="00B16582" w:rsidRDefault="00E62D0D" w:rsidP="00674BB0">
            <w:pPr>
              <w:jc w:val="center"/>
              <w:rPr>
                <w:sz w:val="20"/>
              </w:rPr>
            </w:pPr>
          </w:p>
        </w:tc>
        <w:tc>
          <w:tcPr>
            <w:tcW w:w="825" w:type="dxa"/>
            <w:tcBorders>
              <w:bottom w:val="nil"/>
            </w:tcBorders>
            <w:vAlign w:val="center"/>
          </w:tcPr>
          <w:p w:rsidR="00E62D0D" w:rsidRPr="00B16582" w:rsidRDefault="00E62D0D" w:rsidP="00674BB0">
            <w:pPr>
              <w:jc w:val="center"/>
              <w:rPr>
                <w:sz w:val="20"/>
              </w:rPr>
            </w:pPr>
          </w:p>
        </w:tc>
        <w:tc>
          <w:tcPr>
            <w:tcW w:w="825" w:type="dxa"/>
            <w:tcBorders>
              <w:bottom w:val="nil"/>
            </w:tcBorders>
            <w:noWrap/>
            <w:tcMar>
              <w:left w:w="43" w:type="dxa"/>
            </w:tcMar>
            <w:vAlign w:val="center"/>
          </w:tcPr>
          <w:p w:rsidR="00E62D0D" w:rsidRPr="00B16582" w:rsidRDefault="00E62D0D" w:rsidP="00674BB0">
            <w:pPr>
              <w:jc w:val="center"/>
              <w:rPr>
                <w:sz w:val="20"/>
              </w:rPr>
            </w:pPr>
          </w:p>
        </w:tc>
        <w:tc>
          <w:tcPr>
            <w:tcW w:w="825" w:type="dxa"/>
            <w:tcBorders>
              <w:bottom w:val="nil"/>
            </w:tcBorders>
            <w:noWrap/>
            <w:tcMar>
              <w:left w:w="43" w:type="dxa"/>
            </w:tcMar>
            <w:vAlign w:val="center"/>
          </w:tcPr>
          <w:p w:rsidR="00E62D0D" w:rsidRPr="00B16582" w:rsidRDefault="00E62D0D" w:rsidP="00674BB0">
            <w:pPr>
              <w:jc w:val="center"/>
              <w:rPr>
                <w:sz w:val="20"/>
              </w:rPr>
            </w:pPr>
          </w:p>
        </w:tc>
        <w:tc>
          <w:tcPr>
            <w:tcW w:w="825" w:type="dxa"/>
            <w:tcBorders>
              <w:bottom w:val="nil"/>
            </w:tcBorders>
            <w:noWrap/>
            <w:tcMar>
              <w:left w:w="43" w:type="dxa"/>
            </w:tcMar>
            <w:vAlign w:val="center"/>
          </w:tcPr>
          <w:p w:rsidR="00E62D0D" w:rsidRPr="00B16582" w:rsidRDefault="00E62D0D" w:rsidP="00674BB0">
            <w:pPr>
              <w:jc w:val="center"/>
              <w:rPr>
                <w:sz w:val="20"/>
              </w:rPr>
            </w:pPr>
          </w:p>
        </w:tc>
        <w:tc>
          <w:tcPr>
            <w:tcW w:w="915" w:type="dxa"/>
            <w:tcBorders>
              <w:bottom w:val="nil"/>
            </w:tcBorders>
            <w:noWrap/>
            <w:tcMar>
              <w:left w:w="43" w:type="dxa"/>
            </w:tcMar>
            <w:vAlign w:val="center"/>
          </w:tcPr>
          <w:p w:rsidR="00E62D0D" w:rsidRPr="00B16582" w:rsidRDefault="00E62D0D" w:rsidP="00674BB0">
            <w:pPr>
              <w:jc w:val="center"/>
              <w:rPr>
                <w:sz w:val="20"/>
              </w:rPr>
            </w:pPr>
          </w:p>
        </w:tc>
      </w:tr>
      <w:tr w:rsidR="00E62D0D" w:rsidRPr="00B32666" w:rsidTr="00674BB0">
        <w:trPr>
          <w:cantSplit/>
          <w:trHeight w:val="20"/>
        </w:trPr>
        <w:tc>
          <w:tcPr>
            <w:tcW w:w="4543" w:type="dxa"/>
            <w:tcBorders>
              <w:top w:val="nil"/>
              <w:bottom w:val="nil"/>
            </w:tcBorders>
            <w:vAlign w:val="center"/>
          </w:tcPr>
          <w:p w:rsidR="00E62D0D" w:rsidRPr="00B32666" w:rsidRDefault="00E62D0D" w:rsidP="00674BB0">
            <w:pPr>
              <w:rPr>
                <w:bCs/>
                <w:sz w:val="20"/>
              </w:rPr>
            </w:pPr>
            <w:r w:rsidRPr="00B32666">
              <w:rPr>
                <w:bCs/>
                <w:sz w:val="20"/>
              </w:rPr>
              <w:tab/>
              <w:t>All Adults (ages 18 and older)</w:t>
            </w:r>
          </w:p>
        </w:tc>
        <w:tc>
          <w:tcPr>
            <w:tcW w:w="825" w:type="dxa"/>
            <w:tcBorders>
              <w:top w:val="nil"/>
              <w:bottom w:val="nil"/>
            </w:tcBorders>
            <w:noWrap/>
            <w:tcMar>
              <w:left w:w="43" w:type="dxa"/>
            </w:tcMar>
            <w:vAlign w:val="center"/>
          </w:tcPr>
          <w:p w:rsidR="00E62D0D" w:rsidRPr="00B16582" w:rsidRDefault="00E62D0D" w:rsidP="00674B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75.1</w:t>
            </w:r>
          </w:p>
        </w:tc>
        <w:tc>
          <w:tcPr>
            <w:tcW w:w="825" w:type="dxa"/>
            <w:tcBorders>
              <w:top w:val="nil"/>
              <w:bottom w:val="nil"/>
            </w:tcBorders>
            <w:vAlign w:val="center"/>
          </w:tcPr>
          <w:p w:rsidR="00E62D0D" w:rsidRPr="00B16582" w:rsidRDefault="00E62D0D" w:rsidP="00674BB0">
            <w:pPr>
              <w:jc w:val="center"/>
              <w:rPr>
                <w:sz w:val="20"/>
              </w:rPr>
            </w:pPr>
            <w:r w:rsidRPr="00B16582">
              <w:rPr>
                <w:sz w:val="20"/>
              </w:rPr>
              <w:t>73.8</w:t>
            </w:r>
          </w:p>
        </w:tc>
        <w:tc>
          <w:tcPr>
            <w:tcW w:w="825" w:type="dxa"/>
            <w:tcBorders>
              <w:top w:val="nil"/>
              <w:bottom w:val="nil"/>
            </w:tcBorders>
            <w:noWrap/>
            <w:tcMar>
              <w:left w:w="43" w:type="dxa"/>
            </w:tcMar>
            <w:vAlign w:val="center"/>
          </w:tcPr>
          <w:p w:rsidR="00E62D0D" w:rsidRPr="00B16582" w:rsidRDefault="00E62D0D" w:rsidP="00674BB0">
            <w:pPr>
              <w:jc w:val="center"/>
              <w:rPr>
                <w:sz w:val="20"/>
              </w:rPr>
            </w:pPr>
            <w:r w:rsidRPr="00B16582">
              <w:rPr>
                <w:sz w:val="20"/>
              </w:rPr>
              <w:t>76.4</w:t>
            </w:r>
          </w:p>
        </w:tc>
        <w:tc>
          <w:tcPr>
            <w:tcW w:w="825" w:type="dxa"/>
            <w:tcBorders>
              <w:top w:val="nil"/>
              <w:bottom w:val="nil"/>
            </w:tcBorders>
            <w:noWrap/>
            <w:tcMar>
              <w:left w:w="43" w:type="dxa"/>
            </w:tcMar>
            <w:vAlign w:val="center"/>
          </w:tcPr>
          <w:p w:rsidR="00E62D0D" w:rsidRPr="00B16582" w:rsidRDefault="00E62D0D" w:rsidP="00674BB0">
            <w:pPr>
              <w:jc w:val="center"/>
              <w:rPr>
                <w:sz w:val="20"/>
              </w:rPr>
            </w:pPr>
            <w:r w:rsidRPr="00B16582">
              <w:rPr>
                <w:sz w:val="20"/>
              </w:rPr>
              <w:t>73.3</w:t>
            </w:r>
          </w:p>
        </w:tc>
        <w:tc>
          <w:tcPr>
            <w:tcW w:w="825" w:type="dxa"/>
            <w:tcBorders>
              <w:top w:val="nil"/>
              <w:bottom w:val="nil"/>
            </w:tcBorders>
            <w:noWrap/>
            <w:tcMar>
              <w:left w:w="43" w:type="dxa"/>
            </w:tcMar>
            <w:vAlign w:val="center"/>
          </w:tcPr>
          <w:p w:rsidR="00E62D0D" w:rsidRPr="00B16582" w:rsidRDefault="00E62D0D" w:rsidP="00674BB0">
            <w:pPr>
              <w:jc w:val="center"/>
              <w:rPr>
                <w:sz w:val="20"/>
              </w:rPr>
            </w:pPr>
            <w:r w:rsidRPr="00B16582">
              <w:rPr>
                <w:sz w:val="20"/>
              </w:rPr>
              <w:t>72.1</w:t>
            </w:r>
          </w:p>
        </w:tc>
        <w:tc>
          <w:tcPr>
            <w:tcW w:w="915" w:type="dxa"/>
            <w:tcBorders>
              <w:top w:val="nil"/>
              <w:bottom w:val="nil"/>
            </w:tcBorders>
            <w:noWrap/>
            <w:tcMar>
              <w:left w:w="43" w:type="dxa"/>
            </w:tcMar>
            <w:vAlign w:val="center"/>
          </w:tcPr>
          <w:p w:rsidR="00E62D0D" w:rsidRPr="00B16582" w:rsidRDefault="00E62D0D" w:rsidP="00674BB0">
            <w:pPr>
              <w:jc w:val="center"/>
              <w:rPr>
                <w:sz w:val="20"/>
              </w:rPr>
            </w:pPr>
            <w:r w:rsidRPr="00B16582">
              <w:rPr>
                <w:sz w:val="20"/>
              </w:rPr>
              <w:t>72.5</w:t>
            </w:r>
          </w:p>
        </w:tc>
      </w:tr>
      <w:tr w:rsidR="00E62D0D" w:rsidRPr="00B32666" w:rsidTr="00674BB0">
        <w:trPr>
          <w:cantSplit/>
          <w:trHeight w:val="20"/>
        </w:trPr>
        <w:tc>
          <w:tcPr>
            <w:tcW w:w="4543" w:type="dxa"/>
            <w:tcBorders>
              <w:top w:val="nil"/>
            </w:tcBorders>
            <w:vAlign w:val="center"/>
          </w:tcPr>
          <w:p w:rsidR="00E62D0D" w:rsidRPr="00B32666" w:rsidRDefault="00E62D0D" w:rsidP="00674BB0">
            <w:pPr>
              <w:rPr>
                <w:bCs/>
                <w:sz w:val="20"/>
              </w:rPr>
            </w:pPr>
            <w:r w:rsidRPr="00B32666">
              <w:rPr>
                <w:bCs/>
                <w:sz w:val="20"/>
              </w:rPr>
              <w:tab/>
              <w:t>Young Adults (ages 18-25)</w:t>
            </w:r>
          </w:p>
        </w:tc>
        <w:tc>
          <w:tcPr>
            <w:tcW w:w="825" w:type="dxa"/>
            <w:tcBorders>
              <w:top w:val="nil"/>
            </w:tcBorders>
            <w:noWrap/>
            <w:tcMar>
              <w:left w:w="43" w:type="dxa"/>
            </w:tcMar>
            <w:vAlign w:val="center"/>
          </w:tcPr>
          <w:p w:rsidR="00E62D0D" w:rsidRPr="00B16582" w:rsidRDefault="00EF0E2E" w:rsidP="00674B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67.</w:t>
            </w:r>
            <w:r w:rsidR="00E62D0D">
              <w:rPr>
                <w:sz w:val="20"/>
              </w:rPr>
              <w:t>9</w:t>
            </w:r>
          </w:p>
        </w:tc>
        <w:tc>
          <w:tcPr>
            <w:tcW w:w="825" w:type="dxa"/>
            <w:tcBorders>
              <w:top w:val="nil"/>
            </w:tcBorders>
            <w:vAlign w:val="center"/>
          </w:tcPr>
          <w:p w:rsidR="00E62D0D" w:rsidRPr="00B16582" w:rsidRDefault="00E62D0D" w:rsidP="00674BB0">
            <w:pPr>
              <w:jc w:val="center"/>
              <w:rPr>
                <w:sz w:val="20"/>
              </w:rPr>
            </w:pPr>
            <w:r w:rsidRPr="00B16582">
              <w:rPr>
                <w:sz w:val="20"/>
              </w:rPr>
              <w:t>66.4</w:t>
            </w:r>
          </w:p>
        </w:tc>
        <w:tc>
          <w:tcPr>
            <w:tcW w:w="825" w:type="dxa"/>
            <w:tcBorders>
              <w:top w:val="nil"/>
            </w:tcBorders>
            <w:noWrap/>
            <w:tcMar>
              <w:left w:w="43" w:type="dxa"/>
            </w:tcMar>
            <w:vAlign w:val="center"/>
          </w:tcPr>
          <w:p w:rsidR="00E62D0D" w:rsidRPr="00B16582" w:rsidRDefault="00E62D0D" w:rsidP="00674BB0">
            <w:pPr>
              <w:jc w:val="center"/>
              <w:rPr>
                <w:sz w:val="20"/>
              </w:rPr>
            </w:pPr>
            <w:r w:rsidRPr="00B16582">
              <w:rPr>
                <w:sz w:val="20"/>
              </w:rPr>
              <w:t>69.3</w:t>
            </w:r>
          </w:p>
        </w:tc>
        <w:tc>
          <w:tcPr>
            <w:tcW w:w="825" w:type="dxa"/>
            <w:tcBorders>
              <w:top w:val="nil"/>
            </w:tcBorders>
            <w:noWrap/>
            <w:tcMar>
              <w:left w:w="43" w:type="dxa"/>
            </w:tcMar>
            <w:vAlign w:val="center"/>
          </w:tcPr>
          <w:p w:rsidR="00E62D0D" w:rsidRPr="00B16582" w:rsidRDefault="00E62D0D" w:rsidP="00674BB0">
            <w:pPr>
              <w:jc w:val="center"/>
              <w:rPr>
                <w:sz w:val="20"/>
              </w:rPr>
            </w:pPr>
            <w:r w:rsidRPr="00B16582">
              <w:rPr>
                <w:sz w:val="20"/>
              </w:rPr>
              <w:t>66.7</w:t>
            </w:r>
          </w:p>
        </w:tc>
        <w:tc>
          <w:tcPr>
            <w:tcW w:w="825" w:type="dxa"/>
            <w:tcBorders>
              <w:top w:val="nil"/>
            </w:tcBorders>
            <w:noWrap/>
            <w:tcMar>
              <w:left w:w="43" w:type="dxa"/>
            </w:tcMar>
            <w:vAlign w:val="center"/>
          </w:tcPr>
          <w:p w:rsidR="00E62D0D" w:rsidRPr="00B16582" w:rsidRDefault="00E62D0D" w:rsidP="00674BB0">
            <w:pPr>
              <w:jc w:val="center"/>
              <w:rPr>
                <w:sz w:val="20"/>
              </w:rPr>
            </w:pPr>
            <w:r w:rsidRPr="00B16582">
              <w:rPr>
                <w:sz w:val="20"/>
              </w:rPr>
              <w:t>65.6</w:t>
            </w:r>
          </w:p>
        </w:tc>
        <w:tc>
          <w:tcPr>
            <w:tcW w:w="915" w:type="dxa"/>
            <w:tcBorders>
              <w:top w:val="nil"/>
            </w:tcBorders>
            <w:noWrap/>
            <w:tcMar>
              <w:left w:w="43" w:type="dxa"/>
            </w:tcMar>
            <w:vAlign w:val="center"/>
          </w:tcPr>
          <w:p w:rsidR="00E62D0D" w:rsidRPr="00B16582" w:rsidRDefault="00E62D0D" w:rsidP="00674BB0">
            <w:pPr>
              <w:jc w:val="center"/>
              <w:rPr>
                <w:sz w:val="20"/>
              </w:rPr>
            </w:pPr>
            <w:r w:rsidRPr="00B16582">
              <w:rPr>
                <w:sz w:val="20"/>
              </w:rPr>
              <w:t>66.2</w:t>
            </w:r>
          </w:p>
        </w:tc>
      </w:tr>
      <w:tr w:rsidR="00E62D0D" w:rsidRPr="00B32666" w:rsidTr="003C0C47">
        <w:trPr>
          <w:cantSplit/>
          <w:trHeight w:val="1211"/>
        </w:trPr>
        <w:tc>
          <w:tcPr>
            <w:tcW w:w="9583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E62D0D" w:rsidRDefault="00E62D0D" w:rsidP="00674BB0">
            <w:pPr>
              <w:rPr>
                <w:sz w:val="18"/>
                <w:szCs w:val="18"/>
              </w:rPr>
            </w:pPr>
            <w:r w:rsidRPr="00F0156B">
              <w:rPr>
                <w:sz w:val="18"/>
                <w:szCs w:val="18"/>
              </w:rPr>
              <w:t>** Greater New Orleans</w:t>
            </w:r>
            <w:r>
              <w:rPr>
                <w:sz w:val="18"/>
                <w:szCs w:val="18"/>
              </w:rPr>
              <w:t xml:space="preserve"> (GNO)</w:t>
            </w:r>
            <w:r w:rsidR="0076428B">
              <w:rPr>
                <w:sz w:val="18"/>
                <w:szCs w:val="18"/>
              </w:rPr>
              <w:t xml:space="preserve"> consists of Orleans, Jefferson, St. Bernard and Plaquemines parishes. </w:t>
            </w:r>
            <w:r w:rsidR="001E69CB">
              <w:rPr>
                <w:sz w:val="18"/>
                <w:szCs w:val="18"/>
              </w:rPr>
              <w:t>Planning estimates</w:t>
            </w:r>
            <w:r w:rsidR="0076428B">
              <w:rPr>
                <w:sz w:val="18"/>
                <w:szCs w:val="18"/>
              </w:rPr>
              <w:t xml:space="preserve"> for Greater New Orleans</w:t>
            </w:r>
            <w:r>
              <w:rPr>
                <w:sz w:val="18"/>
                <w:szCs w:val="18"/>
              </w:rPr>
              <w:t xml:space="preserve"> are</w:t>
            </w:r>
            <w:r w:rsidRPr="00F0156B">
              <w:rPr>
                <w:sz w:val="18"/>
                <w:szCs w:val="18"/>
              </w:rPr>
              <w:t xml:space="preserve"> </w:t>
            </w:r>
            <w:r w:rsidR="0076428B">
              <w:rPr>
                <w:sz w:val="18"/>
                <w:szCs w:val="18"/>
              </w:rPr>
              <w:t>computed</w:t>
            </w:r>
            <w:r w:rsidRPr="00F0156B">
              <w:rPr>
                <w:sz w:val="18"/>
                <w:szCs w:val="18"/>
              </w:rPr>
              <w:t xml:space="preserve"> by simply averaging the </w:t>
            </w:r>
            <w:r>
              <w:rPr>
                <w:sz w:val="18"/>
                <w:szCs w:val="18"/>
              </w:rPr>
              <w:t>statistics</w:t>
            </w:r>
            <w:r w:rsidRPr="00F0156B">
              <w:rPr>
                <w:sz w:val="18"/>
                <w:szCs w:val="18"/>
              </w:rPr>
              <w:t xml:space="preserve"> for “Metropolitan &amp; South Central” and Jefferson Parish.</w:t>
            </w:r>
            <w:r>
              <w:rPr>
                <w:sz w:val="18"/>
                <w:szCs w:val="18"/>
              </w:rPr>
              <w:t xml:space="preserve"> GNO estimates should</w:t>
            </w:r>
            <w:r w:rsidR="001E69CB">
              <w:rPr>
                <w:sz w:val="18"/>
                <w:szCs w:val="18"/>
              </w:rPr>
              <w:t xml:space="preserve"> be prefixed with</w:t>
            </w:r>
            <w:r>
              <w:rPr>
                <w:sz w:val="18"/>
                <w:szCs w:val="18"/>
              </w:rPr>
              <w:t xml:space="preserve"> </w:t>
            </w:r>
            <w:r w:rsidR="003C0C47">
              <w:rPr>
                <w:sz w:val="18"/>
                <w:szCs w:val="18"/>
              </w:rPr>
              <w:t xml:space="preserve">the modifier “about” </w:t>
            </w:r>
            <w:r>
              <w:rPr>
                <w:sz w:val="18"/>
                <w:szCs w:val="18"/>
              </w:rPr>
              <w:t>since the estimation process is crude.</w:t>
            </w:r>
          </w:p>
          <w:p w:rsidR="00892209" w:rsidRPr="00892209" w:rsidRDefault="00892209" w:rsidP="00892209">
            <w:pPr>
              <w:rPr>
                <w:sz w:val="18"/>
                <w:szCs w:val="18"/>
              </w:rPr>
            </w:pPr>
            <w:r w:rsidRPr="00892209">
              <w:rPr>
                <w:sz w:val="18"/>
                <w:szCs w:val="18"/>
              </w:rPr>
              <w:t>*** Based on U.S. Census Bureau regions, southern states include Texas and Oklahoma in the west and Arkansas, Kentucky, West Virginia, Maryland and Delaware in the north.</w:t>
            </w:r>
          </w:p>
          <w:p w:rsidR="00E62D0D" w:rsidRPr="00F0156B" w:rsidRDefault="00E62D0D" w:rsidP="00674BB0">
            <w:pPr>
              <w:rPr>
                <w:sz w:val="18"/>
                <w:szCs w:val="18"/>
              </w:rPr>
            </w:pPr>
            <w:r w:rsidRPr="000C7F98">
              <w:rPr>
                <w:sz w:val="18"/>
                <w:szCs w:val="18"/>
              </w:rPr>
              <w:t>Source: National Survey on Drug Use and Health</w:t>
            </w:r>
            <w:r>
              <w:rPr>
                <w:sz w:val="18"/>
                <w:szCs w:val="18"/>
              </w:rPr>
              <w:t xml:space="preserve">, </w:t>
            </w:r>
            <w:hyperlink r:id="rId8" w:tooltip="View 2008-2010 NSDUH Substate Estimates of Substance Use and Mental Disorders" w:history="1">
              <w:r w:rsidRPr="00975C49">
                <w:rPr>
                  <w:rStyle w:val="Hyperlink"/>
                  <w:sz w:val="18"/>
                  <w:szCs w:val="18"/>
                </w:rPr>
                <w:t>2008-2010 NSDUH Substate Estimates of Substance Use and Mental Disorders</w:t>
              </w:r>
            </w:hyperlink>
            <w:r w:rsidRPr="000C7F98">
              <w:rPr>
                <w:sz w:val="18"/>
                <w:szCs w:val="18"/>
              </w:rPr>
              <w:t xml:space="preserve"> (</w:t>
            </w:r>
            <w:hyperlink r:id="rId9" w:history="1">
              <w:r w:rsidRPr="000C7F98">
                <w:rPr>
                  <w:rStyle w:val="Hyperlink"/>
                  <w:sz w:val="18"/>
                  <w:szCs w:val="18"/>
                </w:rPr>
                <w:t>http://www.samhsa.gov/data/NSDUH.aspx</w:t>
              </w:r>
            </w:hyperlink>
            <w:r w:rsidRPr="000C7F98">
              <w:rPr>
                <w:sz w:val="18"/>
                <w:szCs w:val="18"/>
              </w:rPr>
              <w:t>)</w:t>
            </w:r>
          </w:p>
        </w:tc>
      </w:tr>
    </w:tbl>
    <w:p w:rsidR="00D01DCF" w:rsidRDefault="00D01DCF" w:rsidP="000F7581"/>
    <w:p w:rsidR="00E82FE8" w:rsidRDefault="00E82FE8" w:rsidP="000F7581">
      <w:r w:rsidRPr="00E82FE8">
        <w:t xml:space="preserve">Among the adult population (ages 18 and older) </w:t>
      </w:r>
      <w:r>
        <w:t>in</w:t>
      </w:r>
      <w:r w:rsidRPr="00E82FE8">
        <w:t xml:space="preserve"> Greater New Orleans</w:t>
      </w:r>
      <w:r w:rsidR="0046759F">
        <w:t xml:space="preserve">, almost half (about 46%) </w:t>
      </w:r>
      <w:r w:rsidR="0046759F" w:rsidRPr="0046759F">
        <w:t xml:space="preserve">indicated that consuming </w:t>
      </w:r>
      <w:r w:rsidR="0046759F" w:rsidRPr="0046759F">
        <w:rPr>
          <w:u w:val="single"/>
        </w:rPr>
        <w:t>five or more drinks of an alcoholic beverage once or twice a week</w:t>
      </w:r>
      <w:r w:rsidR="0046759F" w:rsidRPr="0046759F">
        <w:t xml:space="preserve"> posed a great risk</w:t>
      </w:r>
      <w:r w:rsidR="004A3BF7" w:rsidRPr="004A3BF7">
        <w:t xml:space="preserve">, based on </w:t>
      </w:r>
      <w:r w:rsidR="003C0C47">
        <w:t>NSDUH surveys</w:t>
      </w:r>
      <w:r w:rsidR="004A3BF7" w:rsidRPr="004A3BF7">
        <w:t xml:space="preserve"> for 2008-10</w:t>
      </w:r>
      <w:r w:rsidR="0046759F" w:rsidRPr="0046759F">
        <w:t>.</w:t>
      </w:r>
      <w:r w:rsidR="0046759F">
        <w:t xml:space="preserve"> </w:t>
      </w:r>
      <w:r w:rsidR="0046759F" w:rsidRPr="0046759F">
        <w:t xml:space="preserve">This figure is </w:t>
      </w:r>
      <w:r w:rsidR="003C0C47">
        <w:t>similar to the rate for</w:t>
      </w:r>
      <w:r w:rsidR="0046759F" w:rsidRPr="0046759F">
        <w:t xml:space="preserve"> the state as a whole. The Louisiana state figure (4</w:t>
      </w:r>
      <w:r w:rsidR="0046759F">
        <w:t>6</w:t>
      </w:r>
      <w:r w:rsidR="0046759F" w:rsidRPr="0046759F">
        <w:t xml:space="preserve">%) is </w:t>
      </w:r>
      <w:r w:rsidR="0046759F">
        <w:t>about the same as</w:t>
      </w:r>
      <w:r w:rsidR="0046759F" w:rsidRPr="0046759F">
        <w:t xml:space="preserve"> for southern states (</w:t>
      </w:r>
      <w:r w:rsidR="0046759F">
        <w:t>45</w:t>
      </w:r>
      <w:r w:rsidR="0046759F" w:rsidRPr="0046759F">
        <w:t xml:space="preserve">%) and </w:t>
      </w:r>
      <w:r w:rsidR="00681CE5">
        <w:t>slightly</w:t>
      </w:r>
      <w:r w:rsidR="0046759F" w:rsidRPr="0046759F">
        <w:t xml:space="preserve"> higher than the national figure (</w:t>
      </w:r>
      <w:r w:rsidR="00681CE5">
        <w:t>42</w:t>
      </w:r>
      <w:r w:rsidR="0046759F" w:rsidRPr="0046759F">
        <w:t>%).</w:t>
      </w:r>
      <w:r w:rsidR="00681CE5">
        <w:t xml:space="preserve"> </w:t>
      </w:r>
    </w:p>
    <w:p w:rsidR="00C40876" w:rsidRDefault="00C40876" w:rsidP="000F7581"/>
    <w:p w:rsidR="00681CE5" w:rsidRPr="00681CE5" w:rsidRDefault="00681CE5" w:rsidP="00681CE5">
      <w:r w:rsidRPr="00681CE5">
        <w:t>Among young adults (ages 18-25) in Greater New Orleans,</w:t>
      </w:r>
      <w:r>
        <w:t xml:space="preserve"> two-fifths (about 41%) </w:t>
      </w:r>
      <w:r w:rsidRPr="00681CE5">
        <w:t xml:space="preserve">indicated that consuming </w:t>
      </w:r>
      <w:r w:rsidRPr="00681CE5">
        <w:rPr>
          <w:u w:val="single"/>
        </w:rPr>
        <w:t>five or more drinks of an alcoholic beverage once or twice a week</w:t>
      </w:r>
      <w:r w:rsidRPr="00681CE5">
        <w:t xml:space="preserve"> posed a great risk</w:t>
      </w:r>
      <w:r w:rsidR="004A3BF7" w:rsidRPr="004A3BF7">
        <w:t xml:space="preserve">, based on </w:t>
      </w:r>
      <w:r w:rsidR="003C0C47">
        <w:t>NSDUH surveys</w:t>
      </w:r>
      <w:r w:rsidR="004A3BF7" w:rsidRPr="004A3BF7">
        <w:t xml:space="preserve"> for 2008-10</w:t>
      </w:r>
      <w:r w:rsidRPr="00681CE5">
        <w:t xml:space="preserve">. </w:t>
      </w:r>
      <w:r w:rsidR="00E62D0D" w:rsidRPr="00E62D0D">
        <w:t xml:space="preserve">(This is </w:t>
      </w:r>
      <w:r w:rsidR="00E62D0D">
        <w:t>only slightly lower that</w:t>
      </w:r>
      <w:r w:rsidR="00E62D0D" w:rsidRPr="00E62D0D">
        <w:t xml:space="preserve"> the rate of perceived risk </w:t>
      </w:r>
      <w:r w:rsidR="00E62D0D">
        <w:t>for</w:t>
      </w:r>
      <w:r w:rsidR="00E62D0D" w:rsidRPr="00E62D0D">
        <w:t xml:space="preserve"> adults as a whole.) The Greater New Orleans rate appears to be slightly lower than for young adults statewide. </w:t>
      </w:r>
      <w:r w:rsidRPr="00681CE5">
        <w:t xml:space="preserve"> Young adult perception risk regarding </w:t>
      </w:r>
      <w:r>
        <w:t>binge drinking</w:t>
      </w:r>
      <w:r w:rsidRPr="00681CE5">
        <w:t xml:space="preserve"> in Louisiana (</w:t>
      </w:r>
      <w:r>
        <w:t>41</w:t>
      </w:r>
      <w:r w:rsidRPr="00681CE5">
        <w:t xml:space="preserve">%) is </w:t>
      </w:r>
      <w:r w:rsidRPr="00681CE5">
        <w:lastRenderedPageBreak/>
        <w:t>greater than for Southern States (</w:t>
      </w:r>
      <w:r w:rsidR="00E62D0D">
        <w:t>36</w:t>
      </w:r>
      <w:r w:rsidRPr="00681CE5">
        <w:t>%), which in turn is slightly greater than the national figure (</w:t>
      </w:r>
      <w:r w:rsidR="00E62D0D">
        <w:t>33</w:t>
      </w:r>
      <w:r w:rsidRPr="00681CE5">
        <w:t>%).</w:t>
      </w:r>
    </w:p>
    <w:p w:rsidR="00681CE5" w:rsidRDefault="00681CE5" w:rsidP="000F7581"/>
    <w:p w:rsidR="001F72FF" w:rsidRPr="001F72FF" w:rsidRDefault="00E62D0D" w:rsidP="001F72FF">
      <w:r w:rsidRPr="00E62D0D">
        <w:t>Among the adult population (ages 18 and older) in Greater New Orleans,</w:t>
      </w:r>
      <w:r w:rsidR="00EF0E2E" w:rsidRPr="00EF0E2E">
        <w:t xml:space="preserve"> </w:t>
      </w:r>
      <w:r w:rsidR="00EF0E2E">
        <w:t xml:space="preserve">three-quarters (about 75%) </w:t>
      </w:r>
      <w:r w:rsidR="00EF0E2E" w:rsidRPr="00EF0E2E">
        <w:t xml:space="preserve">indicated that </w:t>
      </w:r>
      <w:r w:rsidR="00EF0E2E" w:rsidRPr="00EF0E2E">
        <w:rPr>
          <w:u w:val="single"/>
        </w:rPr>
        <w:t>smoking one or more packs of cigarettes per day</w:t>
      </w:r>
      <w:r w:rsidR="00EF0E2E" w:rsidRPr="00EF0E2E">
        <w:t xml:space="preserve"> posed a great risk</w:t>
      </w:r>
      <w:r w:rsidR="004A3BF7" w:rsidRPr="004A3BF7">
        <w:t xml:space="preserve">, based on </w:t>
      </w:r>
      <w:r w:rsidR="003C0C47">
        <w:t>NSDUH surveys</w:t>
      </w:r>
      <w:r w:rsidR="004A3BF7" w:rsidRPr="004A3BF7">
        <w:t xml:space="preserve"> for 2008-10</w:t>
      </w:r>
      <w:r w:rsidR="00EF0E2E" w:rsidRPr="00EF0E2E">
        <w:t>.</w:t>
      </w:r>
      <w:r w:rsidR="00EF0E2E">
        <w:t xml:space="preserve"> This figure is </w:t>
      </w:r>
      <w:r w:rsidR="003C0C47">
        <w:t>similar to the rate for</w:t>
      </w:r>
      <w:r w:rsidR="00EF0E2E">
        <w:t xml:space="preserve"> the state, regional and national figures.</w:t>
      </w:r>
    </w:p>
    <w:p w:rsidR="001F72FF" w:rsidRDefault="001F72FF" w:rsidP="001F72FF"/>
    <w:p w:rsidR="00EF0E2E" w:rsidRDefault="00EF0E2E" w:rsidP="001F72FF">
      <w:r w:rsidRPr="00EF0E2E">
        <w:t>Among young adults (ages 18-25) in Greater New Orleans, two-</w:t>
      </w:r>
      <w:r>
        <w:t>thirds</w:t>
      </w:r>
      <w:r w:rsidRPr="00EF0E2E">
        <w:t xml:space="preserve"> (about </w:t>
      </w:r>
      <w:r>
        <w:t>68</w:t>
      </w:r>
      <w:r w:rsidRPr="00EF0E2E">
        <w:t xml:space="preserve">%) indicated that </w:t>
      </w:r>
      <w:r w:rsidRPr="00EF0E2E">
        <w:rPr>
          <w:u w:val="single"/>
        </w:rPr>
        <w:t xml:space="preserve">smoking one or more packs of cigarettes per day </w:t>
      </w:r>
      <w:r w:rsidRPr="00EF0E2E">
        <w:t>posed a great risk</w:t>
      </w:r>
      <w:r w:rsidR="004A3BF7" w:rsidRPr="004A3BF7">
        <w:t xml:space="preserve">, based on </w:t>
      </w:r>
      <w:r w:rsidR="003C0C47">
        <w:t>NSDUH surveys</w:t>
      </w:r>
      <w:r w:rsidR="004A3BF7" w:rsidRPr="004A3BF7">
        <w:t xml:space="preserve"> for 2008-10</w:t>
      </w:r>
      <w:r w:rsidRPr="00EF0E2E">
        <w:t>. (This is slightly lower that the rate of perceived risk for adults as a whole.)</w:t>
      </w:r>
      <w:r w:rsidR="0055541D" w:rsidRPr="0055541D">
        <w:t xml:space="preserve"> The Greater New Orleans rate </w:t>
      </w:r>
      <w:r w:rsidR="0055541D">
        <w:t>is</w:t>
      </w:r>
      <w:r w:rsidR="0055541D" w:rsidRPr="0055541D">
        <w:t xml:space="preserve"> </w:t>
      </w:r>
      <w:r w:rsidR="003C0C47">
        <w:t>similar to the rate for</w:t>
      </w:r>
      <w:r w:rsidR="0055541D" w:rsidRPr="0055541D">
        <w:t xml:space="preserve"> the state, regional and national figures</w:t>
      </w:r>
      <w:r w:rsidR="0055541D">
        <w:t xml:space="preserve"> for young adults</w:t>
      </w:r>
      <w:r w:rsidR="0055541D" w:rsidRPr="0055541D">
        <w:t xml:space="preserve">.  </w:t>
      </w:r>
    </w:p>
    <w:p w:rsidR="00EF0E2E" w:rsidRPr="001F72FF" w:rsidRDefault="00EF0E2E" w:rsidP="001F72FF"/>
    <w:p w:rsidR="00DD1E24" w:rsidRPr="000F7581" w:rsidRDefault="00DD1E24" w:rsidP="000F7581"/>
    <w:p w:rsidR="000F7581" w:rsidRDefault="000F7581" w:rsidP="000F7581"/>
    <w:p w:rsidR="000F7581" w:rsidRPr="000F7581" w:rsidRDefault="000F7581" w:rsidP="000F7581">
      <w:r w:rsidRPr="000F7581">
        <w:rPr>
          <w:b/>
        </w:rPr>
        <w:t>Contact for Further Information</w:t>
      </w:r>
    </w:p>
    <w:p w:rsidR="000C7F98" w:rsidRPr="000C7F98" w:rsidRDefault="000C7F98" w:rsidP="000C7F98"/>
    <w:p w:rsidR="000C7F98" w:rsidRPr="000C7F98" w:rsidRDefault="005C5A01" w:rsidP="000C7F98">
      <w:hyperlink r:id="rId10" w:history="1">
        <w:r w:rsidR="000C7F98" w:rsidRPr="000C7F98">
          <w:rPr>
            <w:rStyle w:val="Hyperlink"/>
          </w:rPr>
          <w:t>http://www.samhsa.gov/data/NSDUH.aspx</w:t>
        </w:r>
      </w:hyperlink>
    </w:p>
    <w:p w:rsidR="000C7F98" w:rsidRDefault="000C7F98" w:rsidP="000C7F98"/>
    <w:p w:rsidR="004A3BF7" w:rsidRPr="000C7F98" w:rsidRDefault="004A3BF7" w:rsidP="000C7F98"/>
    <w:p w:rsidR="00421864" w:rsidRPr="00952A15" w:rsidRDefault="00421864" w:rsidP="00421864">
      <w:pPr>
        <w:rPr>
          <w:sz w:val="20"/>
        </w:rPr>
      </w:pPr>
      <w:r w:rsidRPr="00952A15">
        <w:rPr>
          <w:sz w:val="20"/>
        </w:rPr>
        <w:t>Editor: Robert J Gallati (</w:t>
      </w:r>
      <w:hyperlink r:id="rId11" w:history="1">
        <w:r w:rsidRPr="00952A15">
          <w:rPr>
            <w:rStyle w:val="Hyperlink"/>
            <w:sz w:val="20"/>
          </w:rPr>
          <w:t>rjgallati@yahoo.com</w:t>
        </w:r>
      </w:hyperlink>
      <w:r>
        <w:rPr>
          <w:sz w:val="20"/>
        </w:rPr>
        <w:t>), updated: 12/30</w:t>
      </w:r>
      <w:r w:rsidRPr="00952A15">
        <w:rPr>
          <w:sz w:val="20"/>
        </w:rPr>
        <w:t>/2013</w:t>
      </w:r>
    </w:p>
    <w:p w:rsidR="004F4264" w:rsidRPr="000F7581" w:rsidRDefault="004F4264" w:rsidP="00421864"/>
    <w:sectPr w:rsidR="004F4264" w:rsidRPr="000F7581" w:rsidSect="007214C6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A01" w:rsidRDefault="005C5A01" w:rsidP="001B31CC">
      <w:r>
        <w:separator/>
      </w:r>
    </w:p>
  </w:endnote>
  <w:endnote w:type="continuationSeparator" w:id="0">
    <w:p w:rsidR="005C5A01" w:rsidRDefault="005C5A01" w:rsidP="001B3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1CC" w:rsidRDefault="00C8311C">
    <w:pPr>
      <w:pStyle w:val="Footer"/>
    </w:pPr>
    <w:fldSimple w:instr=" FILENAME   \* MERGEFORMAT ">
      <w:r w:rsidR="007D7123" w:rsidRPr="007D7123">
        <w:rPr>
          <w:noProof/>
          <w:sz w:val="18"/>
          <w:szCs w:val="18"/>
        </w:rPr>
        <w:t>3-0507_PerceptRiskNSDUH_200144030.docx</w:t>
      </w:r>
    </w:fldSimple>
    <w:r w:rsidR="001B31CC">
      <w:tab/>
    </w:r>
    <w:r w:rsidR="007214C6">
      <w:fldChar w:fldCharType="begin"/>
    </w:r>
    <w:r w:rsidR="001B31CC">
      <w:instrText xml:space="preserve"> PAGE   \* MERGEFORMAT </w:instrText>
    </w:r>
    <w:r w:rsidR="007214C6">
      <w:fldChar w:fldCharType="separate"/>
    </w:r>
    <w:r w:rsidR="00892209">
      <w:rPr>
        <w:noProof/>
      </w:rPr>
      <w:t>1</w:t>
    </w:r>
    <w:r w:rsidR="007214C6">
      <w:fldChar w:fldCharType="end"/>
    </w:r>
    <w:r w:rsidR="001B31CC">
      <w:t xml:space="preserve"> of </w:t>
    </w:r>
    <w:fldSimple w:instr=" NUMPAGES   \* MERGEFORMAT ">
      <w:r w:rsidR="00892209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A01" w:rsidRDefault="005C5A01" w:rsidP="001B31CC">
      <w:r>
        <w:separator/>
      </w:r>
    </w:p>
  </w:footnote>
  <w:footnote w:type="continuationSeparator" w:id="0">
    <w:p w:rsidR="005C5A01" w:rsidRDefault="005C5A01" w:rsidP="001B31CC">
      <w:r>
        <w:continuationSeparator/>
      </w:r>
    </w:p>
  </w:footnote>
  <w:footnote w:id="1">
    <w:p w:rsidR="001F72FF" w:rsidRDefault="001F72FF" w:rsidP="001F72FF">
      <w:pPr>
        <w:pStyle w:val="FootnoteText"/>
      </w:pPr>
      <w:r w:rsidRPr="00DC307E">
        <w:rPr>
          <w:rStyle w:val="FootnoteReference"/>
        </w:rPr>
        <w:footnoteRef/>
      </w:r>
      <w:r w:rsidRPr="00DC307E">
        <w:t xml:space="preserve"> The National Survey on Drug Use and Health (NSDUH) is conducted</w:t>
      </w:r>
      <w:r>
        <w:t xml:space="preserve"> annually by the Substance Abuse and Mental Health Services Administration (SAMSHSA).  </w:t>
      </w:r>
      <w:hyperlink r:id="rId1" w:history="1">
        <w:r w:rsidRPr="00042A31">
          <w:rPr>
            <w:rStyle w:val="Hyperlink"/>
          </w:rPr>
          <w:t>http://www.samhsa.gov/data/NSDUH.aspx</w:t>
        </w:r>
      </w:hyperlink>
      <w:r>
        <w:t xml:space="preserve">  </w:t>
      </w:r>
    </w:p>
  </w:footnote>
  <w:footnote w:id="2">
    <w:p w:rsidR="00F714A8" w:rsidRDefault="00F714A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80008" w:rsidRPr="00580008">
        <w:t xml:space="preserve">Since the Metropolitan parishes </w:t>
      </w:r>
      <w:r w:rsidR="00580008">
        <w:t>(</w:t>
      </w:r>
      <w:r w:rsidR="00580008" w:rsidRPr="00580008">
        <w:t>together</w:t>
      </w:r>
      <w:r w:rsidR="00580008">
        <w:t>)</w:t>
      </w:r>
      <w:r w:rsidR="00580008" w:rsidRPr="00580008">
        <w:t xml:space="preserve"> and Jefferson Parish are approximately equal in population size, the proposed averaging to obtain Greater New Orleans</w:t>
      </w:r>
      <w:r w:rsidR="00580008">
        <w:t xml:space="preserve"> (GNO)</w:t>
      </w:r>
      <w:r w:rsidR="00580008" w:rsidRPr="00580008">
        <w:t xml:space="preserve"> estimates only assumes that “Metropolitan &amp; South Central” </w:t>
      </w:r>
      <w:r w:rsidR="00580008">
        <w:t xml:space="preserve">published </w:t>
      </w:r>
      <w:r w:rsidR="00580008" w:rsidRPr="00580008">
        <w:t xml:space="preserve">estimates are representative for the Metropolitan parishes. </w:t>
      </w:r>
      <w:r w:rsidR="00580008">
        <w:t xml:space="preserve">This may not be the case: the GNO estimates will be biased toward South Central characteristics to the extent that the South Central population differs from the Metropolitan population.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BC1" w:rsidRDefault="000E3853">
    <w:pPr>
      <w:pStyle w:val="Header"/>
      <w:rPr>
        <w:b/>
      </w:rPr>
    </w:pPr>
    <w:r>
      <w:rPr>
        <w:b/>
      </w:rPr>
      <w:t xml:space="preserve">Greater New Orleans </w:t>
    </w:r>
    <w:r w:rsidR="006E4BC1" w:rsidRPr="006E4BC1">
      <w:rPr>
        <w:b/>
      </w:rPr>
      <w:t xml:space="preserve">Community Substance </w:t>
    </w:r>
    <w:r w:rsidR="004F4264">
      <w:rPr>
        <w:b/>
      </w:rPr>
      <w:t>U</w:t>
    </w:r>
    <w:r w:rsidR="006E4BC1" w:rsidRPr="006E4BC1">
      <w:rPr>
        <w:b/>
      </w:rPr>
      <w:t>se Health Profile</w:t>
    </w:r>
  </w:p>
  <w:p w:rsidR="00F97EC9" w:rsidRPr="004A7415" w:rsidRDefault="00F97EC9" w:rsidP="00F97EC9">
    <w:pPr>
      <w:rPr>
        <w:b/>
      </w:rPr>
    </w:pPr>
    <w:r w:rsidRPr="004A7415">
      <w:rPr>
        <w:b/>
      </w:rPr>
      <w:t>Risk and Protective Factors – Social Norms and Perception of Risk</w:t>
    </w:r>
  </w:p>
  <w:p w:rsidR="00DD1E24" w:rsidRPr="006E4BC1" w:rsidRDefault="00DD1E24" w:rsidP="00F97EC9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321B"/>
    <w:multiLevelType w:val="multilevel"/>
    <w:tmpl w:val="15221CB6"/>
    <w:lvl w:ilvl="0">
      <w:start w:val="3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b/>
        <w:strike w:val="0"/>
        <w:color w:val="000000"/>
        <w:spacing w:val="-4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7339B4"/>
    <w:multiLevelType w:val="hybridMultilevel"/>
    <w:tmpl w:val="FECC7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421DE3"/>
    <w:multiLevelType w:val="hybridMultilevel"/>
    <w:tmpl w:val="9606F0A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25C408A7"/>
    <w:multiLevelType w:val="hybridMultilevel"/>
    <w:tmpl w:val="58AC5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46087E"/>
    <w:multiLevelType w:val="multilevel"/>
    <w:tmpl w:val="17DA4E82"/>
    <w:lvl w:ilvl="0">
      <w:start w:val="9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b/>
        <w:strike w:val="0"/>
        <w:color w:val="000000"/>
        <w:spacing w:val="1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EC4815"/>
    <w:multiLevelType w:val="multilevel"/>
    <w:tmpl w:val="14D6A2CC"/>
    <w:lvl w:ilvl="0">
      <w:start w:val="1"/>
      <w:numFmt w:val="bullet"/>
      <w:lvlText w:val="o"/>
      <w:lvlJc w:val="left"/>
      <w:pPr>
        <w:tabs>
          <w:tab w:val="left" w:pos="360"/>
        </w:tabs>
        <w:ind w:left="720"/>
      </w:pPr>
      <w:rPr>
        <w:rFonts w:ascii="Courier New" w:eastAsia="Courier New" w:hAnsi="Courier New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412437A"/>
    <w:multiLevelType w:val="hybridMultilevel"/>
    <w:tmpl w:val="A7EEC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776534"/>
    <w:multiLevelType w:val="multilevel"/>
    <w:tmpl w:val="77880920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D970D1"/>
    <w:multiLevelType w:val="hybridMultilevel"/>
    <w:tmpl w:val="9E825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6025D1"/>
    <w:multiLevelType w:val="multilevel"/>
    <w:tmpl w:val="15221CB6"/>
    <w:lvl w:ilvl="0">
      <w:start w:val="3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b/>
        <w:strike w:val="0"/>
        <w:color w:val="000000"/>
        <w:spacing w:val="-4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E9D1D32"/>
    <w:multiLevelType w:val="multilevel"/>
    <w:tmpl w:val="9E0E08C2"/>
    <w:lvl w:ilvl="0">
      <w:start w:val="7"/>
      <w:numFmt w:val="decimal"/>
      <w:lvlText w:val="%1."/>
      <w:lvlJc w:val="left"/>
      <w:pPr>
        <w:tabs>
          <w:tab w:val="left" w:pos="432"/>
        </w:tabs>
        <w:ind w:left="720"/>
      </w:pPr>
      <w:rPr>
        <w:rFonts w:ascii="Times New Roman" w:eastAsia="Times New Roman" w:hAnsi="Times New Roman"/>
        <w:b/>
        <w:strike w:val="0"/>
        <w:color w:val="000000"/>
        <w:spacing w:val="-3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5"/>
  </w:num>
  <w:num w:numId="5">
    <w:abstractNumId w:val="9"/>
  </w:num>
  <w:num w:numId="6">
    <w:abstractNumId w:val="0"/>
  </w:num>
  <w:num w:numId="7">
    <w:abstractNumId w:val="10"/>
  </w:num>
  <w:num w:numId="8">
    <w:abstractNumId w:val="4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104"/>
    <w:rsid w:val="000231AC"/>
    <w:rsid w:val="00034184"/>
    <w:rsid w:val="0004249E"/>
    <w:rsid w:val="00047859"/>
    <w:rsid w:val="0005363D"/>
    <w:rsid w:val="00061299"/>
    <w:rsid w:val="000726C0"/>
    <w:rsid w:val="000C092D"/>
    <w:rsid w:val="000C313F"/>
    <w:rsid w:val="000C7F98"/>
    <w:rsid w:val="000D188F"/>
    <w:rsid w:val="000E3853"/>
    <w:rsid w:val="000F3280"/>
    <w:rsid w:val="000F7581"/>
    <w:rsid w:val="001440D4"/>
    <w:rsid w:val="0015747A"/>
    <w:rsid w:val="001B31CC"/>
    <w:rsid w:val="001E69CB"/>
    <w:rsid w:val="001E7474"/>
    <w:rsid w:val="001F0058"/>
    <w:rsid w:val="001F5A93"/>
    <w:rsid w:val="001F72FF"/>
    <w:rsid w:val="00202AD8"/>
    <w:rsid w:val="00213B5A"/>
    <w:rsid w:val="002315F0"/>
    <w:rsid w:val="002318EB"/>
    <w:rsid w:val="0024791A"/>
    <w:rsid w:val="002517AA"/>
    <w:rsid w:val="002838EF"/>
    <w:rsid w:val="0028675C"/>
    <w:rsid w:val="002B140C"/>
    <w:rsid w:val="002C5D2D"/>
    <w:rsid w:val="002F6194"/>
    <w:rsid w:val="00302423"/>
    <w:rsid w:val="003348D2"/>
    <w:rsid w:val="0036519E"/>
    <w:rsid w:val="00392126"/>
    <w:rsid w:val="0039218D"/>
    <w:rsid w:val="003C0C47"/>
    <w:rsid w:val="003D40D7"/>
    <w:rsid w:val="003D7190"/>
    <w:rsid w:val="00402927"/>
    <w:rsid w:val="00405299"/>
    <w:rsid w:val="00421864"/>
    <w:rsid w:val="0046759F"/>
    <w:rsid w:val="004A3BF7"/>
    <w:rsid w:val="004A474C"/>
    <w:rsid w:val="004A7415"/>
    <w:rsid w:val="004D57B2"/>
    <w:rsid w:val="004E1F6F"/>
    <w:rsid w:val="004E7EF2"/>
    <w:rsid w:val="004F4264"/>
    <w:rsid w:val="00513E74"/>
    <w:rsid w:val="00546230"/>
    <w:rsid w:val="0055541D"/>
    <w:rsid w:val="00563573"/>
    <w:rsid w:val="00575E65"/>
    <w:rsid w:val="00580008"/>
    <w:rsid w:val="00587AFD"/>
    <w:rsid w:val="005917EF"/>
    <w:rsid w:val="005B2C8E"/>
    <w:rsid w:val="005C5A01"/>
    <w:rsid w:val="0060239C"/>
    <w:rsid w:val="00650C16"/>
    <w:rsid w:val="00681CE5"/>
    <w:rsid w:val="00684CF0"/>
    <w:rsid w:val="00693BBB"/>
    <w:rsid w:val="00694BCF"/>
    <w:rsid w:val="0069748D"/>
    <w:rsid w:val="006A65C8"/>
    <w:rsid w:val="006B22A9"/>
    <w:rsid w:val="006B2887"/>
    <w:rsid w:val="006D4F96"/>
    <w:rsid w:val="006E4BC1"/>
    <w:rsid w:val="007214C6"/>
    <w:rsid w:val="00722A7F"/>
    <w:rsid w:val="007249F4"/>
    <w:rsid w:val="007439F1"/>
    <w:rsid w:val="0075355D"/>
    <w:rsid w:val="007619DF"/>
    <w:rsid w:val="0076428B"/>
    <w:rsid w:val="007A023C"/>
    <w:rsid w:val="007C30B7"/>
    <w:rsid w:val="007D7123"/>
    <w:rsid w:val="008020DA"/>
    <w:rsid w:val="00812E90"/>
    <w:rsid w:val="008302C3"/>
    <w:rsid w:val="008324A9"/>
    <w:rsid w:val="00843D1D"/>
    <w:rsid w:val="00862080"/>
    <w:rsid w:val="00892209"/>
    <w:rsid w:val="008939FC"/>
    <w:rsid w:val="008D578E"/>
    <w:rsid w:val="008F74AA"/>
    <w:rsid w:val="0094555E"/>
    <w:rsid w:val="009522F8"/>
    <w:rsid w:val="00952A84"/>
    <w:rsid w:val="0096217B"/>
    <w:rsid w:val="009626B4"/>
    <w:rsid w:val="00962F2E"/>
    <w:rsid w:val="00975C49"/>
    <w:rsid w:val="00975E1E"/>
    <w:rsid w:val="00984C21"/>
    <w:rsid w:val="00985016"/>
    <w:rsid w:val="009856B7"/>
    <w:rsid w:val="009C039F"/>
    <w:rsid w:val="009C534C"/>
    <w:rsid w:val="009D1DAB"/>
    <w:rsid w:val="009E292F"/>
    <w:rsid w:val="009E731B"/>
    <w:rsid w:val="009F2598"/>
    <w:rsid w:val="00A02D06"/>
    <w:rsid w:val="00A06288"/>
    <w:rsid w:val="00A24918"/>
    <w:rsid w:val="00A37AD2"/>
    <w:rsid w:val="00A4227B"/>
    <w:rsid w:val="00A473C1"/>
    <w:rsid w:val="00A85D4E"/>
    <w:rsid w:val="00A8644E"/>
    <w:rsid w:val="00AB44E8"/>
    <w:rsid w:val="00AC3FD1"/>
    <w:rsid w:val="00AD6173"/>
    <w:rsid w:val="00AF41DD"/>
    <w:rsid w:val="00AF5A02"/>
    <w:rsid w:val="00B03D3C"/>
    <w:rsid w:val="00B16582"/>
    <w:rsid w:val="00B32666"/>
    <w:rsid w:val="00B964DB"/>
    <w:rsid w:val="00BB36AD"/>
    <w:rsid w:val="00BC0572"/>
    <w:rsid w:val="00BD41FF"/>
    <w:rsid w:val="00BE35FE"/>
    <w:rsid w:val="00C13A65"/>
    <w:rsid w:val="00C17E6A"/>
    <w:rsid w:val="00C26DD8"/>
    <w:rsid w:val="00C33589"/>
    <w:rsid w:val="00C338CA"/>
    <w:rsid w:val="00C40876"/>
    <w:rsid w:val="00C42104"/>
    <w:rsid w:val="00C64A71"/>
    <w:rsid w:val="00C81ED2"/>
    <w:rsid w:val="00C8311C"/>
    <w:rsid w:val="00CB19AA"/>
    <w:rsid w:val="00CC58D0"/>
    <w:rsid w:val="00CF0685"/>
    <w:rsid w:val="00CF5D44"/>
    <w:rsid w:val="00D01DCF"/>
    <w:rsid w:val="00D146B2"/>
    <w:rsid w:val="00D65FBF"/>
    <w:rsid w:val="00D66870"/>
    <w:rsid w:val="00DC0DE1"/>
    <w:rsid w:val="00DC4B84"/>
    <w:rsid w:val="00DD1E24"/>
    <w:rsid w:val="00DF1139"/>
    <w:rsid w:val="00E25586"/>
    <w:rsid w:val="00E62D0D"/>
    <w:rsid w:val="00E77285"/>
    <w:rsid w:val="00E81BD9"/>
    <w:rsid w:val="00E82620"/>
    <w:rsid w:val="00E82FE8"/>
    <w:rsid w:val="00E8405F"/>
    <w:rsid w:val="00E95D8C"/>
    <w:rsid w:val="00EA430E"/>
    <w:rsid w:val="00EA511F"/>
    <w:rsid w:val="00EB2A9A"/>
    <w:rsid w:val="00EB71B1"/>
    <w:rsid w:val="00EC04F1"/>
    <w:rsid w:val="00EC5CFD"/>
    <w:rsid w:val="00EE6935"/>
    <w:rsid w:val="00EF0510"/>
    <w:rsid w:val="00EF0E2E"/>
    <w:rsid w:val="00EF399F"/>
    <w:rsid w:val="00F01365"/>
    <w:rsid w:val="00F0156B"/>
    <w:rsid w:val="00F17C3B"/>
    <w:rsid w:val="00F30D3A"/>
    <w:rsid w:val="00F4786B"/>
    <w:rsid w:val="00F714A8"/>
    <w:rsid w:val="00F7602E"/>
    <w:rsid w:val="00F77D5B"/>
    <w:rsid w:val="00F92BFB"/>
    <w:rsid w:val="00F94B0C"/>
    <w:rsid w:val="00F97EC9"/>
    <w:rsid w:val="00FA1B45"/>
    <w:rsid w:val="00FA1C4F"/>
    <w:rsid w:val="00FB20B9"/>
    <w:rsid w:val="00FB48D1"/>
    <w:rsid w:val="00FB615F"/>
    <w:rsid w:val="00FE43A9"/>
    <w:rsid w:val="00FF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TableGrid">
    <w:name w:val="Table Grid"/>
    <w:basedOn w:val="TableNormal"/>
    <w:uiPriority w:val="59"/>
    <w:rsid w:val="00C64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1B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B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8501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501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31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1C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1B31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1CC"/>
    <w:rPr>
      <w:sz w:val="24"/>
    </w:rPr>
  </w:style>
  <w:style w:type="paragraph" w:styleId="ListParagraph">
    <w:name w:val="List Paragraph"/>
    <w:basedOn w:val="Normal"/>
    <w:uiPriority w:val="34"/>
    <w:qFormat/>
    <w:rsid w:val="004D57B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85D4E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5D4E"/>
  </w:style>
  <w:style w:type="character" w:styleId="FootnoteReference">
    <w:name w:val="footnote reference"/>
    <w:basedOn w:val="DefaultParagraphFont"/>
    <w:uiPriority w:val="99"/>
    <w:semiHidden/>
    <w:unhideWhenUsed/>
    <w:rsid w:val="00A85D4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B4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4E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4E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4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TableGrid">
    <w:name w:val="Table Grid"/>
    <w:basedOn w:val="TableNormal"/>
    <w:uiPriority w:val="59"/>
    <w:rsid w:val="00C64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1B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B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8501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501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31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1C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1B31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1CC"/>
    <w:rPr>
      <w:sz w:val="24"/>
    </w:rPr>
  </w:style>
  <w:style w:type="paragraph" w:styleId="ListParagraph">
    <w:name w:val="List Paragraph"/>
    <w:basedOn w:val="Normal"/>
    <w:uiPriority w:val="34"/>
    <w:qFormat/>
    <w:rsid w:val="004D57B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85D4E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5D4E"/>
  </w:style>
  <w:style w:type="character" w:styleId="FootnoteReference">
    <w:name w:val="footnote reference"/>
    <w:basedOn w:val="DefaultParagraphFont"/>
    <w:uiPriority w:val="99"/>
    <w:semiHidden/>
    <w:unhideWhenUsed/>
    <w:rsid w:val="00A85D4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B4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4E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4E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4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hsa.gov/data/NSDUH/substate2k10/toc.aspx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jgallati@yahoo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amhsa.gov/data/NSDUH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mhsa.gov/data/NSDUH.aspx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mhsa.gov/data/NSDUH.asp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vcRes\Templates\shar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share.dot</Template>
  <TotalTime>699</TotalTime>
  <Pages>3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a blank document using the “share</vt:lpstr>
    </vt:vector>
  </TitlesOfParts>
  <Company>Microsoft</Company>
  <LinksUpToDate>false</LinksUpToDate>
  <CharactersWithSpaces>7595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a blank document using the “share</dc:title>
  <dc:creator>Robert J Gallati</dc:creator>
  <cp:lastModifiedBy>Robert J Gallati</cp:lastModifiedBy>
  <cp:revision>15</cp:revision>
  <cp:lastPrinted>2014-05-07T13:46:00Z</cp:lastPrinted>
  <dcterms:created xsi:type="dcterms:W3CDTF">2014-05-05T21:20:00Z</dcterms:created>
  <dcterms:modified xsi:type="dcterms:W3CDTF">2014-05-08T14:43:00Z</dcterms:modified>
</cp:coreProperties>
</file>