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BC1" w:rsidRDefault="006E4BC1" w:rsidP="00034184">
      <w:pPr>
        <w:jc w:val="center"/>
        <w:rPr>
          <w:b/>
          <w:sz w:val="28"/>
          <w:szCs w:val="28"/>
        </w:rPr>
      </w:pPr>
    </w:p>
    <w:p w:rsidR="00034184" w:rsidRPr="00C33589" w:rsidRDefault="00C13C41" w:rsidP="00034184">
      <w:pPr>
        <w:jc w:val="center"/>
        <w:rPr>
          <w:b/>
          <w:sz w:val="28"/>
          <w:szCs w:val="28"/>
        </w:rPr>
      </w:pPr>
      <w:r>
        <w:rPr>
          <w:b/>
          <w:sz w:val="28"/>
          <w:szCs w:val="28"/>
        </w:rPr>
        <w:t xml:space="preserve">Substance </w:t>
      </w:r>
      <w:r w:rsidR="00097C91">
        <w:rPr>
          <w:b/>
          <w:sz w:val="28"/>
          <w:szCs w:val="28"/>
        </w:rPr>
        <w:t xml:space="preserve">Use </w:t>
      </w:r>
      <w:r w:rsidR="00F91F8A">
        <w:rPr>
          <w:b/>
          <w:sz w:val="28"/>
          <w:szCs w:val="28"/>
        </w:rPr>
        <w:t>among</w:t>
      </w:r>
      <w:r>
        <w:rPr>
          <w:b/>
          <w:sz w:val="28"/>
          <w:szCs w:val="28"/>
        </w:rPr>
        <w:t xml:space="preserve"> Middle and High School Students</w:t>
      </w:r>
    </w:p>
    <w:p w:rsidR="000F7581" w:rsidRDefault="000F7581" w:rsidP="000F7581"/>
    <w:p w:rsidR="004F6B48" w:rsidRDefault="004F6B48" w:rsidP="000F7581"/>
    <w:p w:rsidR="00DD1E24" w:rsidRDefault="00A537B4" w:rsidP="000F7581">
      <w:r>
        <w:t>The most frequently used indicator measuring substance use is “current use</w:t>
      </w:r>
      <w:r w:rsidR="00D052CC">
        <w:t>,</w:t>
      </w:r>
      <w:r w:rsidR="00237D57">
        <w:t xml:space="preserve">” defined as </w:t>
      </w:r>
      <w:r w:rsidR="00D052CC">
        <w:t xml:space="preserve">any </w:t>
      </w:r>
      <w:r w:rsidR="00237D57">
        <w:t xml:space="preserve">use </w:t>
      </w:r>
      <w:r w:rsidR="00237D57" w:rsidRPr="002B75A1">
        <w:rPr>
          <w:i/>
        </w:rPr>
        <w:t>in the past 30 days</w:t>
      </w:r>
      <w:r w:rsidR="00237D57">
        <w:t>. One exception is the “binge drinking” i</w:t>
      </w:r>
      <w:r w:rsidR="00235AC1">
        <w:t xml:space="preserve">ndicator which in school surveys has typically been </w:t>
      </w:r>
      <w:r w:rsidR="002B75A1">
        <w:t xml:space="preserve">defined a five or more drinks on one occasion </w:t>
      </w:r>
      <w:r w:rsidR="002B75A1" w:rsidRPr="002B75A1">
        <w:rPr>
          <w:i/>
        </w:rPr>
        <w:t>in</w:t>
      </w:r>
      <w:r w:rsidR="00AA4AA5" w:rsidRPr="002B75A1">
        <w:rPr>
          <w:i/>
        </w:rPr>
        <w:t xml:space="preserve"> the past 2 weeks</w:t>
      </w:r>
      <w:r w:rsidR="00AA4AA5">
        <w:t>.</w:t>
      </w:r>
      <w:r w:rsidR="00B159B2" w:rsidRPr="00B159B2">
        <w:t xml:space="preserve"> The </w:t>
      </w:r>
      <w:r w:rsidR="00B159B2" w:rsidRPr="00B159B2">
        <w:rPr>
          <w:i/>
        </w:rPr>
        <w:t>Caring Communities Youth Survey</w:t>
      </w:r>
      <w:r w:rsidR="00B159B2" w:rsidRPr="00B159B2">
        <w:t xml:space="preserve"> (CCYS) reports present </w:t>
      </w:r>
      <w:r w:rsidR="00B159B2">
        <w:t xml:space="preserve">current </w:t>
      </w:r>
      <w:r w:rsidR="00B159B2" w:rsidRPr="00B159B2">
        <w:t>use statistics in two categories: gateway substances and other illicit substance (including misuse of prescription medications).</w:t>
      </w:r>
      <w:r w:rsidR="002B75A1">
        <w:rPr>
          <w:rStyle w:val="FootnoteReference"/>
        </w:rPr>
        <w:footnoteReference w:id="1"/>
      </w:r>
      <w:r w:rsidR="00D052CC">
        <w:t xml:space="preserve"> </w:t>
      </w:r>
    </w:p>
    <w:p w:rsidR="0006691C" w:rsidRDefault="0006691C" w:rsidP="0006691C"/>
    <w:p w:rsidR="0006691C" w:rsidRDefault="0006691C" w:rsidP="0006691C">
      <w:r>
        <w:t>The CCYS is conducted statewide in November of even numbered calendar years for grades 6, 8, 10 and 12. Statistics are presented for the 8</w:t>
      </w:r>
      <w:r w:rsidRPr="006801C6">
        <w:rPr>
          <w:vertAlign w:val="superscript"/>
        </w:rPr>
        <w:t>th</w:t>
      </w:r>
      <w:r>
        <w:t xml:space="preserve"> grade and the 10</w:t>
      </w:r>
      <w:r w:rsidRPr="006801C6">
        <w:rPr>
          <w:vertAlign w:val="superscript"/>
        </w:rPr>
        <w:t>th</w:t>
      </w:r>
      <w:r>
        <w:t xml:space="preserve"> grade. Eighth grade students are typically 13 years old and substance use and other behaviors by 8</w:t>
      </w:r>
      <w:r w:rsidRPr="00430DC9">
        <w:rPr>
          <w:vertAlign w:val="superscript"/>
        </w:rPr>
        <w:t>th</w:t>
      </w:r>
      <w:r>
        <w:t xml:space="preserve"> graders represent early initiation. The fall semester of the 10</w:t>
      </w:r>
      <w:r w:rsidRPr="00430DC9">
        <w:rPr>
          <w:vertAlign w:val="superscript"/>
        </w:rPr>
        <w:t>th</w:t>
      </w:r>
      <w:r>
        <w:t xml:space="preserve"> grade represents a mid-point for the adolescent ages 12-to-17 while high school drop-out is a relatively small factor for 10</w:t>
      </w:r>
      <w:r w:rsidRPr="00011D83">
        <w:rPr>
          <w:vertAlign w:val="superscript"/>
        </w:rPr>
        <w:t>th</w:t>
      </w:r>
      <w:r>
        <w:t xml:space="preserve"> graders. Thus 10</w:t>
      </w:r>
      <w:r w:rsidRPr="00011D83">
        <w:rPr>
          <w:vertAlign w:val="superscript"/>
        </w:rPr>
        <w:t>th</w:t>
      </w:r>
      <w:r>
        <w:t xml:space="preserve"> graders can approximately represent 12-to-17 year-olds as a whole for many indicators. </w:t>
      </w:r>
      <w:r w:rsidR="00F87091">
        <w:t xml:space="preserve"> Similarly, the 8</w:t>
      </w:r>
      <w:r w:rsidR="00F87091" w:rsidRPr="00F87091">
        <w:rPr>
          <w:vertAlign w:val="superscript"/>
        </w:rPr>
        <w:t>th</w:t>
      </w:r>
      <w:r w:rsidR="00F87091">
        <w:t xml:space="preserve"> grade can represent the later years of middle school while the 10</w:t>
      </w:r>
      <w:r w:rsidR="00F87091" w:rsidRPr="00F87091">
        <w:rPr>
          <w:vertAlign w:val="superscript"/>
        </w:rPr>
        <w:t>th</w:t>
      </w:r>
      <w:r w:rsidR="00F87091">
        <w:t xml:space="preserve"> grade represents the early years of high school.</w:t>
      </w:r>
    </w:p>
    <w:p w:rsidR="0006691C" w:rsidRDefault="0006691C" w:rsidP="0006691C"/>
    <w:p w:rsidR="0006691C" w:rsidRPr="00E14B1C" w:rsidRDefault="0006691C" w:rsidP="0006691C">
      <w:r>
        <w:t>Interpretation of CCYS statistics at the parish level is often difficult due to low completion rates, especially in Orleans Parish.</w:t>
      </w:r>
      <w:r>
        <w:rPr>
          <w:rStyle w:val="FootnoteReference"/>
        </w:rPr>
        <w:footnoteReference w:id="2"/>
      </w:r>
      <w:r>
        <w:t xml:space="preserve"> Given these low completion rates, the strategy for interpretation used here is, first, to observe statewide levels and trends, then whether the levels and trends appear similar for the Greater New Orleans parishes. Finally, greater weight is given to Jefferson Parish because its completion rates are 2 to 5 times greater than Orleans’ while its adolescent population (ages 12-17) is 30 percent greater than Orleans’ and 15 times greater than Plaquemines’. </w:t>
      </w:r>
      <w:r w:rsidRPr="00265CD5">
        <w:rPr>
          <w:i/>
        </w:rPr>
        <w:t xml:space="preserve">Estimates provided for Greater New Orleans are approximations useful for planning purposes, but </w:t>
      </w:r>
      <w:r>
        <w:rPr>
          <w:i/>
        </w:rPr>
        <w:t xml:space="preserve">not adequate for tracking change </w:t>
      </w:r>
      <w:r>
        <w:t>and</w:t>
      </w:r>
      <w:r w:rsidRPr="00E14B1C">
        <w:t xml:space="preserve"> are prefaced with</w:t>
      </w:r>
      <w:r>
        <w:t xml:space="preserve"> the qualifier,</w:t>
      </w:r>
      <w:r w:rsidRPr="00E14B1C">
        <w:t xml:space="preserve"> “</w:t>
      </w:r>
      <w:r w:rsidRPr="00E14B1C">
        <w:rPr>
          <w:i/>
        </w:rPr>
        <w:t>about</w:t>
      </w:r>
      <w:r w:rsidRPr="00E14B1C">
        <w:t>.”</w:t>
      </w:r>
    </w:p>
    <w:p w:rsidR="0006691C" w:rsidRPr="00935FA7" w:rsidRDefault="0006691C" w:rsidP="0006691C"/>
    <w:p w:rsidR="00B159B2" w:rsidRPr="00B159B2" w:rsidRDefault="00B159B2" w:rsidP="00B159B2">
      <w:pPr>
        <w:rPr>
          <w:u w:val="single"/>
        </w:rPr>
      </w:pPr>
      <w:r>
        <w:rPr>
          <w:u w:val="single"/>
        </w:rPr>
        <w:t>Current</w:t>
      </w:r>
      <w:r w:rsidRPr="00B159B2">
        <w:rPr>
          <w:u w:val="single"/>
        </w:rPr>
        <w:t xml:space="preserve"> Alcohol, Cigarette and Marijuana Use</w:t>
      </w:r>
    </w:p>
    <w:p w:rsidR="00B159B2" w:rsidRPr="00B159B2" w:rsidRDefault="00B159B2" w:rsidP="00B159B2"/>
    <w:p w:rsidR="00B159B2" w:rsidRPr="00743FEB" w:rsidRDefault="00B159B2" w:rsidP="00B159B2">
      <w:r w:rsidRPr="00743FEB">
        <w:t xml:space="preserve">Statewide, </w:t>
      </w:r>
      <w:r w:rsidR="00743FEB">
        <w:t>19</w:t>
      </w:r>
      <w:r w:rsidRPr="00743FEB">
        <w:t xml:space="preserve"> percent of 8</w:t>
      </w:r>
      <w:r w:rsidRPr="00743FEB">
        <w:rPr>
          <w:vertAlign w:val="superscript"/>
        </w:rPr>
        <w:t>th</w:t>
      </w:r>
      <w:r w:rsidRPr="00743FEB">
        <w:t xml:space="preserve"> grade students had a drink of </w:t>
      </w:r>
      <w:r w:rsidRPr="00743FEB">
        <w:rPr>
          <w:b/>
        </w:rPr>
        <w:t>alcohol</w:t>
      </w:r>
      <w:r w:rsidR="00743FEB">
        <w:t xml:space="preserve"> in the past 30 days</w:t>
      </w:r>
      <w:r w:rsidRPr="00743FEB">
        <w:t>, based on the 2012 CCYS survey. Among 10</w:t>
      </w:r>
      <w:r w:rsidRPr="00743FEB">
        <w:rPr>
          <w:vertAlign w:val="superscript"/>
        </w:rPr>
        <w:t>th</w:t>
      </w:r>
      <w:r w:rsidRPr="00743FEB">
        <w:t xml:space="preserve"> grade students, </w:t>
      </w:r>
      <w:r w:rsidR="00743FEB">
        <w:t>35</w:t>
      </w:r>
      <w:r w:rsidRPr="00743FEB">
        <w:t xml:space="preserve"> percent had a drink of alcohol</w:t>
      </w:r>
      <w:r w:rsidR="00743FEB">
        <w:t xml:space="preserve"> in the past 30 days</w:t>
      </w:r>
      <w:r w:rsidRPr="00743FEB">
        <w:t xml:space="preserve">. </w:t>
      </w:r>
      <w:r w:rsidR="00743FEB">
        <w:t>Among 8</w:t>
      </w:r>
      <w:r w:rsidR="00743FEB" w:rsidRPr="00743FEB">
        <w:rPr>
          <w:vertAlign w:val="superscript"/>
        </w:rPr>
        <w:t>th</w:t>
      </w:r>
      <w:r w:rsidR="00743FEB">
        <w:t xml:space="preserve"> graders, current</w:t>
      </w:r>
      <w:r w:rsidRPr="00743FEB">
        <w:t xml:space="preserve"> alcohol use declined from 2008 levels (</w:t>
      </w:r>
      <w:r w:rsidR="00743FEB">
        <w:t>24%), but among 10</w:t>
      </w:r>
      <w:r w:rsidR="00743FEB" w:rsidRPr="00743FEB">
        <w:rPr>
          <w:vertAlign w:val="superscript"/>
        </w:rPr>
        <w:t>th</w:t>
      </w:r>
      <w:r w:rsidR="00743FEB">
        <w:t xml:space="preserve"> grade students use remained about the same</w:t>
      </w:r>
      <w:r w:rsidRPr="00743FEB">
        <w:t>.</w:t>
      </w:r>
    </w:p>
    <w:p w:rsidR="00DD1E24" w:rsidRPr="00C60926" w:rsidRDefault="00DD1E24" w:rsidP="000F7581">
      <w:pPr>
        <w:rPr>
          <w:highlight w:val="yellow"/>
        </w:rPr>
      </w:pPr>
    </w:p>
    <w:p w:rsidR="00B159B2" w:rsidRPr="00B159B2" w:rsidRDefault="00B159B2" w:rsidP="00B159B2">
      <w:r w:rsidRPr="00743FEB">
        <w:t xml:space="preserve">In Greater New Orleans, </w:t>
      </w:r>
      <w:r w:rsidRPr="00743FEB">
        <w:rPr>
          <w:i/>
        </w:rPr>
        <w:t>about</w:t>
      </w:r>
      <w:r w:rsidRPr="00743FEB">
        <w:t xml:space="preserve"> </w:t>
      </w:r>
      <w:r w:rsidR="00743FEB">
        <w:t>17</w:t>
      </w:r>
      <w:r w:rsidRPr="00743FEB">
        <w:t xml:space="preserve"> percent of 8</w:t>
      </w:r>
      <w:r w:rsidRPr="00743FEB">
        <w:rPr>
          <w:vertAlign w:val="superscript"/>
        </w:rPr>
        <w:t>th</w:t>
      </w:r>
      <w:r w:rsidRPr="00743FEB">
        <w:t xml:space="preserve"> grade students had a drink of </w:t>
      </w:r>
      <w:r w:rsidRPr="00743FEB">
        <w:rPr>
          <w:b/>
        </w:rPr>
        <w:t>alcohol</w:t>
      </w:r>
      <w:r w:rsidR="00743FEB">
        <w:t xml:space="preserve"> in the past </w:t>
      </w:r>
      <w:proofErr w:type="gramStart"/>
      <w:r w:rsidR="00743FEB">
        <w:t>30 days</w:t>
      </w:r>
      <w:r w:rsidRPr="00743FEB">
        <w:t>, based on the 2012 CCYS survey.</w:t>
      </w:r>
      <w:proofErr w:type="gramEnd"/>
      <w:r w:rsidRPr="00743FEB">
        <w:t xml:space="preserve"> Among 10</w:t>
      </w:r>
      <w:r w:rsidRPr="00743FEB">
        <w:rPr>
          <w:vertAlign w:val="superscript"/>
        </w:rPr>
        <w:t>th</w:t>
      </w:r>
      <w:r w:rsidRPr="00743FEB">
        <w:t xml:space="preserve"> grade students, </w:t>
      </w:r>
      <w:r w:rsidRPr="00743FEB">
        <w:rPr>
          <w:i/>
        </w:rPr>
        <w:t>about</w:t>
      </w:r>
      <w:r w:rsidRPr="00743FEB">
        <w:t xml:space="preserve"> </w:t>
      </w:r>
      <w:r w:rsidR="00743FEB">
        <w:t>29</w:t>
      </w:r>
      <w:r w:rsidRPr="00743FEB">
        <w:t xml:space="preserve"> percent had a </w:t>
      </w:r>
      <w:r w:rsidRPr="00743FEB">
        <w:lastRenderedPageBreak/>
        <w:t>drink of alcohol</w:t>
      </w:r>
      <w:r w:rsidR="00743FEB">
        <w:t xml:space="preserve"> in the past 30 days</w:t>
      </w:r>
      <w:r w:rsidRPr="00743FEB">
        <w:t xml:space="preserve">. </w:t>
      </w:r>
      <w:r w:rsidR="00743FEB">
        <w:t>Current</w:t>
      </w:r>
      <w:r w:rsidRPr="00743FEB">
        <w:t xml:space="preserve"> alcohol use among 8</w:t>
      </w:r>
      <w:r w:rsidRPr="00743FEB">
        <w:rPr>
          <w:vertAlign w:val="superscript"/>
        </w:rPr>
        <w:t>th</w:t>
      </w:r>
      <w:r w:rsidRPr="00743FEB">
        <w:t xml:space="preserve"> and 10</w:t>
      </w:r>
      <w:r w:rsidRPr="00743FEB">
        <w:rPr>
          <w:vertAlign w:val="superscript"/>
        </w:rPr>
        <w:t>th</w:t>
      </w:r>
      <w:r w:rsidRPr="00743FEB">
        <w:t xml:space="preserve"> graders appears to have declined from 2008 levels.</w:t>
      </w:r>
    </w:p>
    <w:p w:rsidR="00B72277" w:rsidRDefault="00B72277" w:rsidP="000F7581"/>
    <w:tbl>
      <w:tblPr>
        <w:tblStyle w:val="TableGrid"/>
        <w:tblW w:w="0" w:type="auto"/>
        <w:jc w:val="center"/>
        <w:tblLayout w:type="fixed"/>
        <w:tblCellMar>
          <w:left w:w="72" w:type="dxa"/>
          <w:right w:w="43" w:type="dxa"/>
        </w:tblCellMar>
        <w:tblLook w:val="04A0" w:firstRow="1" w:lastRow="0" w:firstColumn="1" w:lastColumn="0" w:noHBand="0" w:noVBand="1"/>
      </w:tblPr>
      <w:tblGrid>
        <w:gridCol w:w="1188"/>
        <w:gridCol w:w="1170"/>
        <w:gridCol w:w="918"/>
        <w:gridCol w:w="918"/>
        <w:gridCol w:w="918"/>
        <w:gridCol w:w="918"/>
        <w:gridCol w:w="918"/>
        <w:gridCol w:w="918"/>
      </w:tblGrid>
      <w:tr w:rsidR="00B72277" w:rsidRPr="00790B52" w:rsidTr="00B72277">
        <w:trPr>
          <w:trHeight w:val="260"/>
          <w:jc w:val="center"/>
        </w:trPr>
        <w:tc>
          <w:tcPr>
            <w:tcW w:w="7866" w:type="dxa"/>
            <w:gridSpan w:val="8"/>
            <w:vAlign w:val="center"/>
          </w:tcPr>
          <w:p w:rsidR="00B72277" w:rsidRPr="00935877" w:rsidRDefault="00B72277" w:rsidP="00B72277">
            <w:pPr>
              <w:jc w:val="center"/>
              <w:rPr>
                <w:b/>
                <w:sz w:val="20"/>
              </w:rPr>
            </w:pPr>
            <w:r w:rsidRPr="00935877">
              <w:rPr>
                <w:b/>
                <w:sz w:val="20"/>
              </w:rPr>
              <w:t>Percentage of 8th and 10th Grade Students Who Have Used</w:t>
            </w:r>
          </w:p>
          <w:p w:rsidR="00B72277" w:rsidRPr="00935877" w:rsidRDefault="00B72277" w:rsidP="00B72277">
            <w:pPr>
              <w:jc w:val="center"/>
              <w:rPr>
                <w:b/>
                <w:sz w:val="20"/>
              </w:rPr>
            </w:pPr>
            <w:r w:rsidRPr="00935877">
              <w:rPr>
                <w:b/>
                <w:sz w:val="20"/>
              </w:rPr>
              <w:t>Gateway Substances</w:t>
            </w:r>
            <w:r>
              <w:rPr>
                <w:b/>
                <w:sz w:val="20"/>
              </w:rPr>
              <w:t xml:space="preserve"> in the Past 30 Days</w:t>
            </w:r>
            <w:r w:rsidRPr="00935877">
              <w:rPr>
                <w:b/>
                <w:sz w:val="20"/>
              </w:rPr>
              <w:t xml:space="preserve"> by Parish, Caring Communities</w:t>
            </w:r>
          </w:p>
          <w:p w:rsidR="00B72277" w:rsidRPr="00790B52" w:rsidRDefault="00B72277" w:rsidP="00B72277">
            <w:pPr>
              <w:jc w:val="center"/>
              <w:rPr>
                <w:b/>
                <w:sz w:val="20"/>
                <w:highlight w:val="yellow"/>
              </w:rPr>
            </w:pPr>
            <w:r w:rsidRPr="00935877">
              <w:rPr>
                <w:b/>
                <w:sz w:val="20"/>
              </w:rPr>
              <w:t>Youth Survey, 2008, 2010 and 2012</w:t>
            </w:r>
          </w:p>
        </w:tc>
      </w:tr>
      <w:tr w:rsidR="00B72277" w:rsidRPr="00790B52" w:rsidTr="00B72277">
        <w:trPr>
          <w:trHeight w:val="260"/>
          <w:jc w:val="center"/>
        </w:trPr>
        <w:tc>
          <w:tcPr>
            <w:tcW w:w="1188" w:type="dxa"/>
            <w:vMerge w:val="restart"/>
            <w:vAlign w:val="center"/>
          </w:tcPr>
          <w:p w:rsidR="00B72277" w:rsidRPr="00790B52" w:rsidRDefault="00B72277" w:rsidP="00B72277">
            <w:pPr>
              <w:jc w:val="center"/>
              <w:rPr>
                <w:b/>
                <w:sz w:val="20"/>
              </w:rPr>
            </w:pPr>
            <w:r>
              <w:rPr>
                <w:b/>
                <w:sz w:val="20"/>
              </w:rPr>
              <w:t>Current</w:t>
            </w:r>
          </w:p>
          <w:p w:rsidR="00B72277" w:rsidRPr="00790B52" w:rsidRDefault="00B72277" w:rsidP="00B72277">
            <w:pPr>
              <w:jc w:val="center"/>
              <w:rPr>
                <w:b/>
                <w:sz w:val="20"/>
              </w:rPr>
            </w:pPr>
            <w:r w:rsidRPr="00790B52">
              <w:rPr>
                <w:b/>
                <w:sz w:val="20"/>
              </w:rPr>
              <w:t>Use</w:t>
            </w:r>
          </w:p>
        </w:tc>
        <w:tc>
          <w:tcPr>
            <w:tcW w:w="1170" w:type="dxa"/>
            <w:vMerge w:val="restart"/>
            <w:vAlign w:val="center"/>
          </w:tcPr>
          <w:p w:rsidR="00B72277" w:rsidRPr="00790B52" w:rsidRDefault="00B72277" w:rsidP="00B72277">
            <w:pPr>
              <w:jc w:val="center"/>
              <w:rPr>
                <w:b/>
                <w:sz w:val="20"/>
              </w:rPr>
            </w:pPr>
            <w:r w:rsidRPr="00790B52">
              <w:rPr>
                <w:b/>
                <w:sz w:val="20"/>
              </w:rPr>
              <w:t>Parish</w:t>
            </w:r>
          </w:p>
        </w:tc>
        <w:tc>
          <w:tcPr>
            <w:tcW w:w="2754" w:type="dxa"/>
            <w:gridSpan w:val="3"/>
            <w:vAlign w:val="center"/>
          </w:tcPr>
          <w:p w:rsidR="00B72277" w:rsidRPr="00790B52" w:rsidRDefault="00B72277" w:rsidP="00B72277">
            <w:pPr>
              <w:jc w:val="center"/>
              <w:rPr>
                <w:b/>
                <w:sz w:val="20"/>
              </w:rPr>
            </w:pPr>
            <w:r w:rsidRPr="00790B52">
              <w:rPr>
                <w:b/>
                <w:sz w:val="20"/>
                <w:highlight w:val="yellow"/>
              </w:rPr>
              <w:t>8</w:t>
            </w:r>
            <w:r w:rsidRPr="00790B52">
              <w:rPr>
                <w:b/>
                <w:sz w:val="20"/>
                <w:highlight w:val="yellow"/>
                <w:vertAlign w:val="superscript"/>
              </w:rPr>
              <w:t>th</w:t>
            </w:r>
            <w:r w:rsidRPr="00790B52">
              <w:rPr>
                <w:b/>
                <w:sz w:val="20"/>
              </w:rPr>
              <w:t xml:space="preserve"> Grade</w:t>
            </w:r>
          </w:p>
        </w:tc>
        <w:tc>
          <w:tcPr>
            <w:tcW w:w="2754" w:type="dxa"/>
            <w:gridSpan w:val="3"/>
          </w:tcPr>
          <w:p w:rsidR="00B72277" w:rsidRPr="00790B52" w:rsidRDefault="00B72277" w:rsidP="00B72277">
            <w:pPr>
              <w:jc w:val="center"/>
              <w:rPr>
                <w:b/>
                <w:sz w:val="20"/>
                <w:highlight w:val="yellow"/>
              </w:rPr>
            </w:pPr>
            <w:r w:rsidRPr="00790B52">
              <w:rPr>
                <w:b/>
                <w:sz w:val="20"/>
                <w:highlight w:val="yellow"/>
              </w:rPr>
              <w:t>10</w:t>
            </w:r>
            <w:r w:rsidRPr="00790B52">
              <w:rPr>
                <w:b/>
                <w:sz w:val="20"/>
                <w:highlight w:val="yellow"/>
                <w:vertAlign w:val="superscript"/>
              </w:rPr>
              <w:t>th</w:t>
            </w:r>
            <w:r w:rsidRPr="00790B52">
              <w:rPr>
                <w:b/>
                <w:sz w:val="20"/>
              </w:rPr>
              <w:t xml:space="preserve"> Grade</w:t>
            </w:r>
          </w:p>
        </w:tc>
      </w:tr>
      <w:tr w:rsidR="00B72277" w:rsidRPr="00790B52" w:rsidTr="00B72277">
        <w:trPr>
          <w:trHeight w:val="296"/>
          <w:jc w:val="center"/>
        </w:trPr>
        <w:tc>
          <w:tcPr>
            <w:tcW w:w="1188" w:type="dxa"/>
            <w:vMerge/>
            <w:vAlign w:val="center"/>
          </w:tcPr>
          <w:p w:rsidR="00B72277" w:rsidRPr="00790B52" w:rsidRDefault="00B72277" w:rsidP="00B72277">
            <w:pPr>
              <w:jc w:val="center"/>
              <w:rPr>
                <w:b/>
                <w:sz w:val="20"/>
              </w:rPr>
            </w:pPr>
          </w:p>
        </w:tc>
        <w:tc>
          <w:tcPr>
            <w:tcW w:w="1170" w:type="dxa"/>
            <w:vMerge/>
            <w:tcBorders>
              <w:bottom w:val="single" w:sz="4" w:space="0" w:color="auto"/>
            </w:tcBorders>
            <w:vAlign w:val="center"/>
          </w:tcPr>
          <w:p w:rsidR="00B72277" w:rsidRPr="00790B52" w:rsidRDefault="00B72277" w:rsidP="00B72277">
            <w:pPr>
              <w:jc w:val="center"/>
              <w:rPr>
                <w:b/>
                <w:sz w:val="20"/>
              </w:rPr>
            </w:pPr>
          </w:p>
        </w:tc>
        <w:tc>
          <w:tcPr>
            <w:tcW w:w="918" w:type="dxa"/>
            <w:tcBorders>
              <w:bottom w:val="single" w:sz="4" w:space="0" w:color="auto"/>
            </w:tcBorders>
            <w:vAlign w:val="center"/>
          </w:tcPr>
          <w:p w:rsidR="00B72277" w:rsidRPr="00790B52" w:rsidRDefault="00B72277" w:rsidP="00B72277">
            <w:pPr>
              <w:jc w:val="center"/>
              <w:rPr>
                <w:b/>
                <w:sz w:val="20"/>
              </w:rPr>
            </w:pPr>
            <w:r w:rsidRPr="00790B52">
              <w:rPr>
                <w:b/>
                <w:sz w:val="20"/>
              </w:rPr>
              <w:t>2008</w:t>
            </w:r>
          </w:p>
        </w:tc>
        <w:tc>
          <w:tcPr>
            <w:tcW w:w="918" w:type="dxa"/>
            <w:tcBorders>
              <w:bottom w:val="single" w:sz="4" w:space="0" w:color="auto"/>
            </w:tcBorders>
            <w:vAlign w:val="center"/>
          </w:tcPr>
          <w:p w:rsidR="00B72277" w:rsidRPr="00790B52" w:rsidRDefault="00B72277" w:rsidP="00B72277">
            <w:pPr>
              <w:jc w:val="center"/>
              <w:rPr>
                <w:b/>
                <w:sz w:val="20"/>
              </w:rPr>
            </w:pPr>
            <w:r w:rsidRPr="00790B52">
              <w:rPr>
                <w:b/>
                <w:sz w:val="20"/>
              </w:rPr>
              <w:t>2010</w:t>
            </w:r>
          </w:p>
        </w:tc>
        <w:tc>
          <w:tcPr>
            <w:tcW w:w="918" w:type="dxa"/>
            <w:tcBorders>
              <w:bottom w:val="single" w:sz="4" w:space="0" w:color="auto"/>
            </w:tcBorders>
            <w:vAlign w:val="center"/>
          </w:tcPr>
          <w:p w:rsidR="00B72277" w:rsidRPr="00790B52" w:rsidRDefault="00B72277" w:rsidP="00B72277">
            <w:pPr>
              <w:jc w:val="center"/>
              <w:rPr>
                <w:b/>
                <w:sz w:val="20"/>
              </w:rPr>
            </w:pPr>
            <w:r w:rsidRPr="00790B52">
              <w:rPr>
                <w:b/>
                <w:sz w:val="20"/>
              </w:rPr>
              <w:t>2012</w:t>
            </w:r>
          </w:p>
        </w:tc>
        <w:tc>
          <w:tcPr>
            <w:tcW w:w="918" w:type="dxa"/>
            <w:tcBorders>
              <w:bottom w:val="single" w:sz="4" w:space="0" w:color="auto"/>
            </w:tcBorders>
            <w:vAlign w:val="center"/>
          </w:tcPr>
          <w:p w:rsidR="00B72277" w:rsidRPr="00790B52" w:rsidRDefault="00B72277" w:rsidP="00B72277">
            <w:pPr>
              <w:jc w:val="center"/>
              <w:rPr>
                <w:b/>
                <w:sz w:val="20"/>
              </w:rPr>
            </w:pPr>
            <w:r w:rsidRPr="00790B52">
              <w:rPr>
                <w:b/>
                <w:sz w:val="20"/>
              </w:rPr>
              <w:t>2008</w:t>
            </w:r>
          </w:p>
        </w:tc>
        <w:tc>
          <w:tcPr>
            <w:tcW w:w="918" w:type="dxa"/>
            <w:tcBorders>
              <w:bottom w:val="single" w:sz="4" w:space="0" w:color="auto"/>
            </w:tcBorders>
            <w:vAlign w:val="center"/>
          </w:tcPr>
          <w:p w:rsidR="00B72277" w:rsidRPr="00790B52" w:rsidRDefault="00B72277" w:rsidP="00B72277">
            <w:pPr>
              <w:jc w:val="center"/>
              <w:rPr>
                <w:b/>
                <w:sz w:val="20"/>
              </w:rPr>
            </w:pPr>
            <w:r w:rsidRPr="00790B52">
              <w:rPr>
                <w:b/>
                <w:sz w:val="20"/>
              </w:rPr>
              <w:t>2010</w:t>
            </w:r>
          </w:p>
        </w:tc>
        <w:tc>
          <w:tcPr>
            <w:tcW w:w="918" w:type="dxa"/>
            <w:tcBorders>
              <w:bottom w:val="single" w:sz="4" w:space="0" w:color="auto"/>
            </w:tcBorders>
            <w:vAlign w:val="center"/>
          </w:tcPr>
          <w:p w:rsidR="00B72277" w:rsidRPr="00790B52" w:rsidRDefault="00B72277" w:rsidP="00B72277">
            <w:pPr>
              <w:jc w:val="center"/>
              <w:rPr>
                <w:b/>
                <w:sz w:val="20"/>
              </w:rPr>
            </w:pPr>
            <w:r w:rsidRPr="00790B52">
              <w:rPr>
                <w:b/>
                <w:sz w:val="20"/>
              </w:rPr>
              <w:t>2012</w:t>
            </w:r>
          </w:p>
        </w:tc>
      </w:tr>
      <w:tr w:rsidR="00B72277" w:rsidRPr="00790B52" w:rsidTr="00B72277">
        <w:trPr>
          <w:jc w:val="center"/>
        </w:trPr>
        <w:tc>
          <w:tcPr>
            <w:tcW w:w="1188" w:type="dxa"/>
            <w:vMerge w:val="restart"/>
            <w:vAlign w:val="center"/>
          </w:tcPr>
          <w:p w:rsidR="00B72277" w:rsidRPr="00790B52" w:rsidRDefault="00B72277" w:rsidP="00B72277">
            <w:pPr>
              <w:rPr>
                <w:sz w:val="20"/>
              </w:rPr>
            </w:pPr>
            <w:r w:rsidRPr="00790B52">
              <w:rPr>
                <w:sz w:val="20"/>
              </w:rPr>
              <w:t>Alcohol</w:t>
            </w:r>
          </w:p>
        </w:tc>
        <w:tc>
          <w:tcPr>
            <w:tcW w:w="1170" w:type="dxa"/>
            <w:tcBorders>
              <w:bottom w:val="nil"/>
            </w:tcBorders>
            <w:vAlign w:val="center"/>
          </w:tcPr>
          <w:p w:rsidR="00B72277" w:rsidRPr="00790B52" w:rsidRDefault="00B72277" w:rsidP="00B72277">
            <w:pPr>
              <w:rPr>
                <w:sz w:val="20"/>
              </w:rPr>
            </w:pPr>
            <w:r w:rsidRPr="00790B52">
              <w:rPr>
                <w:sz w:val="20"/>
              </w:rPr>
              <w:t>Orleans</w:t>
            </w:r>
          </w:p>
        </w:tc>
        <w:tc>
          <w:tcPr>
            <w:tcW w:w="918" w:type="dxa"/>
            <w:tcBorders>
              <w:bottom w:val="nil"/>
            </w:tcBorders>
            <w:vAlign w:val="center"/>
          </w:tcPr>
          <w:p w:rsidR="00B72277" w:rsidRPr="00443424" w:rsidRDefault="00B72277" w:rsidP="00B72277">
            <w:pPr>
              <w:jc w:val="center"/>
              <w:rPr>
                <w:sz w:val="20"/>
              </w:rPr>
            </w:pPr>
            <w:r w:rsidRPr="00443424">
              <w:rPr>
                <w:sz w:val="20"/>
              </w:rPr>
              <w:t>18.8</w:t>
            </w:r>
            <w:r w:rsidRPr="008902B4">
              <w:rPr>
                <w:sz w:val="20"/>
              </w:rPr>
              <w:t>#</w:t>
            </w:r>
          </w:p>
        </w:tc>
        <w:tc>
          <w:tcPr>
            <w:tcW w:w="918" w:type="dxa"/>
            <w:tcBorders>
              <w:bottom w:val="nil"/>
            </w:tcBorders>
            <w:vAlign w:val="center"/>
          </w:tcPr>
          <w:p w:rsidR="00B72277" w:rsidRPr="00443424" w:rsidRDefault="00B72277" w:rsidP="00B72277">
            <w:pPr>
              <w:jc w:val="center"/>
              <w:rPr>
                <w:sz w:val="20"/>
              </w:rPr>
            </w:pPr>
            <w:r w:rsidRPr="00443424">
              <w:rPr>
                <w:sz w:val="20"/>
              </w:rPr>
              <w:t>11.0</w:t>
            </w:r>
            <w:r w:rsidRPr="008902B4">
              <w:rPr>
                <w:sz w:val="20"/>
              </w:rPr>
              <w:t>#</w:t>
            </w:r>
          </w:p>
        </w:tc>
        <w:tc>
          <w:tcPr>
            <w:tcW w:w="918" w:type="dxa"/>
            <w:tcBorders>
              <w:bottom w:val="nil"/>
            </w:tcBorders>
            <w:vAlign w:val="center"/>
          </w:tcPr>
          <w:p w:rsidR="00B72277" w:rsidRPr="00443424" w:rsidRDefault="00B72277" w:rsidP="00B72277">
            <w:pPr>
              <w:jc w:val="center"/>
              <w:rPr>
                <w:sz w:val="20"/>
              </w:rPr>
            </w:pPr>
            <w:r w:rsidRPr="00443424">
              <w:rPr>
                <w:sz w:val="20"/>
              </w:rPr>
              <w:t>15.2</w:t>
            </w:r>
            <w:r w:rsidRPr="008902B4">
              <w:rPr>
                <w:sz w:val="20"/>
              </w:rPr>
              <w:t>#</w:t>
            </w:r>
          </w:p>
        </w:tc>
        <w:tc>
          <w:tcPr>
            <w:tcW w:w="918" w:type="dxa"/>
            <w:tcBorders>
              <w:bottom w:val="nil"/>
            </w:tcBorders>
            <w:vAlign w:val="center"/>
          </w:tcPr>
          <w:p w:rsidR="00B72277" w:rsidRPr="00443424" w:rsidRDefault="00B72277" w:rsidP="00B72277">
            <w:pPr>
              <w:jc w:val="center"/>
              <w:rPr>
                <w:sz w:val="20"/>
              </w:rPr>
            </w:pPr>
            <w:r w:rsidRPr="00443424">
              <w:rPr>
                <w:sz w:val="20"/>
              </w:rPr>
              <w:t>35.3</w:t>
            </w:r>
            <w:r w:rsidRPr="008902B4">
              <w:rPr>
                <w:sz w:val="20"/>
              </w:rPr>
              <w:t>#</w:t>
            </w:r>
          </w:p>
        </w:tc>
        <w:tc>
          <w:tcPr>
            <w:tcW w:w="918" w:type="dxa"/>
            <w:tcBorders>
              <w:bottom w:val="nil"/>
            </w:tcBorders>
            <w:vAlign w:val="center"/>
          </w:tcPr>
          <w:p w:rsidR="00B72277" w:rsidRPr="00443424" w:rsidRDefault="00B72277" w:rsidP="00B72277">
            <w:pPr>
              <w:jc w:val="center"/>
              <w:rPr>
                <w:sz w:val="20"/>
              </w:rPr>
            </w:pPr>
            <w:r w:rsidRPr="00443424">
              <w:rPr>
                <w:sz w:val="20"/>
              </w:rPr>
              <w:t>27.6</w:t>
            </w:r>
            <w:r w:rsidRPr="008902B4">
              <w:rPr>
                <w:sz w:val="20"/>
              </w:rPr>
              <w:t>#</w:t>
            </w:r>
          </w:p>
        </w:tc>
        <w:tc>
          <w:tcPr>
            <w:tcW w:w="918" w:type="dxa"/>
            <w:tcBorders>
              <w:bottom w:val="nil"/>
            </w:tcBorders>
            <w:vAlign w:val="center"/>
          </w:tcPr>
          <w:p w:rsidR="00B72277" w:rsidRPr="00443424" w:rsidRDefault="00B72277" w:rsidP="00B72277">
            <w:pPr>
              <w:jc w:val="center"/>
              <w:rPr>
                <w:sz w:val="20"/>
              </w:rPr>
            </w:pPr>
            <w:r w:rsidRPr="00443424">
              <w:rPr>
                <w:sz w:val="20"/>
              </w:rPr>
              <w:t>30.2</w:t>
            </w:r>
            <w:r w:rsidRPr="008902B4">
              <w:rPr>
                <w:sz w:val="20"/>
              </w:rPr>
              <w:t>#</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nil"/>
            </w:tcBorders>
            <w:vAlign w:val="center"/>
          </w:tcPr>
          <w:p w:rsidR="00B72277" w:rsidRPr="00790B52" w:rsidRDefault="00B72277" w:rsidP="00B72277">
            <w:pPr>
              <w:rPr>
                <w:sz w:val="20"/>
              </w:rPr>
            </w:pPr>
            <w:r w:rsidRPr="00790B52">
              <w:rPr>
                <w:sz w:val="20"/>
              </w:rPr>
              <w:t>Jefferson</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19.8</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20.0</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16.5</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37.0</w:t>
            </w:r>
            <w:r>
              <w:rPr>
                <w:sz w:val="20"/>
              </w:rPr>
              <w:t>*</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29.7</w:t>
            </w:r>
            <w:r w:rsidRPr="00F26D8E">
              <w:rPr>
                <w:sz w:val="20"/>
              </w:rPr>
              <w:t>*</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27.2</w:t>
            </w:r>
            <w:r w:rsidRPr="00F26D8E">
              <w:rPr>
                <w:sz w:val="20"/>
              </w:rPr>
              <w:t>*</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nil"/>
            </w:tcBorders>
            <w:vAlign w:val="center"/>
          </w:tcPr>
          <w:p w:rsidR="00B72277" w:rsidRPr="00790B52" w:rsidRDefault="00B72277" w:rsidP="00B72277">
            <w:pPr>
              <w:rPr>
                <w:sz w:val="20"/>
              </w:rPr>
            </w:pPr>
            <w:r w:rsidRPr="00790B52">
              <w:rPr>
                <w:sz w:val="20"/>
              </w:rPr>
              <w:t>Plaquemines</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23.9</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14.1</w:t>
            </w:r>
            <w:r w:rsidRPr="00976623">
              <w:rPr>
                <w:sz w:val="20"/>
              </w:rPr>
              <w:t>*</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13.4</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48.7</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43.2</w:t>
            </w:r>
            <w:r w:rsidRPr="00976623">
              <w:rPr>
                <w:sz w:val="20"/>
              </w:rPr>
              <w:t>*</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40.4</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nil"/>
            </w:tcBorders>
            <w:vAlign w:val="center"/>
          </w:tcPr>
          <w:p w:rsidR="00B72277" w:rsidRPr="00790B52" w:rsidRDefault="00B72277" w:rsidP="00B72277">
            <w:pPr>
              <w:rPr>
                <w:sz w:val="20"/>
              </w:rPr>
            </w:pPr>
            <w:r w:rsidRPr="00790B52">
              <w:rPr>
                <w:sz w:val="20"/>
              </w:rPr>
              <w:t>St. Bernard</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single" w:sz="4" w:space="0" w:color="auto"/>
            </w:tcBorders>
            <w:vAlign w:val="center"/>
          </w:tcPr>
          <w:p w:rsidR="00B72277" w:rsidRPr="00790B52" w:rsidRDefault="00B72277" w:rsidP="00B72277">
            <w:pPr>
              <w:rPr>
                <w:sz w:val="20"/>
              </w:rPr>
            </w:pPr>
            <w:r w:rsidRPr="00790B52">
              <w:rPr>
                <w:sz w:val="20"/>
              </w:rPr>
              <w:t>Statewide</w:t>
            </w:r>
          </w:p>
        </w:tc>
        <w:tc>
          <w:tcPr>
            <w:tcW w:w="918" w:type="dxa"/>
            <w:tcBorders>
              <w:top w:val="nil"/>
              <w:bottom w:val="single" w:sz="4" w:space="0" w:color="auto"/>
            </w:tcBorders>
            <w:vAlign w:val="center"/>
          </w:tcPr>
          <w:p w:rsidR="00B72277" w:rsidRPr="00443424" w:rsidRDefault="00B72277" w:rsidP="00B72277">
            <w:pPr>
              <w:jc w:val="center"/>
              <w:rPr>
                <w:sz w:val="20"/>
              </w:rPr>
            </w:pPr>
            <w:r w:rsidRPr="00443424">
              <w:rPr>
                <w:sz w:val="20"/>
              </w:rPr>
              <w:t>23.9</w:t>
            </w:r>
          </w:p>
        </w:tc>
        <w:tc>
          <w:tcPr>
            <w:tcW w:w="918" w:type="dxa"/>
            <w:tcBorders>
              <w:top w:val="nil"/>
              <w:bottom w:val="single" w:sz="4" w:space="0" w:color="auto"/>
            </w:tcBorders>
            <w:vAlign w:val="center"/>
          </w:tcPr>
          <w:p w:rsidR="00B72277" w:rsidRPr="00443424" w:rsidRDefault="00B72277" w:rsidP="00B72277">
            <w:pPr>
              <w:jc w:val="center"/>
              <w:rPr>
                <w:sz w:val="20"/>
              </w:rPr>
            </w:pPr>
            <w:r w:rsidRPr="00443424">
              <w:rPr>
                <w:sz w:val="20"/>
              </w:rPr>
              <w:t>21.8</w:t>
            </w:r>
          </w:p>
        </w:tc>
        <w:tc>
          <w:tcPr>
            <w:tcW w:w="918" w:type="dxa"/>
            <w:tcBorders>
              <w:top w:val="nil"/>
              <w:bottom w:val="single" w:sz="4" w:space="0" w:color="auto"/>
            </w:tcBorders>
            <w:vAlign w:val="center"/>
          </w:tcPr>
          <w:p w:rsidR="00B72277" w:rsidRPr="00443424" w:rsidRDefault="00B72277" w:rsidP="00B72277">
            <w:pPr>
              <w:jc w:val="center"/>
              <w:rPr>
                <w:sz w:val="20"/>
              </w:rPr>
            </w:pPr>
            <w:r w:rsidRPr="00443424">
              <w:rPr>
                <w:sz w:val="20"/>
              </w:rPr>
              <w:t>18.5</w:t>
            </w:r>
          </w:p>
        </w:tc>
        <w:tc>
          <w:tcPr>
            <w:tcW w:w="918" w:type="dxa"/>
            <w:tcBorders>
              <w:top w:val="nil"/>
              <w:bottom w:val="single" w:sz="4" w:space="0" w:color="auto"/>
            </w:tcBorders>
            <w:vAlign w:val="center"/>
          </w:tcPr>
          <w:p w:rsidR="00B72277" w:rsidRPr="00443424" w:rsidRDefault="00B72277" w:rsidP="00B72277">
            <w:pPr>
              <w:jc w:val="center"/>
              <w:rPr>
                <w:sz w:val="20"/>
              </w:rPr>
            </w:pPr>
            <w:r w:rsidRPr="00443424">
              <w:rPr>
                <w:sz w:val="20"/>
              </w:rPr>
              <w:t>37.8</w:t>
            </w:r>
          </w:p>
        </w:tc>
        <w:tc>
          <w:tcPr>
            <w:tcW w:w="918" w:type="dxa"/>
            <w:tcBorders>
              <w:top w:val="nil"/>
              <w:bottom w:val="single" w:sz="4" w:space="0" w:color="auto"/>
            </w:tcBorders>
            <w:vAlign w:val="center"/>
          </w:tcPr>
          <w:p w:rsidR="00B72277" w:rsidRPr="00443424" w:rsidRDefault="00B72277" w:rsidP="00B72277">
            <w:pPr>
              <w:jc w:val="center"/>
              <w:rPr>
                <w:sz w:val="20"/>
              </w:rPr>
            </w:pPr>
            <w:r w:rsidRPr="00443424">
              <w:rPr>
                <w:sz w:val="20"/>
              </w:rPr>
              <w:t>35.3</w:t>
            </w:r>
            <w:r w:rsidRPr="006C6064">
              <w:rPr>
                <w:sz w:val="20"/>
              </w:rPr>
              <w:t>*</w:t>
            </w:r>
          </w:p>
        </w:tc>
        <w:tc>
          <w:tcPr>
            <w:tcW w:w="918" w:type="dxa"/>
            <w:tcBorders>
              <w:top w:val="nil"/>
              <w:bottom w:val="single" w:sz="4" w:space="0" w:color="auto"/>
            </w:tcBorders>
            <w:vAlign w:val="center"/>
          </w:tcPr>
          <w:p w:rsidR="00B72277" w:rsidRPr="00443424" w:rsidRDefault="00B72277" w:rsidP="00B72277">
            <w:pPr>
              <w:jc w:val="center"/>
              <w:rPr>
                <w:sz w:val="20"/>
              </w:rPr>
            </w:pPr>
            <w:r w:rsidRPr="00443424">
              <w:rPr>
                <w:sz w:val="20"/>
              </w:rPr>
              <w:t>35.0</w:t>
            </w:r>
          </w:p>
        </w:tc>
      </w:tr>
      <w:tr w:rsidR="00B72277" w:rsidRPr="00790B52" w:rsidTr="00B72277">
        <w:trPr>
          <w:jc w:val="center"/>
        </w:trPr>
        <w:tc>
          <w:tcPr>
            <w:tcW w:w="1188" w:type="dxa"/>
            <w:vMerge w:val="restart"/>
            <w:vAlign w:val="center"/>
          </w:tcPr>
          <w:p w:rsidR="00B72277" w:rsidRDefault="00B72277" w:rsidP="00B72277">
            <w:pPr>
              <w:rPr>
                <w:sz w:val="20"/>
              </w:rPr>
            </w:pPr>
            <w:r>
              <w:rPr>
                <w:sz w:val="20"/>
              </w:rPr>
              <w:t>Binge Drinking</w:t>
            </w:r>
            <w:r w:rsidRPr="00A166BB">
              <w:rPr>
                <w:sz w:val="20"/>
                <w:vertAlign w:val="superscript"/>
              </w:rPr>
              <w:t>1</w:t>
            </w:r>
          </w:p>
          <w:p w:rsidR="00B72277" w:rsidRPr="00A166BB" w:rsidRDefault="00B72277" w:rsidP="00B72277">
            <w:pPr>
              <w:rPr>
                <w:sz w:val="18"/>
                <w:szCs w:val="18"/>
              </w:rPr>
            </w:pPr>
            <w:r w:rsidRPr="00A166BB">
              <w:rPr>
                <w:sz w:val="18"/>
                <w:szCs w:val="18"/>
              </w:rPr>
              <w:t>(past 2 weeks)</w:t>
            </w:r>
          </w:p>
        </w:tc>
        <w:tc>
          <w:tcPr>
            <w:tcW w:w="1170" w:type="dxa"/>
            <w:tcBorders>
              <w:top w:val="single" w:sz="4" w:space="0" w:color="auto"/>
              <w:bottom w:val="nil"/>
            </w:tcBorders>
            <w:vAlign w:val="center"/>
          </w:tcPr>
          <w:p w:rsidR="00B72277" w:rsidRPr="00790B52" w:rsidRDefault="00B72277" w:rsidP="00B72277">
            <w:pPr>
              <w:rPr>
                <w:sz w:val="20"/>
              </w:rPr>
            </w:pPr>
            <w:r w:rsidRPr="00790B52">
              <w:rPr>
                <w:sz w:val="20"/>
              </w:rPr>
              <w:t>Orleans</w:t>
            </w:r>
          </w:p>
        </w:tc>
        <w:tc>
          <w:tcPr>
            <w:tcW w:w="918" w:type="dxa"/>
            <w:tcBorders>
              <w:top w:val="single" w:sz="4" w:space="0" w:color="auto"/>
              <w:bottom w:val="nil"/>
            </w:tcBorders>
            <w:vAlign w:val="center"/>
          </w:tcPr>
          <w:p w:rsidR="00B72277" w:rsidRPr="00443424" w:rsidRDefault="00B72277" w:rsidP="00B72277">
            <w:pPr>
              <w:jc w:val="center"/>
              <w:rPr>
                <w:sz w:val="20"/>
              </w:rPr>
            </w:pPr>
            <w:r w:rsidRPr="00443424">
              <w:rPr>
                <w:sz w:val="20"/>
              </w:rPr>
              <w:t>9.3</w:t>
            </w:r>
            <w:r w:rsidRPr="008902B4">
              <w:rPr>
                <w:sz w:val="20"/>
              </w:rPr>
              <w:t>#</w:t>
            </w:r>
          </w:p>
        </w:tc>
        <w:tc>
          <w:tcPr>
            <w:tcW w:w="918" w:type="dxa"/>
            <w:tcBorders>
              <w:top w:val="single" w:sz="4" w:space="0" w:color="auto"/>
              <w:bottom w:val="nil"/>
            </w:tcBorders>
            <w:vAlign w:val="center"/>
          </w:tcPr>
          <w:p w:rsidR="00B72277" w:rsidRPr="00443424" w:rsidRDefault="00B72277" w:rsidP="00B72277">
            <w:pPr>
              <w:jc w:val="center"/>
              <w:rPr>
                <w:sz w:val="20"/>
              </w:rPr>
            </w:pPr>
            <w:r w:rsidRPr="00443424">
              <w:rPr>
                <w:sz w:val="20"/>
              </w:rPr>
              <w:t>4.3</w:t>
            </w:r>
            <w:r w:rsidRPr="008902B4">
              <w:rPr>
                <w:sz w:val="20"/>
              </w:rPr>
              <w:t>#</w:t>
            </w:r>
          </w:p>
        </w:tc>
        <w:tc>
          <w:tcPr>
            <w:tcW w:w="918" w:type="dxa"/>
            <w:tcBorders>
              <w:top w:val="single" w:sz="4" w:space="0" w:color="auto"/>
              <w:bottom w:val="nil"/>
            </w:tcBorders>
            <w:vAlign w:val="center"/>
          </w:tcPr>
          <w:p w:rsidR="00B72277" w:rsidRPr="00443424" w:rsidRDefault="00B72277" w:rsidP="00B72277">
            <w:pPr>
              <w:jc w:val="center"/>
              <w:rPr>
                <w:sz w:val="20"/>
              </w:rPr>
            </w:pPr>
            <w:r w:rsidRPr="00443424">
              <w:rPr>
                <w:sz w:val="20"/>
              </w:rPr>
              <w:t>5.9</w:t>
            </w:r>
            <w:r w:rsidRPr="008902B4">
              <w:rPr>
                <w:sz w:val="20"/>
              </w:rPr>
              <w:t>#</w:t>
            </w:r>
          </w:p>
        </w:tc>
        <w:tc>
          <w:tcPr>
            <w:tcW w:w="918" w:type="dxa"/>
            <w:tcBorders>
              <w:top w:val="single" w:sz="4" w:space="0" w:color="auto"/>
              <w:bottom w:val="nil"/>
            </w:tcBorders>
            <w:vAlign w:val="center"/>
          </w:tcPr>
          <w:p w:rsidR="00B72277" w:rsidRPr="00443424" w:rsidRDefault="00B72277" w:rsidP="00B72277">
            <w:pPr>
              <w:jc w:val="center"/>
              <w:rPr>
                <w:sz w:val="20"/>
              </w:rPr>
            </w:pPr>
            <w:r w:rsidRPr="00443424">
              <w:rPr>
                <w:sz w:val="20"/>
              </w:rPr>
              <w:t>14</w:t>
            </w:r>
            <w:r>
              <w:rPr>
                <w:sz w:val="20"/>
              </w:rPr>
              <w:t>.0</w:t>
            </w:r>
            <w:r w:rsidRPr="008902B4">
              <w:rPr>
                <w:sz w:val="20"/>
              </w:rPr>
              <w:t>#</w:t>
            </w:r>
          </w:p>
        </w:tc>
        <w:tc>
          <w:tcPr>
            <w:tcW w:w="918" w:type="dxa"/>
            <w:tcBorders>
              <w:top w:val="single" w:sz="4" w:space="0" w:color="auto"/>
              <w:bottom w:val="nil"/>
            </w:tcBorders>
            <w:vAlign w:val="center"/>
          </w:tcPr>
          <w:p w:rsidR="00B72277" w:rsidRPr="00443424" w:rsidRDefault="00B72277" w:rsidP="00B72277">
            <w:pPr>
              <w:jc w:val="center"/>
              <w:rPr>
                <w:sz w:val="20"/>
              </w:rPr>
            </w:pPr>
            <w:r w:rsidRPr="00443424">
              <w:rPr>
                <w:sz w:val="20"/>
              </w:rPr>
              <w:t>10.0</w:t>
            </w:r>
            <w:r w:rsidRPr="008902B4">
              <w:rPr>
                <w:sz w:val="20"/>
              </w:rPr>
              <w:t>#</w:t>
            </w:r>
          </w:p>
        </w:tc>
        <w:tc>
          <w:tcPr>
            <w:tcW w:w="918" w:type="dxa"/>
            <w:tcBorders>
              <w:top w:val="single" w:sz="4" w:space="0" w:color="auto"/>
              <w:bottom w:val="nil"/>
            </w:tcBorders>
            <w:vAlign w:val="center"/>
          </w:tcPr>
          <w:p w:rsidR="00B72277" w:rsidRPr="00443424" w:rsidRDefault="00B72277" w:rsidP="00B72277">
            <w:pPr>
              <w:jc w:val="center"/>
              <w:rPr>
                <w:sz w:val="20"/>
              </w:rPr>
            </w:pPr>
            <w:r w:rsidRPr="00443424">
              <w:rPr>
                <w:sz w:val="20"/>
              </w:rPr>
              <w:t>11.5</w:t>
            </w:r>
            <w:r w:rsidRPr="008902B4">
              <w:rPr>
                <w:sz w:val="20"/>
              </w:rPr>
              <w:t>#</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nil"/>
            </w:tcBorders>
            <w:vAlign w:val="center"/>
          </w:tcPr>
          <w:p w:rsidR="00B72277" w:rsidRPr="00790B52" w:rsidRDefault="00B72277" w:rsidP="00B72277">
            <w:pPr>
              <w:rPr>
                <w:sz w:val="20"/>
              </w:rPr>
            </w:pPr>
            <w:r w:rsidRPr="00790B52">
              <w:rPr>
                <w:sz w:val="20"/>
              </w:rPr>
              <w:t>Jefferson</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11.4</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10.4</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9.0</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17.5</w:t>
            </w:r>
            <w:r w:rsidRPr="006C6064">
              <w:rPr>
                <w:sz w:val="20"/>
              </w:rPr>
              <w:t>*</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16.5</w:t>
            </w:r>
            <w:r w:rsidRPr="006C6064">
              <w:rPr>
                <w:sz w:val="20"/>
              </w:rPr>
              <w:t>*</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12.6</w:t>
            </w:r>
            <w:r w:rsidRPr="006C6064">
              <w:rPr>
                <w:sz w:val="20"/>
              </w:rPr>
              <w:t>*</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nil"/>
            </w:tcBorders>
            <w:vAlign w:val="center"/>
          </w:tcPr>
          <w:p w:rsidR="00B72277" w:rsidRPr="00790B52" w:rsidRDefault="00B72277" w:rsidP="00B72277">
            <w:pPr>
              <w:rPr>
                <w:sz w:val="20"/>
              </w:rPr>
            </w:pPr>
            <w:r w:rsidRPr="00790B52">
              <w:rPr>
                <w:sz w:val="20"/>
              </w:rPr>
              <w:t>Plaquemines</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11.6</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4.7</w:t>
            </w:r>
            <w:r w:rsidRPr="00976623">
              <w:rPr>
                <w:sz w:val="20"/>
              </w:rPr>
              <w:t>*</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8.3</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23.3</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27.4</w:t>
            </w:r>
            <w:r w:rsidRPr="00976623">
              <w:rPr>
                <w:sz w:val="20"/>
              </w:rPr>
              <w:t>*</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17.7</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nil"/>
            </w:tcBorders>
            <w:vAlign w:val="center"/>
          </w:tcPr>
          <w:p w:rsidR="00B72277" w:rsidRPr="00790B52" w:rsidRDefault="00B72277" w:rsidP="00B72277">
            <w:pPr>
              <w:rPr>
                <w:sz w:val="20"/>
              </w:rPr>
            </w:pPr>
            <w:r w:rsidRPr="00790B52">
              <w:rPr>
                <w:sz w:val="20"/>
              </w:rPr>
              <w:t>St. Bernard</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single" w:sz="4" w:space="0" w:color="auto"/>
            </w:tcBorders>
            <w:vAlign w:val="center"/>
          </w:tcPr>
          <w:p w:rsidR="00B72277" w:rsidRPr="00790B52" w:rsidRDefault="00B72277" w:rsidP="00B72277">
            <w:pPr>
              <w:rPr>
                <w:sz w:val="20"/>
              </w:rPr>
            </w:pPr>
            <w:r w:rsidRPr="00790B52">
              <w:rPr>
                <w:sz w:val="20"/>
              </w:rPr>
              <w:t>Statewide</w:t>
            </w:r>
          </w:p>
        </w:tc>
        <w:tc>
          <w:tcPr>
            <w:tcW w:w="918" w:type="dxa"/>
            <w:tcBorders>
              <w:top w:val="nil"/>
              <w:bottom w:val="single" w:sz="4" w:space="0" w:color="auto"/>
            </w:tcBorders>
            <w:vAlign w:val="center"/>
          </w:tcPr>
          <w:p w:rsidR="00B72277" w:rsidRPr="00443424" w:rsidRDefault="00B72277" w:rsidP="00B72277">
            <w:pPr>
              <w:jc w:val="center"/>
              <w:rPr>
                <w:sz w:val="20"/>
              </w:rPr>
            </w:pPr>
            <w:r w:rsidRPr="00443424">
              <w:rPr>
                <w:sz w:val="20"/>
              </w:rPr>
              <w:t>12.9</w:t>
            </w:r>
          </w:p>
        </w:tc>
        <w:tc>
          <w:tcPr>
            <w:tcW w:w="918" w:type="dxa"/>
            <w:tcBorders>
              <w:top w:val="nil"/>
              <w:bottom w:val="single" w:sz="4" w:space="0" w:color="auto"/>
            </w:tcBorders>
            <w:vAlign w:val="center"/>
          </w:tcPr>
          <w:p w:rsidR="00B72277" w:rsidRPr="00443424" w:rsidRDefault="00B72277" w:rsidP="00B72277">
            <w:pPr>
              <w:jc w:val="center"/>
              <w:rPr>
                <w:sz w:val="20"/>
              </w:rPr>
            </w:pPr>
            <w:r w:rsidRPr="00443424">
              <w:rPr>
                <w:sz w:val="20"/>
              </w:rPr>
              <w:t>11.4</w:t>
            </w:r>
          </w:p>
        </w:tc>
        <w:tc>
          <w:tcPr>
            <w:tcW w:w="918" w:type="dxa"/>
            <w:tcBorders>
              <w:top w:val="nil"/>
              <w:bottom w:val="single" w:sz="4" w:space="0" w:color="auto"/>
            </w:tcBorders>
            <w:vAlign w:val="center"/>
          </w:tcPr>
          <w:p w:rsidR="00B72277" w:rsidRPr="00443424" w:rsidRDefault="00B72277" w:rsidP="00B72277">
            <w:pPr>
              <w:jc w:val="center"/>
              <w:rPr>
                <w:sz w:val="20"/>
              </w:rPr>
            </w:pPr>
            <w:r w:rsidRPr="00443424">
              <w:rPr>
                <w:sz w:val="20"/>
              </w:rPr>
              <w:t>9.5</w:t>
            </w:r>
          </w:p>
        </w:tc>
        <w:tc>
          <w:tcPr>
            <w:tcW w:w="918" w:type="dxa"/>
            <w:tcBorders>
              <w:top w:val="nil"/>
              <w:bottom w:val="single" w:sz="4" w:space="0" w:color="auto"/>
            </w:tcBorders>
            <w:vAlign w:val="center"/>
          </w:tcPr>
          <w:p w:rsidR="00B72277" w:rsidRPr="00443424" w:rsidRDefault="00B72277" w:rsidP="00B72277">
            <w:pPr>
              <w:jc w:val="center"/>
              <w:rPr>
                <w:sz w:val="20"/>
              </w:rPr>
            </w:pPr>
            <w:r w:rsidRPr="00443424">
              <w:rPr>
                <w:sz w:val="20"/>
              </w:rPr>
              <w:t>20.5</w:t>
            </w:r>
          </w:p>
        </w:tc>
        <w:tc>
          <w:tcPr>
            <w:tcW w:w="918" w:type="dxa"/>
            <w:tcBorders>
              <w:top w:val="nil"/>
              <w:bottom w:val="single" w:sz="4" w:space="0" w:color="auto"/>
            </w:tcBorders>
            <w:vAlign w:val="center"/>
          </w:tcPr>
          <w:p w:rsidR="00B72277" w:rsidRPr="00443424" w:rsidRDefault="00B72277" w:rsidP="00B72277">
            <w:pPr>
              <w:jc w:val="center"/>
              <w:rPr>
                <w:sz w:val="20"/>
              </w:rPr>
            </w:pPr>
            <w:r w:rsidRPr="00443424">
              <w:rPr>
                <w:sz w:val="20"/>
              </w:rPr>
              <w:t>18.8</w:t>
            </w:r>
            <w:r w:rsidRPr="006C6064">
              <w:rPr>
                <w:sz w:val="20"/>
              </w:rPr>
              <w:t>*</w:t>
            </w:r>
          </w:p>
        </w:tc>
        <w:tc>
          <w:tcPr>
            <w:tcW w:w="918" w:type="dxa"/>
            <w:tcBorders>
              <w:top w:val="nil"/>
              <w:bottom w:val="single" w:sz="4" w:space="0" w:color="auto"/>
            </w:tcBorders>
            <w:vAlign w:val="center"/>
          </w:tcPr>
          <w:p w:rsidR="00B72277" w:rsidRPr="00443424" w:rsidRDefault="00B72277" w:rsidP="00B72277">
            <w:pPr>
              <w:jc w:val="center"/>
              <w:rPr>
                <w:sz w:val="20"/>
              </w:rPr>
            </w:pPr>
            <w:r w:rsidRPr="00443424">
              <w:rPr>
                <w:sz w:val="20"/>
              </w:rPr>
              <w:t>18.2</w:t>
            </w:r>
          </w:p>
        </w:tc>
      </w:tr>
      <w:tr w:rsidR="00B72277" w:rsidRPr="00790B52" w:rsidTr="00B72277">
        <w:trPr>
          <w:jc w:val="center"/>
        </w:trPr>
        <w:tc>
          <w:tcPr>
            <w:tcW w:w="1188" w:type="dxa"/>
            <w:vMerge w:val="restart"/>
            <w:vAlign w:val="center"/>
          </w:tcPr>
          <w:p w:rsidR="00B72277" w:rsidRPr="00790B52" w:rsidRDefault="00B72277" w:rsidP="00B72277">
            <w:pPr>
              <w:rPr>
                <w:sz w:val="20"/>
              </w:rPr>
            </w:pPr>
            <w:r w:rsidRPr="00790B52">
              <w:rPr>
                <w:sz w:val="20"/>
              </w:rPr>
              <w:t>Cigarettes</w:t>
            </w:r>
          </w:p>
        </w:tc>
        <w:tc>
          <w:tcPr>
            <w:tcW w:w="1170" w:type="dxa"/>
            <w:tcBorders>
              <w:bottom w:val="nil"/>
            </w:tcBorders>
            <w:vAlign w:val="center"/>
          </w:tcPr>
          <w:p w:rsidR="00B72277" w:rsidRPr="00790B52" w:rsidRDefault="00B72277" w:rsidP="00B72277">
            <w:pPr>
              <w:rPr>
                <w:sz w:val="20"/>
              </w:rPr>
            </w:pPr>
            <w:r w:rsidRPr="00790B52">
              <w:rPr>
                <w:sz w:val="20"/>
              </w:rPr>
              <w:t>Orleans</w:t>
            </w:r>
          </w:p>
        </w:tc>
        <w:tc>
          <w:tcPr>
            <w:tcW w:w="918" w:type="dxa"/>
            <w:tcBorders>
              <w:bottom w:val="nil"/>
            </w:tcBorders>
            <w:vAlign w:val="center"/>
          </w:tcPr>
          <w:p w:rsidR="00B72277" w:rsidRPr="00443424" w:rsidRDefault="00B72277" w:rsidP="00B72277">
            <w:pPr>
              <w:jc w:val="center"/>
              <w:rPr>
                <w:sz w:val="20"/>
              </w:rPr>
            </w:pPr>
            <w:r w:rsidRPr="00443424">
              <w:rPr>
                <w:sz w:val="20"/>
              </w:rPr>
              <w:t>3.1</w:t>
            </w:r>
            <w:r w:rsidRPr="008902B4">
              <w:rPr>
                <w:sz w:val="20"/>
              </w:rPr>
              <w:t>#</w:t>
            </w:r>
          </w:p>
        </w:tc>
        <w:tc>
          <w:tcPr>
            <w:tcW w:w="918" w:type="dxa"/>
            <w:tcBorders>
              <w:bottom w:val="nil"/>
            </w:tcBorders>
            <w:vAlign w:val="center"/>
          </w:tcPr>
          <w:p w:rsidR="00B72277" w:rsidRPr="00443424" w:rsidRDefault="00B72277" w:rsidP="00B72277">
            <w:pPr>
              <w:jc w:val="center"/>
              <w:rPr>
                <w:sz w:val="20"/>
              </w:rPr>
            </w:pPr>
            <w:r w:rsidRPr="00443424">
              <w:rPr>
                <w:sz w:val="20"/>
              </w:rPr>
              <w:t>2.2</w:t>
            </w:r>
            <w:r w:rsidRPr="008902B4">
              <w:rPr>
                <w:sz w:val="20"/>
              </w:rPr>
              <w:t>#</w:t>
            </w:r>
          </w:p>
        </w:tc>
        <w:tc>
          <w:tcPr>
            <w:tcW w:w="918" w:type="dxa"/>
            <w:tcBorders>
              <w:bottom w:val="nil"/>
            </w:tcBorders>
            <w:vAlign w:val="center"/>
          </w:tcPr>
          <w:p w:rsidR="00B72277" w:rsidRPr="00443424" w:rsidRDefault="00B72277" w:rsidP="00B72277">
            <w:pPr>
              <w:jc w:val="center"/>
              <w:rPr>
                <w:sz w:val="20"/>
              </w:rPr>
            </w:pPr>
            <w:r w:rsidRPr="00443424">
              <w:rPr>
                <w:sz w:val="20"/>
              </w:rPr>
              <w:t>2.3</w:t>
            </w:r>
            <w:r w:rsidRPr="008902B4">
              <w:rPr>
                <w:sz w:val="20"/>
              </w:rPr>
              <w:t>#</w:t>
            </w:r>
          </w:p>
        </w:tc>
        <w:tc>
          <w:tcPr>
            <w:tcW w:w="918" w:type="dxa"/>
            <w:tcBorders>
              <w:bottom w:val="nil"/>
            </w:tcBorders>
            <w:vAlign w:val="center"/>
          </w:tcPr>
          <w:p w:rsidR="00B72277" w:rsidRPr="00443424" w:rsidRDefault="00B72277" w:rsidP="00B72277">
            <w:pPr>
              <w:jc w:val="center"/>
              <w:rPr>
                <w:sz w:val="20"/>
              </w:rPr>
            </w:pPr>
            <w:r w:rsidRPr="00443424">
              <w:rPr>
                <w:sz w:val="20"/>
              </w:rPr>
              <w:t>5.6</w:t>
            </w:r>
            <w:r w:rsidRPr="008902B4">
              <w:rPr>
                <w:sz w:val="20"/>
              </w:rPr>
              <w:t>#</w:t>
            </w:r>
          </w:p>
        </w:tc>
        <w:tc>
          <w:tcPr>
            <w:tcW w:w="918" w:type="dxa"/>
            <w:tcBorders>
              <w:bottom w:val="nil"/>
            </w:tcBorders>
            <w:vAlign w:val="center"/>
          </w:tcPr>
          <w:p w:rsidR="00B72277" w:rsidRPr="00443424" w:rsidRDefault="00B72277" w:rsidP="00B72277">
            <w:pPr>
              <w:jc w:val="center"/>
              <w:rPr>
                <w:sz w:val="20"/>
              </w:rPr>
            </w:pPr>
            <w:r w:rsidRPr="00443424">
              <w:rPr>
                <w:sz w:val="20"/>
              </w:rPr>
              <w:t>1.6</w:t>
            </w:r>
            <w:r w:rsidRPr="008902B4">
              <w:rPr>
                <w:sz w:val="20"/>
              </w:rPr>
              <w:t>#</w:t>
            </w:r>
          </w:p>
        </w:tc>
        <w:tc>
          <w:tcPr>
            <w:tcW w:w="918" w:type="dxa"/>
            <w:tcBorders>
              <w:bottom w:val="nil"/>
            </w:tcBorders>
            <w:vAlign w:val="center"/>
          </w:tcPr>
          <w:p w:rsidR="00B72277" w:rsidRPr="00443424" w:rsidRDefault="00B72277" w:rsidP="00B72277">
            <w:pPr>
              <w:jc w:val="center"/>
              <w:rPr>
                <w:sz w:val="20"/>
              </w:rPr>
            </w:pPr>
            <w:r w:rsidRPr="00443424">
              <w:rPr>
                <w:sz w:val="20"/>
              </w:rPr>
              <w:t>2.7</w:t>
            </w:r>
            <w:r w:rsidRPr="008902B4">
              <w:rPr>
                <w:sz w:val="20"/>
              </w:rPr>
              <w:t>#</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nil"/>
            </w:tcBorders>
            <w:vAlign w:val="center"/>
          </w:tcPr>
          <w:p w:rsidR="00B72277" w:rsidRPr="00790B52" w:rsidRDefault="00B72277" w:rsidP="00B72277">
            <w:pPr>
              <w:rPr>
                <w:sz w:val="20"/>
              </w:rPr>
            </w:pPr>
            <w:r w:rsidRPr="00790B52">
              <w:rPr>
                <w:sz w:val="20"/>
              </w:rPr>
              <w:t>Jefferson</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8.5</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7.8</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5.7</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12</w:t>
            </w:r>
            <w:r>
              <w:rPr>
                <w:sz w:val="20"/>
              </w:rPr>
              <w:t>.0</w:t>
            </w:r>
            <w:r w:rsidRPr="006C6064">
              <w:rPr>
                <w:sz w:val="20"/>
              </w:rPr>
              <w:t>*</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13.1</w:t>
            </w:r>
            <w:r w:rsidRPr="006C6064">
              <w:rPr>
                <w:sz w:val="20"/>
              </w:rPr>
              <w:t>*</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7.6</w:t>
            </w:r>
            <w:r w:rsidRPr="006C6064">
              <w:rPr>
                <w:sz w:val="20"/>
              </w:rPr>
              <w:t>*</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nil"/>
            </w:tcBorders>
            <w:vAlign w:val="center"/>
          </w:tcPr>
          <w:p w:rsidR="00B72277" w:rsidRPr="00790B52" w:rsidRDefault="00B72277" w:rsidP="00B72277">
            <w:pPr>
              <w:rPr>
                <w:sz w:val="20"/>
              </w:rPr>
            </w:pPr>
            <w:r w:rsidRPr="00790B52">
              <w:rPr>
                <w:sz w:val="20"/>
              </w:rPr>
              <w:t>Plaquemines</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5.2</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3.1</w:t>
            </w:r>
            <w:r w:rsidRPr="00976623">
              <w:rPr>
                <w:sz w:val="20"/>
              </w:rPr>
              <w:t>*</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9.3</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16.7</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10.8</w:t>
            </w:r>
            <w:r w:rsidRPr="00976623">
              <w:rPr>
                <w:sz w:val="20"/>
              </w:rPr>
              <w:t>*</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13.7</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nil"/>
            </w:tcBorders>
            <w:vAlign w:val="center"/>
          </w:tcPr>
          <w:p w:rsidR="00B72277" w:rsidRPr="00790B52" w:rsidRDefault="00B72277" w:rsidP="00B72277">
            <w:pPr>
              <w:rPr>
                <w:sz w:val="20"/>
              </w:rPr>
            </w:pPr>
            <w:r w:rsidRPr="00790B52">
              <w:rPr>
                <w:sz w:val="20"/>
              </w:rPr>
              <w:t>St. Bernard</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w:t>
            </w:r>
          </w:p>
        </w:tc>
        <w:tc>
          <w:tcPr>
            <w:tcW w:w="918" w:type="dxa"/>
            <w:tcBorders>
              <w:top w:val="nil"/>
              <w:bottom w:val="nil"/>
            </w:tcBorders>
            <w:vAlign w:val="center"/>
          </w:tcPr>
          <w:p w:rsidR="00B72277" w:rsidRPr="00443424" w:rsidRDefault="00B72277" w:rsidP="00B72277">
            <w:pPr>
              <w:jc w:val="center"/>
              <w:rPr>
                <w:sz w:val="20"/>
              </w:rPr>
            </w:pPr>
            <w:r w:rsidRPr="00443424">
              <w:rPr>
                <w:sz w:val="20"/>
              </w:rPr>
              <w:t>--</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single" w:sz="4" w:space="0" w:color="auto"/>
            </w:tcBorders>
            <w:vAlign w:val="center"/>
          </w:tcPr>
          <w:p w:rsidR="00B72277" w:rsidRPr="00790B52" w:rsidRDefault="00B72277" w:rsidP="00B72277">
            <w:pPr>
              <w:rPr>
                <w:sz w:val="20"/>
              </w:rPr>
            </w:pPr>
            <w:r w:rsidRPr="00790B52">
              <w:rPr>
                <w:sz w:val="20"/>
              </w:rPr>
              <w:t>Statewide</w:t>
            </w:r>
          </w:p>
        </w:tc>
        <w:tc>
          <w:tcPr>
            <w:tcW w:w="918" w:type="dxa"/>
            <w:tcBorders>
              <w:top w:val="nil"/>
              <w:bottom w:val="single" w:sz="4" w:space="0" w:color="auto"/>
            </w:tcBorders>
            <w:vAlign w:val="center"/>
          </w:tcPr>
          <w:p w:rsidR="00B72277" w:rsidRPr="00443424" w:rsidRDefault="00B72277" w:rsidP="00B72277">
            <w:pPr>
              <w:jc w:val="center"/>
              <w:rPr>
                <w:sz w:val="20"/>
              </w:rPr>
            </w:pPr>
            <w:r w:rsidRPr="00443424">
              <w:rPr>
                <w:sz w:val="20"/>
              </w:rPr>
              <w:t>9.0</w:t>
            </w:r>
          </w:p>
        </w:tc>
        <w:tc>
          <w:tcPr>
            <w:tcW w:w="918" w:type="dxa"/>
            <w:tcBorders>
              <w:top w:val="nil"/>
              <w:bottom w:val="single" w:sz="4" w:space="0" w:color="auto"/>
            </w:tcBorders>
            <w:vAlign w:val="center"/>
          </w:tcPr>
          <w:p w:rsidR="00B72277" w:rsidRPr="00443424" w:rsidRDefault="00B72277" w:rsidP="00B72277">
            <w:pPr>
              <w:jc w:val="center"/>
              <w:rPr>
                <w:sz w:val="20"/>
              </w:rPr>
            </w:pPr>
            <w:r w:rsidRPr="00443424">
              <w:rPr>
                <w:sz w:val="20"/>
              </w:rPr>
              <w:t>7.8</w:t>
            </w:r>
          </w:p>
        </w:tc>
        <w:tc>
          <w:tcPr>
            <w:tcW w:w="918" w:type="dxa"/>
            <w:tcBorders>
              <w:top w:val="nil"/>
              <w:bottom w:val="single" w:sz="4" w:space="0" w:color="auto"/>
            </w:tcBorders>
            <w:vAlign w:val="center"/>
          </w:tcPr>
          <w:p w:rsidR="00B72277" w:rsidRPr="00443424" w:rsidRDefault="00B72277" w:rsidP="00B72277">
            <w:pPr>
              <w:jc w:val="center"/>
              <w:rPr>
                <w:sz w:val="20"/>
              </w:rPr>
            </w:pPr>
            <w:r w:rsidRPr="00443424">
              <w:rPr>
                <w:sz w:val="20"/>
              </w:rPr>
              <w:t>6.1</w:t>
            </w:r>
          </w:p>
        </w:tc>
        <w:tc>
          <w:tcPr>
            <w:tcW w:w="918" w:type="dxa"/>
            <w:tcBorders>
              <w:top w:val="nil"/>
              <w:bottom w:val="single" w:sz="4" w:space="0" w:color="auto"/>
            </w:tcBorders>
            <w:vAlign w:val="center"/>
          </w:tcPr>
          <w:p w:rsidR="00B72277" w:rsidRPr="00443424" w:rsidRDefault="00B72277" w:rsidP="00B72277">
            <w:pPr>
              <w:jc w:val="center"/>
              <w:rPr>
                <w:sz w:val="20"/>
              </w:rPr>
            </w:pPr>
            <w:r w:rsidRPr="00443424">
              <w:rPr>
                <w:sz w:val="20"/>
              </w:rPr>
              <w:t>15.3</w:t>
            </w:r>
          </w:p>
        </w:tc>
        <w:tc>
          <w:tcPr>
            <w:tcW w:w="918" w:type="dxa"/>
            <w:tcBorders>
              <w:top w:val="nil"/>
              <w:bottom w:val="single" w:sz="4" w:space="0" w:color="auto"/>
            </w:tcBorders>
            <w:vAlign w:val="center"/>
          </w:tcPr>
          <w:p w:rsidR="00B72277" w:rsidRPr="00443424" w:rsidRDefault="00B72277" w:rsidP="00B72277">
            <w:pPr>
              <w:jc w:val="center"/>
              <w:rPr>
                <w:sz w:val="20"/>
              </w:rPr>
            </w:pPr>
            <w:r w:rsidRPr="00443424">
              <w:rPr>
                <w:sz w:val="20"/>
              </w:rPr>
              <w:t>13.1</w:t>
            </w:r>
            <w:r w:rsidRPr="006C6064">
              <w:rPr>
                <w:sz w:val="20"/>
              </w:rPr>
              <w:t>*</w:t>
            </w:r>
          </w:p>
        </w:tc>
        <w:tc>
          <w:tcPr>
            <w:tcW w:w="918" w:type="dxa"/>
            <w:tcBorders>
              <w:top w:val="nil"/>
              <w:bottom w:val="single" w:sz="4" w:space="0" w:color="auto"/>
            </w:tcBorders>
            <w:vAlign w:val="center"/>
          </w:tcPr>
          <w:p w:rsidR="00B72277" w:rsidRPr="00443424" w:rsidRDefault="00B72277" w:rsidP="00B72277">
            <w:pPr>
              <w:jc w:val="center"/>
              <w:rPr>
                <w:sz w:val="20"/>
              </w:rPr>
            </w:pPr>
            <w:r w:rsidRPr="00443424">
              <w:rPr>
                <w:sz w:val="20"/>
              </w:rPr>
              <w:t>12.0</w:t>
            </w:r>
          </w:p>
        </w:tc>
      </w:tr>
      <w:tr w:rsidR="00B72277" w:rsidRPr="00790B52" w:rsidTr="00B72277">
        <w:trPr>
          <w:jc w:val="center"/>
        </w:trPr>
        <w:tc>
          <w:tcPr>
            <w:tcW w:w="1188" w:type="dxa"/>
            <w:vMerge w:val="restart"/>
            <w:vAlign w:val="center"/>
          </w:tcPr>
          <w:p w:rsidR="00B72277" w:rsidRDefault="00B72277" w:rsidP="00B72277">
            <w:pPr>
              <w:rPr>
                <w:sz w:val="20"/>
              </w:rPr>
            </w:pPr>
            <w:r>
              <w:rPr>
                <w:sz w:val="20"/>
              </w:rPr>
              <w:t>Heavy Smoking</w:t>
            </w:r>
          </w:p>
          <w:p w:rsidR="00B72277" w:rsidRPr="00443424" w:rsidRDefault="00B72277" w:rsidP="00B72277">
            <w:pPr>
              <w:rPr>
                <w:sz w:val="18"/>
                <w:szCs w:val="18"/>
              </w:rPr>
            </w:pPr>
            <w:r w:rsidRPr="00443424">
              <w:rPr>
                <w:sz w:val="18"/>
                <w:szCs w:val="18"/>
              </w:rPr>
              <w:t>(½ pack per day)</w:t>
            </w:r>
          </w:p>
        </w:tc>
        <w:tc>
          <w:tcPr>
            <w:tcW w:w="1170" w:type="dxa"/>
            <w:tcBorders>
              <w:top w:val="single" w:sz="4" w:space="0" w:color="auto"/>
              <w:bottom w:val="nil"/>
            </w:tcBorders>
            <w:vAlign w:val="center"/>
          </w:tcPr>
          <w:p w:rsidR="00B72277" w:rsidRPr="00790B52" w:rsidRDefault="00B72277" w:rsidP="00B72277">
            <w:pPr>
              <w:rPr>
                <w:sz w:val="20"/>
              </w:rPr>
            </w:pPr>
            <w:r w:rsidRPr="00790B52">
              <w:rPr>
                <w:sz w:val="20"/>
              </w:rPr>
              <w:t>Orleans</w:t>
            </w:r>
          </w:p>
        </w:tc>
        <w:tc>
          <w:tcPr>
            <w:tcW w:w="918" w:type="dxa"/>
            <w:tcBorders>
              <w:top w:val="single" w:sz="4" w:space="0" w:color="auto"/>
              <w:bottom w:val="nil"/>
            </w:tcBorders>
            <w:vAlign w:val="center"/>
          </w:tcPr>
          <w:p w:rsidR="00B72277" w:rsidRPr="00693F74" w:rsidRDefault="00B72277" w:rsidP="00B72277">
            <w:pPr>
              <w:jc w:val="center"/>
              <w:rPr>
                <w:sz w:val="20"/>
              </w:rPr>
            </w:pPr>
            <w:r w:rsidRPr="00693F74">
              <w:rPr>
                <w:sz w:val="20"/>
              </w:rPr>
              <w:t>0.8</w:t>
            </w:r>
            <w:r w:rsidRPr="008902B4">
              <w:rPr>
                <w:sz w:val="20"/>
              </w:rPr>
              <w:t>#</w:t>
            </w:r>
          </w:p>
        </w:tc>
        <w:tc>
          <w:tcPr>
            <w:tcW w:w="918" w:type="dxa"/>
            <w:tcBorders>
              <w:top w:val="single" w:sz="4" w:space="0" w:color="auto"/>
              <w:bottom w:val="nil"/>
            </w:tcBorders>
            <w:vAlign w:val="center"/>
          </w:tcPr>
          <w:p w:rsidR="00B72277" w:rsidRPr="00693F74" w:rsidRDefault="00B72277" w:rsidP="00B72277">
            <w:pPr>
              <w:jc w:val="center"/>
              <w:rPr>
                <w:sz w:val="20"/>
              </w:rPr>
            </w:pPr>
            <w:r w:rsidRPr="00693F74">
              <w:rPr>
                <w:sz w:val="20"/>
              </w:rPr>
              <w:t>-</w:t>
            </w:r>
          </w:p>
        </w:tc>
        <w:tc>
          <w:tcPr>
            <w:tcW w:w="918" w:type="dxa"/>
            <w:tcBorders>
              <w:top w:val="single" w:sz="4" w:space="0" w:color="auto"/>
              <w:bottom w:val="nil"/>
            </w:tcBorders>
            <w:vAlign w:val="center"/>
          </w:tcPr>
          <w:p w:rsidR="00B72277" w:rsidRPr="00693F74" w:rsidRDefault="00B72277" w:rsidP="00B72277">
            <w:pPr>
              <w:jc w:val="center"/>
              <w:rPr>
                <w:sz w:val="20"/>
              </w:rPr>
            </w:pPr>
            <w:r w:rsidRPr="00693F74">
              <w:rPr>
                <w:sz w:val="20"/>
              </w:rPr>
              <w:t>0.8</w:t>
            </w:r>
            <w:r w:rsidRPr="008902B4">
              <w:rPr>
                <w:sz w:val="20"/>
              </w:rPr>
              <w:t>#</w:t>
            </w:r>
          </w:p>
        </w:tc>
        <w:tc>
          <w:tcPr>
            <w:tcW w:w="918" w:type="dxa"/>
            <w:tcBorders>
              <w:top w:val="single" w:sz="4" w:space="0" w:color="auto"/>
              <w:bottom w:val="nil"/>
            </w:tcBorders>
            <w:vAlign w:val="center"/>
          </w:tcPr>
          <w:p w:rsidR="00B72277" w:rsidRPr="00693F74" w:rsidRDefault="00B72277" w:rsidP="00B72277">
            <w:pPr>
              <w:jc w:val="center"/>
              <w:rPr>
                <w:sz w:val="20"/>
              </w:rPr>
            </w:pPr>
            <w:r w:rsidRPr="00693F74">
              <w:rPr>
                <w:sz w:val="20"/>
              </w:rPr>
              <w:t>0.6</w:t>
            </w:r>
            <w:r w:rsidRPr="008902B4">
              <w:rPr>
                <w:sz w:val="20"/>
              </w:rPr>
              <w:t>#</w:t>
            </w:r>
          </w:p>
        </w:tc>
        <w:tc>
          <w:tcPr>
            <w:tcW w:w="918" w:type="dxa"/>
            <w:tcBorders>
              <w:top w:val="single" w:sz="4" w:space="0" w:color="auto"/>
              <w:bottom w:val="nil"/>
            </w:tcBorders>
            <w:vAlign w:val="center"/>
          </w:tcPr>
          <w:p w:rsidR="00B72277" w:rsidRPr="00693F74" w:rsidRDefault="00B72277" w:rsidP="00B72277">
            <w:pPr>
              <w:jc w:val="center"/>
              <w:rPr>
                <w:sz w:val="20"/>
              </w:rPr>
            </w:pPr>
            <w:r w:rsidRPr="00693F74">
              <w:rPr>
                <w:sz w:val="20"/>
              </w:rPr>
              <w:t>-</w:t>
            </w:r>
          </w:p>
        </w:tc>
        <w:tc>
          <w:tcPr>
            <w:tcW w:w="918" w:type="dxa"/>
            <w:tcBorders>
              <w:top w:val="single" w:sz="4" w:space="0" w:color="auto"/>
              <w:bottom w:val="nil"/>
            </w:tcBorders>
            <w:vAlign w:val="center"/>
          </w:tcPr>
          <w:p w:rsidR="00B72277" w:rsidRPr="00693F74" w:rsidRDefault="00B72277" w:rsidP="00B72277">
            <w:pPr>
              <w:jc w:val="center"/>
              <w:rPr>
                <w:sz w:val="20"/>
              </w:rPr>
            </w:pPr>
            <w:r w:rsidRPr="00693F74">
              <w:rPr>
                <w:sz w:val="20"/>
              </w:rPr>
              <w:t>0.5</w:t>
            </w:r>
            <w:r w:rsidRPr="008902B4">
              <w:rPr>
                <w:sz w:val="20"/>
              </w:rPr>
              <w:t>#</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nil"/>
            </w:tcBorders>
            <w:vAlign w:val="center"/>
          </w:tcPr>
          <w:p w:rsidR="00B72277" w:rsidRPr="00790B52" w:rsidRDefault="00B72277" w:rsidP="00B72277">
            <w:pPr>
              <w:rPr>
                <w:sz w:val="20"/>
              </w:rPr>
            </w:pPr>
            <w:r w:rsidRPr="00790B52">
              <w:rPr>
                <w:sz w:val="20"/>
              </w:rPr>
              <w:t>Jefferson</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2.0</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1.5</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0.6</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3.0</w:t>
            </w:r>
            <w:r w:rsidRPr="006C6064">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3.3</w:t>
            </w:r>
            <w:r w:rsidRPr="006C6064">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1.9</w:t>
            </w:r>
            <w:r w:rsidRPr="006C6064">
              <w:rPr>
                <w:sz w:val="20"/>
              </w:rPr>
              <w:t>*</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nil"/>
            </w:tcBorders>
            <w:vAlign w:val="center"/>
          </w:tcPr>
          <w:p w:rsidR="00B72277" w:rsidRPr="00790B52" w:rsidRDefault="00B72277" w:rsidP="00B72277">
            <w:pPr>
              <w:rPr>
                <w:sz w:val="20"/>
              </w:rPr>
            </w:pPr>
            <w:r w:rsidRPr="00790B52">
              <w:rPr>
                <w:sz w:val="20"/>
              </w:rPr>
              <w:t>Plaquemines</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0.9</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w:t>
            </w:r>
            <w:r w:rsidRPr="00976623">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0.4</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1.7</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1.7</w:t>
            </w:r>
            <w:r w:rsidRPr="00976623">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0.5</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nil"/>
            </w:tcBorders>
            <w:vAlign w:val="center"/>
          </w:tcPr>
          <w:p w:rsidR="00B72277" w:rsidRPr="00790B52" w:rsidRDefault="00B72277" w:rsidP="00B72277">
            <w:pPr>
              <w:rPr>
                <w:sz w:val="20"/>
              </w:rPr>
            </w:pPr>
            <w:r w:rsidRPr="00790B52">
              <w:rPr>
                <w:sz w:val="20"/>
              </w:rPr>
              <w:t>St. Bernard</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single" w:sz="4" w:space="0" w:color="auto"/>
            </w:tcBorders>
            <w:vAlign w:val="center"/>
          </w:tcPr>
          <w:p w:rsidR="00B72277" w:rsidRPr="00790B52" w:rsidRDefault="00B72277" w:rsidP="00B72277">
            <w:pPr>
              <w:rPr>
                <w:sz w:val="20"/>
              </w:rPr>
            </w:pPr>
            <w:r w:rsidRPr="00790B52">
              <w:rPr>
                <w:sz w:val="20"/>
              </w:rPr>
              <w:t>Statewide</w:t>
            </w:r>
          </w:p>
        </w:tc>
        <w:tc>
          <w:tcPr>
            <w:tcW w:w="918" w:type="dxa"/>
            <w:tcBorders>
              <w:top w:val="nil"/>
              <w:bottom w:val="single" w:sz="4" w:space="0" w:color="auto"/>
            </w:tcBorders>
            <w:vAlign w:val="center"/>
          </w:tcPr>
          <w:p w:rsidR="00B72277" w:rsidRPr="00693F74" w:rsidRDefault="00B72277" w:rsidP="00B72277">
            <w:pPr>
              <w:jc w:val="center"/>
              <w:rPr>
                <w:sz w:val="20"/>
              </w:rPr>
            </w:pPr>
            <w:r w:rsidRPr="00693F74">
              <w:rPr>
                <w:sz w:val="20"/>
              </w:rPr>
              <w:t>1.7</w:t>
            </w:r>
          </w:p>
        </w:tc>
        <w:tc>
          <w:tcPr>
            <w:tcW w:w="918" w:type="dxa"/>
            <w:tcBorders>
              <w:top w:val="nil"/>
              <w:bottom w:val="single" w:sz="4" w:space="0" w:color="auto"/>
            </w:tcBorders>
            <w:vAlign w:val="center"/>
          </w:tcPr>
          <w:p w:rsidR="00B72277" w:rsidRPr="00693F74" w:rsidRDefault="00B72277" w:rsidP="00B72277">
            <w:pPr>
              <w:jc w:val="center"/>
              <w:rPr>
                <w:sz w:val="20"/>
              </w:rPr>
            </w:pPr>
            <w:r w:rsidRPr="00693F74">
              <w:rPr>
                <w:sz w:val="20"/>
              </w:rPr>
              <w:t>1.4</w:t>
            </w:r>
          </w:p>
        </w:tc>
        <w:tc>
          <w:tcPr>
            <w:tcW w:w="918" w:type="dxa"/>
            <w:tcBorders>
              <w:top w:val="nil"/>
              <w:bottom w:val="single" w:sz="4" w:space="0" w:color="auto"/>
            </w:tcBorders>
            <w:vAlign w:val="center"/>
          </w:tcPr>
          <w:p w:rsidR="00B72277" w:rsidRPr="00693F74" w:rsidRDefault="00B72277" w:rsidP="00B72277">
            <w:pPr>
              <w:jc w:val="center"/>
              <w:rPr>
                <w:sz w:val="20"/>
              </w:rPr>
            </w:pPr>
            <w:r w:rsidRPr="00693F74">
              <w:rPr>
                <w:sz w:val="20"/>
              </w:rPr>
              <w:t>1.0</w:t>
            </w:r>
          </w:p>
        </w:tc>
        <w:tc>
          <w:tcPr>
            <w:tcW w:w="918" w:type="dxa"/>
            <w:tcBorders>
              <w:top w:val="nil"/>
              <w:bottom w:val="single" w:sz="4" w:space="0" w:color="auto"/>
            </w:tcBorders>
            <w:vAlign w:val="center"/>
          </w:tcPr>
          <w:p w:rsidR="00B72277" w:rsidRPr="00693F74" w:rsidRDefault="00B72277" w:rsidP="00B72277">
            <w:pPr>
              <w:jc w:val="center"/>
              <w:rPr>
                <w:sz w:val="20"/>
              </w:rPr>
            </w:pPr>
            <w:r w:rsidRPr="00693F74">
              <w:rPr>
                <w:sz w:val="20"/>
              </w:rPr>
              <w:t>3.3</w:t>
            </w:r>
          </w:p>
        </w:tc>
        <w:tc>
          <w:tcPr>
            <w:tcW w:w="918" w:type="dxa"/>
            <w:tcBorders>
              <w:top w:val="nil"/>
              <w:bottom w:val="single" w:sz="4" w:space="0" w:color="auto"/>
            </w:tcBorders>
            <w:vAlign w:val="center"/>
          </w:tcPr>
          <w:p w:rsidR="00B72277" w:rsidRPr="00693F74" w:rsidRDefault="00B72277" w:rsidP="00B72277">
            <w:pPr>
              <w:jc w:val="center"/>
              <w:rPr>
                <w:sz w:val="20"/>
              </w:rPr>
            </w:pPr>
            <w:r w:rsidRPr="00693F74">
              <w:rPr>
                <w:sz w:val="20"/>
              </w:rPr>
              <w:t>2.8</w:t>
            </w:r>
            <w:r w:rsidRPr="006C6064">
              <w:rPr>
                <w:sz w:val="20"/>
              </w:rPr>
              <w:t>*</w:t>
            </w:r>
          </w:p>
        </w:tc>
        <w:tc>
          <w:tcPr>
            <w:tcW w:w="918" w:type="dxa"/>
            <w:tcBorders>
              <w:top w:val="nil"/>
              <w:bottom w:val="single" w:sz="4" w:space="0" w:color="auto"/>
            </w:tcBorders>
            <w:vAlign w:val="center"/>
          </w:tcPr>
          <w:p w:rsidR="00B72277" w:rsidRPr="00693F74" w:rsidRDefault="00B72277" w:rsidP="00B72277">
            <w:pPr>
              <w:jc w:val="center"/>
              <w:rPr>
                <w:sz w:val="20"/>
              </w:rPr>
            </w:pPr>
            <w:r w:rsidRPr="00693F74">
              <w:rPr>
                <w:sz w:val="20"/>
              </w:rPr>
              <w:t>2.3</w:t>
            </w:r>
          </w:p>
        </w:tc>
      </w:tr>
      <w:tr w:rsidR="00B72277" w:rsidRPr="00790B52" w:rsidTr="00B72277">
        <w:trPr>
          <w:jc w:val="center"/>
        </w:trPr>
        <w:tc>
          <w:tcPr>
            <w:tcW w:w="1188" w:type="dxa"/>
            <w:vMerge w:val="restart"/>
            <w:vAlign w:val="center"/>
          </w:tcPr>
          <w:p w:rsidR="00B72277" w:rsidRPr="00790B52" w:rsidRDefault="00B72277" w:rsidP="00B72277">
            <w:pPr>
              <w:rPr>
                <w:sz w:val="20"/>
              </w:rPr>
            </w:pPr>
            <w:r w:rsidRPr="00790B52">
              <w:rPr>
                <w:sz w:val="20"/>
              </w:rPr>
              <w:t>Chewing Tobacco</w:t>
            </w:r>
          </w:p>
        </w:tc>
        <w:tc>
          <w:tcPr>
            <w:tcW w:w="1170" w:type="dxa"/>
            <w:tcBorders>
              <w:bottom w:val="nil"/>
            </w:tcBorders>
            <w:vAlign w:val="center"/>
          </w:tcPr>
          <w:p w:rsidR="00B72277" w:rsidRPr="00790B52" w:rsidRDefault="00B72277" w:rsidP="00B72277">
            <w:pPr>
              <w:rPr>
                <w:sz w:val="20"/>
              </w:rPr>
            </w:pPr>
            <w:r w:rsidRPr="00790B52">
              <w:rPr>
                <w:sz w:val="20"/>
              </w:rPr>
              <w:t>Orleans</w:t>
            </w:r>
          </w:p>
        </w:tc>
        <w:tc>
          <w:tcPr>
            <w:tcW w:w="918" w:type="dxa"/>
            <w:tcBorders>
              <w:bottom w:val="nil"/>
            </w:tcBorders>
            <w:vAlign w:val="center"/>
          </w:tcPr>
          <w:p w:rsidR="00B72277" w:rsidRPr="00693F74" w:rsidRDefault="00B72277" w:rsidP="00B72277">
            <w:pPr>
              <w:jc w:val="center"/>
              <w:rPr>
                <w:sz w:val="20"/>
              </w:rPr>
            </w:pPr>
            <w:r w:rsidRPr="00693F74">
              <w:rPr>
                <w:sz w:val="20"/>
              </w:rPr>
              <w:t>0.8</w:t>
            </w:r>
            <w:r w:rsidRPr="008902B4">
              <w:rPr>
                <w:sz w:val="20"/>
              </w:rPr>
              <w:t>#</w:t>
            </w:r>
          </w:p>
        </w:tc>
        <w:tc>
          <w:tcPr>
            <w:tcW w:w="918" w:type="dxa"/>
            <w:tcBorders>
              <w:bottom w:val="nil"/>
            </w:tcBorders>
            <w:vAlign w:val="center"/>
          </w:tcPr>
          <w:p w:rsidR="00B72277" w:rsidRPr="00693F74" w:rsidRDefault="00B72277" w:rsidP="00B72277">
            <w:pPr>
              <w:jc w:val="center"/>
              <w:rPr>
                <w:sz w:val="20"/>
              </w:rPr>
            </w:pPr>
            <w:r w:rsidRPr="00693F74">
              <w:rPr>
                <w:sz w:val="20"/>
              </w:rPr>
              <w:t>0.4</w:t>
            </w:r>
            <w:r w:rsidRPr="008902B4">
              <w:rPr>
                <w:sz w:val="20"/>
              </w:rPr>
              <w:t>#</w:t>
            </w:r>
          </w:p>
        </w:tc>
        <w:tc>
          <w:tcPr>
            <w:tcW w:w="918" w:type="dxa"/>
            <w:tcBorders>
              <w:bottom w:val="nil"/>
            </w:tcBorders>
            <w:vAlign w:val="center"/>
          </w:tcPr>
          <w:p w:rsidR="00B72277" w:rsidRPr="00693F74" w:rsidRDefault="00B72277" w:rsidP="00B72277">
            <w:pPr>
              <w:jc w:val="center"/>
              <w:rPr>
                <w:sz w:val="20"/>
              </w:rPr>
            </w:pPr>
            <w:r w:rsidRPr="00693F74">
              <w:rPr>
                <w:sz w:val="20"/>
              </w:rPr>
              <w:t>0.9</w:t>
            </w:r>
            <w:r w:rsidRPr="008902B4">
              <w:rPr>
                <w:sz w:val="20"/>
              </w:rPr>
              <w:t>#</w:t>
            </w:r>
          </w:p>
        </w:tc>
        <w:tc>
          <w:tcPr>
            <w:tcW w:w="918" w:type="dxa"/>
            <w:tcBorders>
              <w:bottom w:val="nil"/>
            </w:tcBorders>
            <w:vAlign w:val="center"/>
          </w:tcPr>
          <w:p w:rsidR="00B72277" w:rsidRPr="00693F74" w:rsidRDefault="00B72277" w:rsidP="00B72277">
            <w:pPr>
              <w:jc w:val="center"/>
              <w:rPr>
                <w:sz w:val="20"/>
              </w:rPr>
            </w:pPr>
            <w:r w:rsidRPr="00693F74">
              <w:rPr>
                <w:sz w:val="20"/>
              </w:rPr>
              <w:t>0.8</w:t>
            </w:r>
            <w:r w:rsidRPr="008902B4">
              <w:rPr>
                <w:sz w:val="20"/>
              </w:rPr>
              <w:t>#</w:t>
            </w:r>
          </w:p>
        </w:tc>
        <w:tc>
          <w:tcPr>
            <w:tcW w:w="918" w:type="dxa"/>
            <w:tcBorders>
              <w:bottom w:val="nil"/>
            </w:tcBorders>
            <w:vAlign w:val="center"/>
          </w:tcPr>
          <w:p w:rsidR="00B72277" w:rsidRPr="00693F74" w:rsidRDefault="00B72277" w:rsidP="00B72277">
            <w:pPr>
              <w:jc w:val="center"/>
              <w:rPr>
                <w:sz w:val="20"/>
              </w:rPr>
            </w:pPr>
            <w:r w:rsidRPr="00693F74">
              <w:rPr>
                <w:sz w:val="20"/>
              </w:rPr>
              <w:t>2.4</w:t>
            </w:r>
            <w:r w:rsidRPr="008902B4">
              <w:rPr>
                <w:sz w:val="20"/>
              </w:rPr>
              <w:t>#</w:t>
            </w:r>
          </w:p>
        </w:tc>
        <w:tc>
          <w:tcPr>
            <w:tcW w:w="918" w:type="dxa"/>
            <w:tcBorders>
              <w:bottom w:val="nil"/>
            </w:tcBorders>
            <w:vAlign w:val="center"/>
          </w:tcPr>
          <w:p w:rsidR="00B72277" w:rsidRPr="00693F74" w:rsidRDefault="00B72277" w:rsidP="00B72277">
            <w:pPr>
              <w:jc w:val="center"/>
              <w:rPr>
                <w:sz w:val="20"/>
              </w:rPr>
            </w:pPr>
            <w:r w:rsidRPr="00693F74">
              <w:rPr>
                <w:sz w:val="20"/>
              </w:rPr>
              <w:t>2.4</w:t>
            </w:r>
            <w:r w:rsidRPr="008902B4">
              <w:rPr>
                <w:sz w:val="20"/>
              </w:rPr>
              <w:t>#</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nil"/>
            </w:tcBorders>
            <w:vAlign w:val="center"/>
          </w:tcPr>
          <w:p w:rsidR="00B72277" w:rsidRPr="00790B52" w:rsidRDefault="00B72277" w:rsidP="00B72277">
            <w:pPr>
              <w:rPr>
                <w:sz w:val="20"/>
              </w:rPr>
            </w:pPr>
            <w:r w:rsidRPr="00790B52">
              <w:rPr>
                <w:sz w:val="20"/>
              </w:rPr>
              <w:t>Jefferson</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2.3</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2.1</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1.4</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3.3</w:t>
            </w:r>
            <w:r w:rsidRPr="006C6064">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3.8</w:t>
            </w:r>
            <w:r w:rsidRPr="006C6064">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1.7</w:t>
            </w:r>
            <w:r w:rsidRPr="006C6064">
              <w:rPr>
                <w:sz w:val="20"/>
              </w:rPr>
              <w:t>*</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nil"/>
            </w:tcBorders>
            <w:vAlign w:val="center"/>
          </w:tcPr>
          <w:p w:rsidR="00B72277" w:rsidRPr="00790B52" w:rsidRDefault="00B72277" w:rsidP="00B72277">
            <w:pPr>
              <w:rPr>
                <w:sz w:val="20"/>
              </w:rPr>
            </w:pPr>
            <w:r w:rsidRPr="00790B52">
              <w:rPr>
                <w:sz w:val="20"/>
              </w:rPr>
              <w:t>Plaquemines</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2.6</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2.4</w:t>
            </w:r>
            <w:r w:rsidRPr="00976623">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6.1</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6.6</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6.8</w:t>
            </w:r>
            <w:r w:rsidRPr="00976623">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9.9</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nil"/>
            </w:tcBorders>
            <w:vAlign w:val="center"/>
          </w:tcPr>
          <w:p w:rsidR="00B72277" w:rsidRPr="00790B52" w:rsidRDefault="00B72277" w:rsidP="00B72277">
            <w:pPr>
              <w:rPr>
                <w:sz w:val="20"/>
              </w:rPr>
            </w:pPr>
            <w:r w:rsidRPr="00790B52">
              <w:rPr>
                <w:sz w:val="20"/>
              </w:rPr>
              <w:t>St. Bernard</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single" w:sz="4" w:space="0" w:color="auto"/>
            </w:tcBorders>
            <w:vAlign w:val="center"/>
          </w:tcPr>
          <w:p w:rsidR="00B72277" w:rsidRPr="00790B52" w:rsidRDefault="00B72277" w:rsidP="00B72277">
            <w:pPr>
              <w:rPr>
                <w:sz w:val="20"/>
              </w:rPr>
            </w:pPr>
            <w:r w:rsidRPr="00790B52">
              <w:rPr>
                <w:sz w:val="20"/>
              </w:rPr>
              <w:t>Statewide</w:t>
            </w:r>
          </w:p>
        </w:tc>
        <w:tc>
          <w:tcPr>
            <w:tcW w:w="918" w:type="dxa"/>
            <w:tcBorders>
              <w:top w:val="nil"/>
              <w:bottom w:val="single" w:sz="4" w:space="0" w:color="auto"/>
            </w:tcBorders>
            <w:vAlign w:val="center"/>
          </w:tcPr>
          <w:p w:rsidR="00B72277" w:rsidRPr="00693F74" w:rsidRDefault="00B72277" w:rsidP="00B72277">
            <w:pPr>
              <w:jc w:val="center"/>
              <w:rPr>
                <w:sz w:val="20"/>
              </w:rPr>
            </w:pPr>
            <w:r w:rsidRPr="00693F74">
              <w:rPr>
                <w:sz w:val="20"/>
              </w:rPr>
              <w:t>5.0</w:t>
            </w:r>
          </w:p>
        </w:tc>
        <w:tc>
          <w:tcPr>
            <w:tcW w:w="918" w:type="dxa"/>
            <w:tcBorders>
              <w:top w:val="nil"/>
              <w:bottom w:val="single" w:sz="4" w:space="0" w:color="auto"/>
            </w:tcBorders>
            <w:vAlign w:val="center"/>
          </w:tcPr>
          <w:p w:rsidR="00B72277" w:rsidRPr="00693F74" w:rsidRDefault="00B72277" w:rsidP="00B72277">
            <w:pPr>
              <w:jc w:val="center"/>
              <w:rPr>
                <w:sz w:val="20"/>
              </w:rPr>
            </w:pPr>
            <w:r w:rsidRPr="00693F74">
              <w:rPr>
                <w:sz w:val="20"/>
              </w:rPr>
              <w:t>4.9</w:t>
            </w:r>
          </w:p>
        </w:tc>
        <w:tc>
          <w:tcPr>
            <w:tcW w:w="918" w:type="dxa"/>
            <w:tcBorders>
              <w:top w:val="nil"/>
              <w:bottom w:val="single" w:sz="4" w:space="0" w:color="auto"/>
            </w:tcBorders>
            <w:vAlign w:val="center"/>
          </w:tcPr>
          <w:p w:rsidR="00B72277" w:rsidRPr="00693F74" w:rsidRDefault="00B72277" w:rsidP="00B72277">
            <w:pPr>
              <w:jc w:val="center"/>
              <w:rPr>
                <w:sz w:val="20"/>
              </w:rPr>
            </w:pPr>
            <w:r w:rsidRPr="00693F74">
              <w:rPr>
                <w:sz w:val="20"/>
              </w:rPr>
              <w:t>4.2</w:t>
            </w:r>
          </w:p>
        </w:tc>
        <w:tc>
          <w:tcPr>
            <w:tcW w:w="918" w:type="dxa"/>
            <w:tcBorders>
              <w:top w:val="nil"/>
              <w:bottom w:val="single" w:sz="4" w:space="0" w:color="auto"/>
            </w:tcBorders>
            <w:vAlign w:val="center"/>
          </w:tcPr>
          <w:p w:rsidR="00B72277" w:rsidRPr="00693F74" w:rsidRDefault="00B72277" w:rsidP="00B72277">
            <w:pPr>
              <w:jc w:val="center"/>
              <w:rPr>
                <w:sz w:val="20"/>
              </w:rPr>
            </w:pPr>
            <w:r w:rsidRPr="00693F74">
              <w:rPr>
                <w:sz w:val="20"/>
              </w:rPr>
              <w:t>7.7</w:t>
            </w:r>
          </w:p>
        </w:tc>
        <w:tc>
          <w:tcPr>
            <w:tcW w:w="918" w:type="dxa"/>
            <w:tcBorders>
              <w:top w:val="nil"/>
              <w:bottom w:val="single" w:sz="4" w:space="0" w:color="auto"/>
            </w:tcBorders>
            <w:vAlign w:val="center"/>
          </w:tcPr>
          <w:p w:rsidR="00B72277" w:rsidRPr="00693F74" w:rsidRDefault="00B72277" w:rsidP="00B72277">
            <w:pPr>
              <w:jc w:val="center"/>
              <w:rPr>
                <w:sz w:val="20"/>
              </w:rPr>
            </w:pPr>
            <w:r w:rsidRPr="00693F74">
              <w:rPr>
                <w:sz w:val="20"/>
              </w:rPr>
              <w:t>7.5</w:t>
            </w:r>
            <w:r w:rsidRPr="006C6064">
              <w:rPr>
                <w:sz w:val="20"/>
              </w:rPr>
              <w:t>*</w:t>
            </w:r>
          </w:p>
        </w:tc>
        <w:tc>
          <w:tcPr>
            <w:tcW w:w="918" w:type="dxa"/>
            <w:tcBorders>
              <w:top w:val="nil"/>
              <w:bottom w:val="single" w:sz="4" w:space="0" w:color="auto"/>
            </w:tcBorders>
            <w:vAlign w:val="center"/>
          </w:tcPr>
          <w:p w:rsidR="00B72277" w:rsidRPr="00693F74" w:rsidRDefault="00B72277" w:rsidP="00B72277">
            <w:pPr>
              <w:jc w:val="center"/>
              <w:rPr>
                <w:sz w:val="20"/>
              </w:rPr>
            </w:pPr>
            <w:r w:rsidRPr="00693F74">
              <w:rPr>
                <w:sz w:val="20"/>
              </w:rPr>
              <w:t>7.7</w:t>
            </w:r>
          </w:p>
        </w:tc>
      </w:tr>
      <w:tr w:rsidR="00B72277" w:rsidRPr="00790B52" w:rsidTr="00B72277">
        <w:trPr>
          <w:jc w:val="center"/>
        </w:trPr>
        <w:tc>
          <w:tcPr>
            <w:tcW w:w="1188" w:type="dxa"/>
            <w:vMerge w:val="restart"/>
            <w:vAlign w:val="center"/>
          </w:tcPr>
          <w:p w:rsidR="00B72277" w:rsidRPr="00790B52" w:rsidRDefault="00B72277" w:rsidP="00B72277">
            <w:pPr>
              <w:rPr>
                <w:sz w:val="20"/>
              </w:rPr>
            </w:pPr>
            <w:r w:rsidRPr="00790B52">
              <w:rPr>
                <w:sz w:val="20"/>
              </w:rPr>
              <w:t>Marijuana</w:t>
            </w:r>
          </w:p>
        </w:tc>
        <w:tc>
          <w:tcPr>
            <w:tcW w:w="1170" w:type="dxa"/>
            <w:tcBorders>
              <w:bottom w:val="nil"/>
            </w:tcBorders>
            <w:vAlign w:val="center"/>
          </w:tcPr>
          <w:p w:rsidR="00B72277" w:rsidRPr="00790B52" w:rsidRDefault="00B72277" w:rsidP="00B72277">
            <w:pPr>
              <w:rPr>
                <w:sz w:val="20"/>
              </w:rPr>
            </w:pPr>
            <w:r w:rsidRPr="00790B52">
              <w:rPr>
                <w:sz w:val="20"/>
              </w:rPr>
              <w:t>Orleans</w:t>
            </w:r>
          </w:p>
        </w:tc>
        <w:tc>
          <w:tcPr>
            <w:tcW w:w="918" w:type="dxa"/>
            <w:tcBorders>
              <w:bottom w:val="nil"/>
            </w:tcBorders>
            <w:vAlign w:val="center"/>
          </w:tcPr>
          <w:p w:rsidR="00B72277" w:rsidRPr="00693F74" w:rsidRDefault="00B72277" w:rsidP="00B72277">
            <w:pPr>
              <w:jc w:val="center"/>
              <w:rPr>
                <w:sz w:val="20"/>
              </w:rPr>
            </w:pPr>
            <w:r w:rsidRPr="00693F74">
              <w:rPr>
                <w:sz w:val="20"/>
              </w:rPr>
              <w:t>2.9</w:t>
            </w:r>
            <w:r w:rsidRPr="008902B4">
              <w:rPr>
                <w:sz w:val="20"/>
              </w:rPr>
              <w:t>#</w:t>
            </w:r>
          </w:p>
        </w:tc>
        <w:tc>
          <w:tcPr>
            <w:tcW w:w="918" w:type="dxa"/>
            <w:tcBorders>
              <w:bottom w:val="nil"/>
            </w:tcBorders>
            <w:vAlign w:val="center"/>
          </w:tcPr>
          <w:p w:rsidR="00B72277" w:rsidRPr="00693F74" w:rsidRDefault="00B72277" w:rsidP="00B72277">
            <w:pPr>
              <w:jc w:val="center"/>
              <w:rPr>
                <w:sz w:val="20"/>
              </w:rPr>
            </w:pPr>
            <w:r w:rsidRPr="00693F74">
              <w:rPr>
                <w:sz w:val="20"/>
              </w:rPr>
              <w:t>3.6</w:t>
            </w:r>
            <w:r w:rsidRPr="008902B4">
              <w:rPr>
                <w:sz w:val="20"/>
              </w:rPr>
              <w:t>#</w:t>
            </w:r>
          </w:p>
        </w:tc>
        <w:tc>
          <w:tcPr>
            <w:tcW w:w="918" w:type="dxa"/>
            <w:tcBorders>
              <w:bottom w:val="nil"/>
            </w:tcBorders>
            <w:vAlign w:val="center"/>
          </w:tcPr>
          <w:p w:rsidR="00B72277" w:rsidRPr="00693F74" w:rsidRDefault="00B72277" w:rsidP="00B72277">
            <w:pPr>
              <w:jc w:val="center"/>
              <w:rPr>
                <w:sz w:val="20"/>
              </w:rPr>
            </w:pPr>
            <w:r w:rsidRPr="00693F74">
              <w:rPr>
                <w:sz w:val="20"/>
              </w:rPr>
              <w:t>7.2</w:t>
            </w:r>
            <w:r w:rsidRPr="008902B4">
              <w:rPr>
                <w:sz w:val="20"/>
              </w:rPr>
              <w:t>#</w:t>
            </w:r>
          </w:p>
        </w:tc>
        <w:tc>
          <w:tcPr>
            <w:tcW w:w="918" w:type="dxa"/>
            <w:tcBorders>
              <w:bottom w:val="nil"/>
            </w:tcBorders>
            <w:vAlign w:val="center"/>
          </w:tcPr>
          <w:p w:rsidR="00B72277" w:rsidRPr="00693F74" w:rsidRDefault="00B72277" w:rsidP="00B72277">
            <w:pPr>
              <w:jc w:val="center"/>
              <w:rPr>
                <w:sz w:val="20"/>
              </w:rPr>
            </w:pPr>
            <w:r w:rsidRPr="00693F74">
              <w:rPr>
                <w:sz w:val="20"/>
              </w:rPr>
              <w:t>7.1</w:t>
            </w:r>
            <w:r w:rsidRPr="008902B4">
              <w:rPr>
                <w:sz w:val="20"/>
              </w:rPr>
              <w:t>#</w:t>
            </w:r>
          </w:p>
        </w:tc>
        <w:tc>
          <w:tcPr>
            <w:tcW w:w="918" w:type="dxa"/>
            <w:tcBorders>
              <w:bottom w:val="nil"/>
            </w:tcBorders>
            <w:vAlign w:val="center"/>
          </w:tcPr>
          <w:p w:rsidR="00B72277" w:rsidRPr="00693F74" w:rsidRDefault="00B72277" w:rsidP="00B72277">
            <w:pPr>
              <w:jc w:val="center"/>
              <w:rPr>
                <w:sz w:val="20"/>
              </w:rPr>
            </w:pPr>
            <w:r w:rsidRPr="00693F74">
              <w:rPr>
                <w:sz w:val="20"/>
              </w:rPr>
              <w:t>10.6</w:t>
            </w:r>
            <w:r w:rsidRPr="008902B4">
              <w:rPr>
                <w:sz w:val="20"/>
              </w:rPr>
              <w:t>#</w:t>
            </w:r>
          </w:p>
        </w:tc>
        <w:tc>
          <w:tcPr>
            <w:tcW w:w="918" w:type="dxa"/>
            <w:tcBorders>
              <w:bottom w:val="nil"/>
            </w:tcBorders>
            <w:vAlign w:val="center"/>
          </w:tcPr>
          <w:p w:rsidR="00B72277" w:rsidRPr="00693F74" w:rsidRDefault="00B72277" w:rsidP="00B72277">
            <w:pPr>
              <w:jc w:val="center"/>
              <w:rPr>
                <w:sz w:val="20"/>
              </w:rPr>
            </w:pPr>
            <w:r w:rsidRPr="00693F74">
              <w:rPr>
                <w:sz w:val="20"/>
              </w:rPr>
              <w:t>8.4</w:t>
            </w:r>
            <w:r w:rsidRPr="008902B4">
              <w:rPr>
                <w:sz w:val="20"/>
              </w:rPr>
              <w:t>#</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nil"/>
            </w:tcBorders>
            <w:vAlign w:val="center"/>
          </w:tcPr>
          <w:p w:rsidR="00B72277" w:rsidRPr="00790B52" w:rsidRDefault="00B72277" w:rsidP="00B72277">
            <w:pPr>
              <w:rPr>
                <w:sz w:val="20"/>
              </w:rPr>
            </w:pPr>
            <w:r w:rsidRPr="00790B52">
              <w:rPr>
                <w:sz w:val="20"/>
              </w:rPr>
              <w:t>Jefferson</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4.7</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6.9</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6.5</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7.3</w:t>
            </w:r>
            <w:r w:rsidRPr="006C6064">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11.0</w:t>
            </w:r>
            <w:r w:rsidRPr="006C6064">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10.3</w:t>
            </w:r>
            <w:r w:rsidRPr="006C6064">
              <w:rPr>
                <w:sz w:val="20"/>
              </w:rPr>
              <w:t>*</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nil"/>
            </w:tcBorders>
            <w:vAlign w:val="center"/>
          </w:tcPr>
          <w:p w:rsidR="00B72277" w:rsidRPr="00790B52" w:rsidRDefault="00B72277" w:rsidP="00B72277">
            <w:pPr>
              <w:rPr>
                <w:sz w:val="20"/>
              </w:rPr>
            </w:pPr>
            <w:r w:rsidRPr="00790B52">
              <w:rPr>
                <w:sz w:val="20"/>
              </w:rPr>
              <w:t>Plaquemines</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2.9</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5.4</w:t>
            </w:r>
            <w:r w:rsidRPr="00976623">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4.8</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14.4</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13.6</w:t>
            </w:r>
            <w:r w:rsidRPr="00976623">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14.3</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nil"/>
            </w:tcBorders>
            <w:vAlign w:val="center"/>
          </w:tcPr>
          <w:p w:rsidR="00B72277" w:rsidRPr="00790B52" w:rsidRDefault="00B72277" w:rsidP="00B72277">
            <w:pPr>
              <w:rPr>
                <w:sz w:val="20"/>
              </w:rPr>
            </w:pPr>
            <w:r w:rsidRPr="00790B52">
              <w:rPr>
                <w:sz w:val="20"/>
              </w:rPr>
              <w:t>St. Bernard</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single" w:sz="4" w:space="0" w:color="auto"/>
            </w:tcBorders>
            <w:vAlign w:val="center"/>
          </w:tcPr>
          <w:p w:rsidR="00B72277" w:rsidRPr="00790B52" w:rsidRDefault="00B72277" w:rsidP="00B72277">
            <w:pPr>
              <w:rPr>
                <w:sz w:val="20"/>
              </w:rPr>
            </w:pPr>
            <w:r w:rsidRPr="00790B52">
              <w:rPr>
                <w:sz w:val="20"/>
              </w:rPr>
              <w:t>Statewide</w:t>
            </w:r>
          </w:p>
        </w:tc>
        <w:tc>
          <w:tcPr>
            <w:tcW w:w="918" w:type="dxa"/>
            <w:tcBorders>
              <w:top w:val="nil"/>
              <w:bottom w:val="single" w:sz="4" w:space="0" w:color="auto"/>
            </w:tcBorders>
            <w:vAlign w:val="center"/>
          </w:tcPr>
          <w:p w:rsidR="00B72277" w:rsidRPr="00693F74" w:rsidRDefault="00B72277" w:rsidP="00B72277">
            <w:pPr>
              <w:jc w:val="center"/>
              <w:rPr>
                <w:sz w:val="20"/>
              </w:rPr>
            </w:pPr>
            <w:r w:rsidRPr="00693F74">
              <w:rPr>
                <w:sz w:val="20"/>
              </w:rPr>
              <w:t>4.2</w:t>
            </w:r>
          </w:p>
        </w:tc>
        <w:tc>
          <w:tcPr>
            <w:tcW w:w="918" w:type="dxa"/>
            <w:tcBorders>
              <w:top w:val="nil"/>
              <w:bottom w:val="single" w:sz="4" w:space="0" w:color="auto"/>
            </w:tcBorders>
            <w:vAlign w:val="center"/>
          </w:tcPr>
          <w:p w:rsidR="00B72277" w:rsidRPr="00693F74" w:rsidRDefault="00B72277" w:rsidP="00B72277">
            <w:pPr>
              <w:jc w:val="center"/>
              <w:rPr>
                <w:sz w:val="20"/>
              </w:rPr>
            </w:pPr>
            <w:r w:rsidRPr="00693F74">
              <w:rPr>
                <w:sz w:val="20"/>
              </w:rPr>
              <w:t>5.1</w:t>
            </w:r>
          </w:p>
        </w:tc>
        <w:tc>
          <w:tcPr>
            <w:tcW w:w="918" w:type="dxa"/>
            <w:tcBorders>
              <w:top w:val="nil"/>
              <w:bottom w:val="single" w:sz="4" w:space="0" w:color="auto"/>
            </w:tcBorders>
            <w:vAlign w:val="center"/>
          </w:tcPr>
          <w:p w:rsidR="00B72277" w:rsidRPr="00693F74" w:rsidRDefault="00B72277" w:rsidP="00B72277">
            <w:pPr>
              <w:jc w:val="center"/>
              <w:rPr>
                <w:sz w:val="20"/>
              </w:rPr>
            </w:pPr>
            <w:r w:rsidRPr="00693F74">
              <w:rPr>
                <w:sz w:val="20"/>
              </w:rPr>
              <w:t>4.6</w:t>
            </w:r>
          </w:p>
        </w:tc>
        <w:tc>
          <w:tcPr>
            <w:tcW w:w="918" w:type="dxa"/>
            <w:tcBorders>
              <w:top w:val="nil"/>
              <w:bottom w:val="single" w:sz="4" w:space="0" w:color="auto"/>
            </w:tcBorders>
            <w:vAlign w:val="center"/>
          </w:tcPr>
          <w:p w:rsidR="00B72277" w:rsidRPr="00693F74" w:rsidRDefault="00B72277" w:rsidP="00B72277">
            <w:pPr>
              <w:jc w:val="center"/>
              <w:rPr>
                <w:sz w:val="20"/>
              </w:rPr>
            </w:pPr>
            <w:r w:rsidRPr="00693F74">
              <w:rPr>
                <w:sz w:val="20"/>
              </w:rPr>
              <w:t>8.9</w:t>
            </w:r>
          </w:p>
        </w:tc>
        <w:tc>
          <w:tcPr>
            <w:tcW w:w="918" w:type="dxa"/>
            <w:tcBorders>
              <w:top w:val="nil"/>
              <w:bottom w:val="single" w:sz="4" w:space="0" w:color="auto"/>
            </w:tcBorders>
            <w:vAlign w:val="center"/>
          </w:tcPr>
          <w:p w:rsidR="00B72277" w:rsidRPr="00693F74" w:rsidRDefault="00B72277" w:rsidP="00B72277">
            <w:pPr>
              <w:jc w:val="center"/>
              <w:rPr>
                <w:sz w:val="20"/>
              </w:rPr>
            </w:pPr>
            <w:r w:rsidRPr="00693F74">
              <w:rPr>
                <w:sz w:val="20"/>
              </w:rPr>
              <w:t>10.6</w:t>
            </w:r>
            <w:r w:rsidRPr="006C6064">
              <w:rPr>
                <w:sz w:val="20"/>
              </w:rPr>
              <w:t>*</w:t>
            </w:r>
          </w:p>
        </w:tc>
        <w:tc>
          <w:tcPr>
            <w:tcW w:w="918" w:type="dxa"/>
            <w:tcBorders>
              <w:top w:val="nil"/>
              <w:bottom w:val="single" w:sz="4" w:space="0" w:color="auto"/>
            </w:tcBorders>
            <w:vAlign w:val="center"/>
          </w:tcPr>
          <w:p w:rsidR="00B72277" w:rsidRPr="00693F74" w:rsidRDefault="00B72277" w:rsidP="00B72277">
            <w:pPr>
              <w:jc w:val="center"/>
              <w:rPr>
                <w:sz w:val="20"/>
              </w:rPr>
            </w:pPr>
            <w:r w:rsidRPr="00693F74">
              <w:rPr>
                <w:sz w:val="20"/>
              </w:rPr>
              <w:t>11.3</w:t>
            </w:r>
          </w:p>
        </w:tc>
      </w:tr>
      <w:tr w:rsidR="00B72277" w:rsidRPr="00790B52" w:rsidTr="00B72277">
        <w:trPr>
          <w:jc w:val="center"/>
        </w:trPr>
        <w:tc>
          <w:tcPr>
            <w:tcW w:w="1188" w:type="dxa"/>
            <w:vMerge w:val="restart"/>
            <w:vAlign w:val="center"/>
          </w:tcPr>
          <w:p w:rsidR="00B72277" w:rsidRPr="00790B52" w:rsidRDefault="00B72277" w:rsidP="00B72277">
            <w:pPr>
              <w:rPr>
                <w:sz w:val="20"/>
              </w:rPr>
            </w:pPr>
            <w:r w:rsidRPr="00790B52">
              <w:rPr>
                <w:sz w:val="20"/>
              </w:rPr>
              <w:t>Inhalants</w:t>
            </w:r>
          </w:p>
        </w:tc>
        <w:tc>
          <w:tcPr>
            <w:tcW w:w="1170" w:type="dxa"/>
            <w:tcBorders>
              <w:bottom w:val="nil"/>
            </w:tcBorders>
            <w:vAlign w:val="center"/>
          </w:tcPr>
          <w:p w:rsidR="00B72277" w:rsidRPr="00790B52" w:rsidRDefault="00B72277" w:rsidP="00B72277">
            <w:pPr>
              <w:rPr>
                <w:sz w:val="20"/>
              </w:rPr>
            </w:pPr>
            <w:r w:rsidRPr="00790B52">
              <w:rPr>
                <w:sz w:val="20"/>
              </w:rPr>
              <w:t>Orleans</w:t>
            </w:r>
          </w:p>
        </w:tc>
        <w:tc>
          <w:tcPr>
            <w:tcW w:w="918" w:type="dxa"/>
            <w:tcBorders>
              <w:bottom w:val="nil"/>
            </w:tcBorders>
            <w:vAlign w:val="center"/>
          </w:tcPr>
          <w:p w:rsidR="00B72277" w:rsidRPr="00693F74" w:rsidRDefault="00B72277" w:rsidP="00B72277">
            <w:pPr>
              <w:jc w:val="center"/>
              <w:rPr>
                <w:sz w:val="20"/>
              </w:rPr>
            </w:pPr>
            <w:r w:rsidRPr="00693F74">
              <w:rPr>
                <w:sz w:val="20"/>
              </w:rPr>
              <w:t>3.9</w:t>
            </w:r>
            <w:r w:rsidRPr="008902B4">
              <w:rPr>
                <w:sz w:val="20"/>
              </w:rPr>
              <w:t>#</w:t>
            </w:r>
          </w:p>
        </w:tc>
        <w:tc>
          <w:tcPr>
            <w:tcW w:w="918" w:type="dxa"/>
            <w:tcBorders>
              <w:bottom w:val="nil"/>
            </w:tcBorders>
            <w:vAlign w:val="center"/>
          </w:tcPr>
          <w:p w:rsidR="00B72277" w:rsidRPr="00693F74" w:rsidRDefault="00B72277" w:rsidP="00B72277">
            <w:pPr>
              <w:jc w:val="center"/>
              <w:rPr>
                <w:sz w:val="20"/>
              </w:rPr>
            </w:pPr>
            <w:r w:rsidRPr="00693F74">
              <w:rPr>
                <w:sz w:val="20"/>
              </w:rPr>
              <w:t>2.9</w:t>
            </w:r>
            <w:r w:rsidRPr="008902B4">
              <w:rPr>
                <w:sz w:val="20"/>
              </w:rPr>
              <w:t>#</w:t>
            </w:r>
          </w:p>
        </w:tc>
        <w:tc>
          <w:tcPr>
            <w:tcW w:w="918" w:type="dxa"/>
            <w:tcBorders>
              <w:bottom w:val="nil"/>
            </w:tcBorders>
            <w:vAlign w:val="center"/>
          </w:tcPr>
          <w:p w:rsidR="00B72277" w:rsidRPr="00693F74" w:rsidRDefault="00B72277" w:rsidP="00B72277">
            <w:pPr>
              <w:jc w:val="center"/>
              <w:rPr>
                <w:sz w:val="20"/>
              </w:rPr>
            </w:pPr>
            <w:r w:rsidRPr="00693F74">
              <w:rPr>
                <w:sz w:val="20"/>
              </w:rPr>
              <w:t>4.4</w:t>
            </w:r>
            <w:r w:rsidRPr="008902B4">
              <w:rPr>
                <w:sz w:val="20"/>
              </w:rPr>
              <w:t>#</w:t>
            </w:r>
          </w:p>
        </w:tc>
        <w:tc>
          <w:tcPr>
            <w:tcW w:w="918" w:type="dxa"/>
            <w:tcBorders>
              <w:bottom w:val="nil"/>
            </w:tcBorders>
            <w:vAlign w:val="center"/>
          </w:tcPr>
          <w:p w:rsidR="00B72277" w:rsidRPr="00693F74" w:rsidRDefault="00B72277" w:rsidP="00B72277">
            <w:pPr>
              <w:jc w:val="center"/>
              <w:rPr>
                <w:sz w:val="20"/>
              </w:rPr>
            </w:pPr>
            <w:r w:rsidRPr="00693F74">
              <w:rPr>
                <w:sz w:val="20"/>
              </w:rPr>
              <w:t>1.0</w:t>
            </w:r>
            <w:r w:rsidRPr="008902B4">
              <w:rPr>
                <w:sz w:val="20"/>
              </w:rPr>
              <w:t>#</w:t>
            </w:r>
          </w:p>
        </w:tc>
        <w:tc>
          <w:tcPr>
            <w:tcW w:w="918" w:type="dxa"/>
            <w:tcBorders>
              <w:bottom w:val="nil"/>
            </w:tcBorders>
            <w:vAlign w:val="center"/>
          </w:tcPr>
          <w:p w:rsidR="00B72277" w:rsidRPr="00693F74" w:rsidRDefault="00B72277" w:rsidP="00B72277">
            <w:pPr>
              <w:jc w:val="center"/>
              <w:rPr>
                <w:sz w:val="20"/>
              </w:rPr>
            </w:pPr>
            <w:r w:rsidRPr="00693F74">
              <w:rPr>
                <w:sz w:val="20"/>
              </w:rPr>
              <w:t>3.1</w:t>
            </w:r>
            <w:r w:rsidRPr="008902B4">
              <w:rPr>
                <w:sz w:val="20"/>
              </w:rPr>
              <w:t>#</w:t>
            </w:r>
          </w:p>
        </w:tc>
        <w:tc>
          <w:tcPr>
            <w:tcW w:w="918" w:type="dxa"/>
            <w:tcBorders>
              <w:bottom w:val="nil"/>
            </w:tcBorders>
            <w:vAlign w:val="center"/>
          </w:tcPr>
          <w:p w:rsidR="00B72277" w:rsidRPr="00693F74" w:rsidRDefault="00B72277" w:rsidP="00B72277">
            <w:pPr>
              <w:jc w:val="center"/>
              <w:rPr>
                <w:sz w:val="20"/>
              </w:rPr>
            </w:pPr>
            <w:r w:rsidRPr="00693F74">
              <w:rPr>
                <w:sz w:val="20"/>
              </w:rPr>
              <w:t>3.2</w:t>
            </w:r>
            <w:r w:rsidRPr="008902B4">
              <w:rPr>
                <w:sz w:val="20"/>
              </w:rPr>
              <w:t>#</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nil"/>
            </w:tcBorders>
            <w:vAlign w:val="center"/>
          </w:tcPr>
          <w:p w:rsidR="00B72277" w:rsidRPr="00790B52" w:rsidRDefault="00B72277" w:rsidP="00B72277">
            <w:pPr>
              <w:rPr>
                <w:sz w:val="20"/>
              </w:rPr>
            </w:pPr>
            <w:r w:rsidRPr="00790B52">
              <w:rPr>
                <w:sz w:val="20"/>
              </w:rPr>
              <w:t>Jefferson</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4.1</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3.8</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3.3</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2.5</w:t>
            </w:r>
            <w:r w:rsidRPr="006C6064">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1.6</w:t>
            </w:r>
            <w:r w:rsidRPr="006C6064">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1.5</w:t>
            </w:r>
            <w:r w:rsidRPr="006C6064">
              <w:rPr>
                <w:sz w:val="20"/>
              </w:rPr>
              <w:t>*</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nil"/>
            </w:tcBorders>
            <w:vAlign w:val="center"/>
          </w:tcPr>
          <w:p w:rsidR="00B72277" w:rsidRPr="00790B52" w:rsidRDefault="00B72277" w:rsidP="00B72277">
            <w:pPr>
              <w:rPr>
                <w:sz w:val="20"/>
              </w:rPr>
            </w:pPr>
            <w:r w:rsidRPr="00790B52">
              <w:rPr>
                <w:sz w:val="20"/>
              </w:rPr>
              <w:t>Plaquemines</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6.8</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6.2</w:t>
            </w:r>
            <w:r w:rsidRPr="00976623">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3.5</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3.7</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0.9</w:t>
            </w:r>
            <w:r w:rsidRPr="00976623">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1.0</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nil"/>
            </w:tcBorders>
            <w:vAlign w:val="center"/>
          </w:tcPr>
          <w:p w:rsidR="00B72277" w:rsidRPr="00790B52" w:rsidRDefault="00B72277" w:rsidP="00B72277">
            <w:pPr>
              <w:rPr>
                <w:sz w:val="20"/>
              </w:rPr>
            </w:pPr>
            <w:r w:rsidRPr="00790B52">
              <w:rPr>
                <w:sz w:val="20"/>
              </w:rPr>
              <w:t>St. Bernard</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w:t>
            </w:r>
          </w:p>
        </w:tc>
        <w:tc>
          <w:tcPr>
            <w:tcW w:w="918" w:type="dxa"/>
            <w:tcBorders>
              <w:top w:val="nil"/>
              <w:bottom w:val="nil"/>
            </w:tcBorders>
            <w:vAlign w:val="center"/>
          </w:tcPr>
          <w:p w:rsidR="00B72277" w:rsidRPr="00693F74" w:rsidRDefault="00B72277" w:rsidP="00B72277">
            <w:pPr>
              <w:jc w:val="center"/>
              <w:rPr>
                <w:sz w:val="20"/>
              </w:rPr>
            </w:pPr>
            <w:r w:rsidRPr="00693F74">
              <w:rPr>
                <w:sz w:val="20"/>
              </w:rPr>
              <w:t>--</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single" w:sz="4" w:space="0" w:color="auto"/>
            </w:tcBorders>
            <w:vAlign w:val="center"/>
          </w:tcPr>
          <w:p w:rsidR="00B72277" w:rsidRPr="00790B52" w:rsidRDefault="00B72277" w:rsidP="00B72277">
            <w:pPr>
              <w:rPr>
                <w:sz w:val="20"/>
              </w:rPr>
            </w:pPr>
            <w:r w:rsidRPr="00790B52">
              <w:rPr>
                <w:sz w:val="20"/>
              </w:rPr>
              <w:t>Statewide</w:t>
            </w:r>
          </w:p>
        </w:tc>
        <w:tc>
          <w:tcPr>
            <w:tcW w:w="918" w:type="dxa"/>
            <w:tcBorders>
              <w:top w:val="nil"/>
              <w:bottom w:val="single" w:sz="4" w:space="0" w:color="auto"/>
            </w:tcBorders>
            <w:vAlign w:val="center"/>
          </w:tcPr>
          <w:p w:rsidR="00B72277" w:rsidRPr="00693F74" w:rsidRDefault="00B72277" w:rsidP="00B72277">
            <w:pPr>
              <w:jc w:val="center"/>
              <w:rPr>
                <w:sz w:val="20"/>
              </w:rPr>
            </w:pPr>
            <w:r w:rsidRPr="00693F74">
              <w:rPr>
                <w:sz w:val="20"/>
              </w:rPr>
              <w:t>4.4</w:t>
            </w:r>
          </w:p>
        </w:tc>
        <w:tc>
          <w:tcPr>
            <w:tcW w:w="918" w:type="dxa"/>
            <w:tcBorders>
              <w:top w:val="nil"/>
              <w:bottom w:val="single" w:sz="4" w:space="0" w:color="auto"/>
            </w:tcBorders>
            <w:vAlign w:val="center"/>
          </w:tcPr>
          <w:p w:rsidR="00B72277" w:rsidRPr="00693F74" w:rsidRDefault="00B72277" w:rsidP="00B72277">
            <w:pPr>
              <w:jc w:val="center"/>
              <w:rPr>
                <w:sz w:val="20"/>
              </w:rPr>
            </w:pPr>
            <w:r w:rsidRPr="00693F74">
              <w:rPr>
                <w:sz w:val="20"/>
              </w:rPr>
              <w:t>4.4</w:t>
            </w:r>
          </w:p>
        </w:tc>
        <w:tc>
          <w:tcPr>
            <w:tcW w:w="918" w:type="dxa"/>
            <w:tcBorders>
              <w:top w:val="nil"/>
              <w:bottom w:val="single" w:sz="4" w:space="0" w:color="auto"/>
            </w:tcBorders>
            <w:vAlign w:val="center"/>
          </w:tcPr>
          <w:p w:rsidR="00B72277" w:rsidRPr="00693F74" w:rsidRDefault="00B72277" w:rsidP="00B72277">
            <w:pPr>
              <w:jc w:val="center"/>
              <w:rPr>
                <w:sz w:val="20"/>
              </w:rPr>
            </w:pPr>
            <w:r w:rsidRPr="00693F74">
              <w:rPr>
                <w:sz w:val="20"/>
              </w:rPr>
              <w:t>3.8</w:t>
            </w:r>
          </w:p>
        </w:tc>
        <w:tc>
          <w:tcPr>
            <w:tcW w:w="918" w:type="dxa"/>
            <w:tcBorders>
              <w:top w:val="nil"/>
              <w:bottom w:val="single" w:sz="4" w:space="0" w:color="auto"/>
            </w:tcBorders>
            <w:vAlign w:val="center"/>
          </w:tcPr>
          <w:p w:rsidR="00B72277" w:rsidRPr="00693F74" w:rsidRDefault="00B72277" w:rsidP="00B72277">
            <w:pPr>
              <w:jc w:val="center"/>
              <w:rPr>
                <w:sz w:val="20"/>
              </w:rPr>
            </w:pPr>
            <w:r w:rsidRPr="00693F74">
              <w:rPr>
                <w:sz w:val="20"/>
              </w:rPr>
              <w:t>2.5</w:t>
            </w:r>
          </w:p>
        </w:tc>
        <w:tc>
          <w:tcPr>
            <w:tcW w:w="918" w:type="dxa"/>
            <w:tcBorders>
              <w:top w:val="nil"/>
              <w:bottom w:val="single" w:sz="4" w:space="0" w:color="auto"/>
            </w:tcBorders>
            <w:vAlign w:val="center"/>
          </w:tcPr>
          <w:p w:rsidR="00B72277" w:rsidRPr="00693F74" w:rsidRDefault="00B72277" w:rsidP="00B72277">
            <w:pPr>
              <w:jc w:val="center"/>
              <w:rPr>
                <w:sz w:val="20"/>
              </w:rPr>
            </w:pPr>
            <w:r w:rsidRPr="00693F74">
              <w:rPr>
                <w:sz w:val="20"/>
              </w:rPr>
              <w:t>2.2</w:t>
            </w:r>
            <w:r w:rsidRPr="006C6064">
              <w:rPr>
                <w:sz w:val="20"/>
              </w:rPr>
              <w:t>*</w:t>
            </w:r>
          </w:p>
        </w:tc>
        <w:tc>
          <w:tcPr>
            <w:tcW w:w="918" w:type="dxa"/>
            <w:tcBorders>
              <w:top w:val="nil"/>
              <w:bottom w:val="single" w:sz="4" w:space="0" w:color="auto"/>
            </w:tcBorders>
            <w:vAlign w:val="center"/>
          </w:tcPr>
          <w:p w:rsidR="00B72277" w:rsidRPr="00693F74" w:rsidRDefault="00B72277" w:rsidP="00B72277">
            <w:pPr>
              <w:jc w:val="center"/>
              <w:rPr>
                <w:sz w:val="20"/>
              </w:rPr>
            </w:pPr>
            <w:r w:rsidRPr="00693F74">
              <w:rPr>
                <w:sz w:val="20"/>
              </w:rPr>
              <w:t>2.0</w:t>
            </w:r>
          </w:p>
        </w:tc>
      </w:tr>
      <w:tr w:rsidR="00B72277" w:rsidRPr="00790B52" w:rsidTr="00B72277">
        <w:trPr>
          <w:jc w:val="center"/>
        </w:trPr>
        <w:tc>
          <w:tcPr>
            <w:tcW w:w="7866" w:type="dxa"/>
            <w:gridSpan w:val="8"/>
            <w:tcBorders>
              <w:top w:val="single" w:sz="4" w:space="0" w:color="auto"/>
            </w:tcBorders>
            <w:vAlign w:val="center"/>
          </w:tcPr>
          <w:p w:rsidR="00B72277" w:rsidRPr="00071C00" w:rsidRDefault="00B72277" w:rsidP="00B72277">
            <w:pPr>
              <w:rPr>
                <w:sz w:val="18"/>
                <w:szCs w:val="18"/>
              </w:rPr>
            </w:pPr>
            <w:r w:rsidRPr="00071C00">
              <w:rPr>
                <w:b/>
                <w:sz w:val="18"/>
                <w:szCs w:val="18"/>
                <w:u w:val="single"/>
              </w:rPr>
              <w:t>Caution</w:t>
            </w:r>
            <w:r w:rsidRPr="00071C00">
              <w:rPr>
                <w:sz w:val="18"/>
                <w:szCs w:val="18"/>
              </w:rPr>
              <w:t>: Figures based on less than a 30% completion rate cannot be considered representative; figures based on completion between 30% and 50% should be interpreted with caution. The completion rate is defined as the percent of enrolled students who complete a valid survey.</w:t>
            </w:r>
          </w:p>
          <w:p w:rsidR="00B72277" w:rsidRPr="00071C00" w:rsidRDefault="00B72277" w:rsidP="00B72277">
            <w:pPr>
              <w:rPr>
                <w:sz w:val="18"/>
                <w:szCs w:val="18"/>
              </w:rPr>
            </w:pPr>
            <w:proofErr w:type="gramStart"/>
            <w:r w:rsidRPr="00071C00">
              <w:rPr>
                <w:b/>
                <w:sz w:val="18"/>
                <w:szCs w:val="18"/>
              </w:rPr>
              <w:t xml:space="preserve"># </w:t>
            </w:r>
            <w:r w:rsidRPr="00071C00">
              <w:rPr>
                <w:sz w:val="18"/>
                <w:szCs w:val="18"/>
              </w:rPr>
              <w:t xml:space="preserve"> Completion</w:t>
            </w:r>
            <w:proofErr w:type="gramEnd"/>
            <w:r w:rsidRPr="00071C00">
              <w:rPr>
                <w:sz w:val="18"/>
                <w:szCs w:val="18"/>
              </w:rPr>
              <w:t xml:space="preserve"> rate is less than 30%</w:t>
            </w:r>
            <w:r>
              <w:rPr>
                <w:sz w:val="18"/>
                <w:szCs w:val="18"/>
              </w:rPr>
              <w:t>;</w:t>
            </w:r>
            <w:r w:rsidRPr="00071C00">
              <w:rPr>
                <w:sz w:val="18"/>
                <w:szCs w:val="18"/>
              </w:rPr>
              <w:t xml:space="preserve">     </w:t>
            </w:r>
            <w:r w:rsidRPr="00071C00">
              <w:rPr>
                <w:b/>
                <w:sz w:val="18"/>
                <w:szCs w:val="18"/>
              </w:rPr>
              <w:t>*</w:t>
            </w:r>
            <w:r w:rsidRPr="00071C00">
              <w:rPr>
                <w:sz w:val="18"/>
                <w:szCs w:val="18"/>
              </w:rPr>
              <w:t xml:space="preserve"> Completion rate is less than 50%, but 30% or greater.</w:t>
            </w:r>
          </w:p>
          <w:p w:rsidR="00B72277" w:rsidRDefault="00B72277" w:rsidP="00B72277">
            <w:pPr>
              <w:rPr>
                <w:sz w:val="18"/>
                <w:szCs w:val="18"/>
              </w:rPr>
            </w:pPr>
            <w:r w:rsidRPr="00071C00">
              <w:rPr>
                <w:sz w:val="18"/>
                <w:szCs w:val="18"/>
              </w:rPr>
              <w:t>No statistics are available for St. Bernard Parish.</w:t>
            </w:r>
          </w:p>
          <w:p w:rsidR="00B72277" w:rsidRPr="00071C00" w:rsidRDefault="00B72277" w:rsidP="00B72277">
            <w:pPr>
              <w:rPr>
                <w:sz w:val="18"/>
                <w:szCs w:val="18"/>
              </w:rPr>
            </w:pPr>
            <w:r w:rsidRPr="00926DDE">
              <w:rPr>
                <w:sz w:val="18"/>
                <w:szCs w:val="18"/>
                <w:vertAlign w:val="superscript"/>
              </w:rPr>
              <w:t>1</w:t>
            </w:r>
            <w:r>
              <w:rPr>
                <w:sz w:val="18"/>
                <w:szCs w:val="18"/>
              </w:rPr>
              <w:t>Binge drinking means “five or more drinks in a row.”</w:t>
            </w:r>
          </w:p>
          <w:p w:rsidR="00B72277" w:rsidRPr="00384D67" w:rsidRDefault="00B72277" w:rsidP="00B72277">
            <w:pPr>
              <w:rPr>
                <w:sz w:val="18"/>
                <w:szCs w:val="18"/>
                <w:highlight w:val="yellow"/>
              </w:rPr>
            </w:pPr>
            <w:r w:rsidRPr="00071C00">
              <w:rPr>
                <w:sz w:val="18"/>
                <w:szCs w:val="18"/>
              </w:rPr>
              <w:t xml:space="preserve">Data Source: Louisiana Social Indicators - </w:t>
            </w:r>
            <w:hyperlink r:id="rId8" w:history="1">
              <w:r w:rsidRPr="00071C00">
                <w:rPr>
                  <w:rStyle w:val="Hyperlink"/>
                  <w:sz w:val="18"/>
                  <w:szCs w:val="18"/>
                </w:rPr>
                <w:t>http://www.bach-harrison.com/lasocialindicators</w:t>
              </w:r>
            </w:hyperlink>
            <w:r w:rsidRPr="00071C00">
              <w:rPr>
                <w:sz w:val="18"/>
                <w:szCs w:val="18"/>
              </w:rPr>
              <w:t xml:space="preserve"> (7/5/2013).</w:t>
            </w:r>
          </w:p>
        </w:tc>
      </w:tr>
    </w:tbl>
    <w:p w:rsidR="00B72277" w:rsidRDefault="00B72277" w:rsidP="000F7581"/>
    <w:p w:rsidR="00F95085" w:rsidRPr="00F95085" w:rsidRDefault="00F95085" w:rsidP="00F95085">
      <w:r w:rsidRPr="00F95085">
        <w:t xml:space="preserve">Statewide, </w:t>
      </w:r>
      <w:r w:rsidR="00852961">
        <w:t>10</w:t>
      </w:r>
      <w:r w:rsidRPr="00F95085">
        <w:t xml:space="preserve"> percent of 8</w:t>
      </w:r>
      <w:r w:rsidRPr="00F95085">
        <w:rPr>
          <w:vertAlign w:val="superscript"/>
        </w:rPr>
        <w:t>th</w:t>
      </w:r>
      <w:r w:rsidRPr="00F95085">
        <w:t xml:space="preserve"> grade students </w:t>
      </w:r>
      <w:r w:rsidR="00852961">
        <w:t xml:space="preserve">engaged in </w:t>
      </w:r>
      <w:r w:rsidR="00852961" w:rsidRPr="00F60828">
        <w:rPr>
          <w:b/>
        </w:rPr>
        <w:t>binge drinking</w:t>
      </w:r>
      <w:r w:rsidRPr="00F95085">
        <w:t xml:space="preserve"> in the past </w:t>
      </w:r>
      <w:r w:rsidR="00852961">
        <w:t>2 weeks</w:t>
      </w:r>
      <w:r w:rsidRPr="00F95085">
        <w:t xml:space="preserve">, based on the 2012 CCYS survey. </w:t>
      </w:r>
      <w:proofErr w:type="gramStart"/>
      <w:r w:rsidR="00852961">
        <w:t>(Binge drinking means having “5 or more drinks in a row.”)</w:t>
      </w:r>
      <w:proofErr w:type="gramEnd"/>
      <w:r w:rsidR="00852961">
        <w:t xml:space="preserve"> </w:t>
      </w:r>
      <w:r w:rsidRPr="00F95085">
        <w:t xml:space="preserve">Among </w:t>
      </w:r>
      <w:r w:rsidRPr="00F95085">
        <w:lastRenderedPageBreak/>
        <w:t>10</w:t>
      </w:r>
      <w:r w:rsidRPr="00F95085">
        <w:rPr>
          <w:vertAlign w:val="superscript"/>
        </w:rPr>
        <w:t>th</w:t>
      </w:r>
      <w:r w:rsidRPr="00F95085">
        <w:t xml:space="preserve"> grade students, </w:t>
      </w:r>
      <w:r w:rsidR="00852961">
        <w:t>18</w:t>
      </w:r>
      <w:r w:rsidRPr="00F95085">
        <w:t xml:space="preserve"> percent </w:t>
      </w:r>
      <w:r w:rsidR="00852961" w:rsidRPr="00852961">
        <w:t>engaged in binge drinking in the past 2 weeks</w:t>
      </w:r>
      <w:r w:rsidRPr="00F95085">
        <w:t xml:space="preserve">. </w:t>
      </w:r>
      <w:r w:rsidR="006068D1">
        <w:t>For both</w:t>
      </w:r>
      <w:r w:rsidRPr="00F95085">
        <w:t xml:space="preserve"> 8</w:t>
      </w:r>
      <w:r w:rsidRPr="00F95085">
        <w:rPr>
          <w:vertAlign w:val="superscript"/>
        </w:rPr>
        <w:t>th</w:t>
      </w:r>
      <w:r w:rsidRPr="00F95085">
        <w:t xml:space="preserve"> </w:t>
      </w:r>
      <w:r w:rsidR="00852961">
        <w:t>and 10</w:t>
      </w:r>
      <w:r w:rsidR="00852961" w:rsidRPr="00852961">
        <w:rPr>
          <w:vertAlign w:val="superscript"/>
        </w:rPr>
        <w:t>th</w:t>
      </w:r>
      <w:r w:rsidR="00852961">
        <w:t xml:space="preserve"> </w:t>
      </w:r>
      <w:r w:rsidRPr="00F95085">
        <w:t xml:space="preserve">graders, </w:t>
      </w:r>
      <w:r w:rsidR="00852961">
        <w:t>binge drinking</w:t>
      </w:r>
      <w:r w:rsidRPr="00F95085">
        <w:t xml:space="preserve"> declined</w:t>
      </w:r>
      <w:r w:rsidR="00852961">
        <w:t xml:space="preserve"> slightly</w:t>
      </w:r>
      <w:r w:rsidRPr="00F95085">
        <w:t xml:space="preserve"> from 2008 levels (</w:t>
      </w:r>
      <w:r w:rsidR="00852961">
        <w:t>13</w:t>
      </w:r>
      <w:r w:rsidRPr="00F95085">
        <w:t>%</w:t>
      </w:r>
      <w:r w:rsidR="00852961">
        <w:t xml:space="preserve"> and 21% respectively</w:t>
      </w:r>
      <w:r w:rsidRPr="00F95085">
        <w:t>)</w:t>
      </w:r>
      <w:r w:rsidR="00852961">
        <w:t>.</w:t>
      </w:r>
    </w:p>
    <w:p w:rsidR="00F95085" w:rsidRPr="00F95085" w:rsidRDefault="00F95085" w:rsidP="00F95085"/>
    <w:p w:rsidR="00F95085" w:rsidRPr="00F95085" w:rsidRDefault="00F95085" w:rsidP="00F95085">
      <w:r w:rsidRPr="00F95085">
        <w:t xml:space="preserve">In Greater New Orleans, </w:t>
      </w:r>
      <w:r w:rsidRPr="00F95085">
        <w:rPr>
          <w:i/>
        </w:rPr>
        <w:t>about</w:t>
      </w:r>
      <w:r w:rsidRPr="00F95085">
        <w:t xml:space="preserve"> </w:t>
      </w:r>
      <w:r w:rsidR="006068D1">
        <w:t>9</w:t>
      </w:r>
      <w:r w:rsidRPr="00F95085">
        <w:t xml:space="preserve"> percent of 8</w:t>
      </w:r>
      <w:r w:rsidRPr="00F95085">
        <w:rPr>
          <w:vertAlign w:val="superscript"/>
        </w:rPr>
        <w:t>th</w:t>
      </w:r>
      <w:r w:rsidRPr="00F95085">
        <w:t xml:space="preserve"> grade students </w:t>
      </w:r>
      <w:r w:rsidR="006068D1" w:rsidRPr="006068D1">
        <w:t xml:space="preserve">engaged in </w:t>
      </w:r>
      <w:r w:rsidR="006068D1" w:rsidRPr="00F60828">
        <w:rPr>
          <w:b/>
        </w:rPr>
        <w:t>binge drinking</w:t>
      </w:r>
      <w:r w:rsidR="006068D1" w:rsidRPr="006068D1">
        <w:t xml:space="preserve"> in the past 2 weeks</w:t>
      </w:r>
      <w:r w:rsidRPr="00F95085">
        <w:t xml:space="preserve">, based on the 2012 CCYS survey. </w:t>
      </w:r>
      <w:proofErr w:type="gramStart"/>
      <w:r w:rsidR="006068D1" w:rsidRPr="006068D1">
        <w:t>(Binge drinking means having “5 or more drinks in a row.”)</w:t>
      </w:r>
      <w:proofErr w:type="gramEnd"/>
      <w:r w:rsidR="006068D1" w:rsidRPr="006068D1">
        <w:t xml:space="preserve"> </w:t>
      </w:r>
      <w:r w:rsidRPr="00F95085">
        <w:t>Among 10</w:t>
      </w:r>
      <w:r w:rsidRPr="00F95085">
        <w:rPr>
          <w:vertAlign w:val="superscript"/>
        </w:rPr>
        <w:t>th</w:t>
      </w:r>
      <w:r w:rsidRPr="00F95085">
        <w:t xml:space="preserve"> grade students, </w:t>
      </w:r>
      <w:r w:rsidRPr="00F95085">
        <w:rPr>
          <w:i/>
        </w:rPr>
        <w:t>about</w:t>
      </w:r>
      <w:r w:rsidRPr="00F95085">
        <w:t xml:space="preserve"> </w:t>
      </w:r>
      <w:r w:rsidR="006068D1">
        <w:t>13</w:t>
      </w:r>
      <w:r w:rsidRPr="00F95085">
        <w:t xml:space="preserve"> percent </w:t>
      </w:r>
      <w:r w:rsidR="006068D1" w:rsidRPr="006068D1">
        <w:t>engaged in binge drinking in the past 2 weeks</w:t>
      </w:r>
      <w:r w:rsidRPr="00F95085">
        <w:t xml:space="preserve">. </w:t>
      </w:r>
      <w:r w:rsidR="006068D1">
        <w:t>Binge</w:t>
      </w:r>
      <w:r w:rsidRPr="00F95085">
        <w:t xml:space="preserve"> alcohol use among 8</w:t>
      </w:r>
      <w:r w:rsidRPr="00F95085">
        <w:rPr>
          <w:vertAlign w:val="superscript"/>
        </w:rPr>
        <w:t>th</w:t>
      </w:r>
      <w:r w:rsidRPr="00F95085">
        <w:t xml:space="preserve"> and 10</w:t>
      </w:r>
      <w:r w:rsidRPr="00F95085">
        <w:rPr>
          <w:vertAlign w:val="superscript"/>
        </w:rPr>
        <w:t>th</w:t>
      </w:r>
      <w:r w:rsidRPr="00F95085">
        <w:t xml:space="preserve"> graders </w:t>
      </w:r>
      <w:r w:rsidR="006068D1">
        <w:t>may</w:t>
      </w:r>
      <w:r w:rsidRPr="00F95085">
        <w:t xml:space="preserve"> have declined from 2008 levels.</w:t>
      </w:r>
    </w:p>
    <w:p w:rsidR="00F95085" w:rsidRDefault="00F95085" w:rsidP="000F7581"/>
    <w:p w:rsidR="00F60828" w:rsidRPr="00F60828" w:rsidRDefault="00F60828" w:rsidP="00F60828">
      <w:r w:rsidRPr="00F60828">
        <w:t>Statewide, 6 percent of 8</w:t>
      </w:r>
      <w:r w:rsidRPr="00F60828">
        <w:rPr>
          <w:vertAlign w:val="superscript"/>
        </w:rPr>
        <w:t>th</w:t>
      </w:r>
      <w:r w:rsidRPr="00F60828">
        <w:t xml:space="preserve"> grade students smoked </w:t>
      </w:r>
      <w:r w:rsidRPr="00F60828">
        <w:rPr>
          <w:b/>
        </w:rPr>
        <w:t>cigarettes</w:t>
      </w:r>
      <w:r w:rsidRPr="00F60828">
        <w:t xml:space="preserve"> in the past 30 days, based on the 2012 CCYS survey. Among 10</w:t>
      </w:r>
      <w:r w:rsidRPr="00F60828">
        <w:rPr>
          <w:vertAlign w:val="superscript"/>
        </w:rPr>
        <w:t>th</w:t>
      </w:r>
      <w:r w:rsidRPr="00F60828">
        <w:t xml:space="preserve"> grade students, 12 percent smoked cigarettes in the past 30 days. Current cigarette use declined from 2008 levels (which were 9 percent and 15 percent among 8</w:t>
      </w:r>
      <w:r w:rsidRPr="00F60828">
        <w:rPr>
          <w:vertAlign w:val="superscript"/>
        </w:rPr>
        <w:t>th</w:t>
      </w:r>
      <w:r w:rsidRPr="00F60828">
        <w:t xml:space="preserve"> and 10</w:t>
      </w:r>
      <w:r w:rsidRPr="00F60828">
        <w:rPr>
          <w:vertAlign w:val="superscript"/>
        </w:rPr>
        <w:t>th</w:t>
      </w:r>
      <w:r w:rsidRPr="00F60828">
        <w:t xml:space="preserve"> graders respectively).</w:t>
      </w:r>
    </w:p>
    <w:p w:rsidR="00F60828" w:rsidRPr="00F60828" w:rsidRDefault="00F60828" w:rsidP="00F60828"/>
    <w:p w:rsidR="00F60828" w:rsidRPr="00F60828" w:rsidRDefault="00F60828" w:rsidP="00F60828">
      <w:r w:rsidRPr="00F60828">
        <w:t xml:space="preserve">In Greater New Orleans, </w:t>
      </w:r>
      <w:r w:rsidRPr="00F60828">
        <w:rPr>
          <w:i/>
        </w:rPr>
        <w:t>about</w:t>
      </w:r>
      <w:r w:rsidRPr="00F60828">
        <w:t xml:space="preserve"> 6 percent of 8</w:t>
      </w:r>
      <w:r w:rsidRPr="00F60828">
        <w:rPr>
          <w:vertAlign w:val="superscript"/>
        </w:rPr>
        <w:t>th</w:t>
      </w:r>
      <w:r w:rsidRPr="00F60828">
        <w:t xml:space="preserve"> grade students smoked </w:t>
      </w:r>
      <w:r w:rsidRPr="00F60828">
        <w:rPr>
          <w:b/>
        </w:rPr>
        <w:t xml:space="preserve">cigarettes </w:t>
      </w:r>
      <w:r w:rsidRPr="00F60828">
        <w:t>in the past 30 days, based on the 2012 CCYS survey. Among 10</w:t>
      </w:r>
      <w:r w:rsidRPr="00F60828">
        <w:rPr>
          <w:vertAlign w:val="superscript"/>
        </w:rPr>
        <w:t>th</w:t>
      </w:r>
      <w:r w:rsidRPr="00F60828">
        <w:t xml:space="preserve"> grade students, </w:t>
      </w:r>
      <w:r w:rsidRPr="00F60828">
        <w:rPr>
          <w:i/>
        </w:rPr>
        <w:t>about</w:t>
      </w:r>
      <w:r w:rsidRPr="00F60828">
        <w:t xml:space="preserve"> 8 percent smoked cigarettes in the past 30 days. Current cigarette use among 8</w:t>
      </w:r>
      <w:r w:rsidRPr="00F60828">
        <w:rPr>
          <w:vertAlign w:val="superscript"/>
        </w:rPr>
        <w:t>th</w:t>
      </w:r>
      <w:r w:rsidRPr="00F60828">
        <w:t xml:space="preserve"> and 10</w:t>
      </w:r>
      <w:r w:rsidRPr="00F60828">
        <w:rPr>
          <w:vertAlign w:val="superscript"/>
        </w:rPr>
        <w:t>th</w:t>
      </w:r>
      <w:r w:rsidRPr="00F60828">
        <w:t xml:space="preserve"> graders may have declined from 2008 levels.</w:t>
      </w:r>
    </w:p>
    <w:p w:rsidR="00F60828" w:rsidRDefault="00F60828" w:rsidP="000F7581"/>
    <w:p w:rsidR="00C60926" w:rsidRPr="00C60926" w:rsidRDefault="00C60926" w:rsidP="00C60926">
      <w:r w:rsidRPr="000B5E68">
        <w:t xml:space="preserve">Statewide, </w:t>
      </w:r>
      <w:r w:rsidR="000B5E68" w:rsidRPr="000B5E68">
        <w:t>1</w:t>
      </w:r>
      <w:r w:rsidRPr="000B5E68">
        <w:t xml:space="preserve"> percent of 8</w:t>
      </w:r>
      <w:r w:rsidRPr="000B5E68">
        <w:rPr>
          <w:vertAlign w:val="superscript"/>
        </w:rPr>
        <w:t>th</w:t>
      </w:r>
      <w:r w:rsidRPr="000B5E68">
        <w:t xml:space="preserve"> grade students </w:t>
      </w:r>
      <w:r w:rsidR="000B5E68" w:rsidRPr="000B5E68">
        <w:t xml:space="preserve">engaged in </w:t>
      </w:r>
      <w:r w:rsidR="000B5E68" w:rsidRPr="004F6B48">
        <w:rPr>
          <w:b/>
        </w:rPr>
        <w:t>heavy smoking</w:t>
      </w:r>
      <w:r w:rsidR="006068D1" w:rsidRPr="000B5E68">
        <w:t xml:space="preserve"> in the past 30 days</w:t>
      </w:r>
      <w:r w:rsidRPr="000B5E68">
        <w:t xml:space="preserve">, based on the 2012 CCYS survey. </w:t>
      </w:r>
      <w:r w:rsidR="000B5E68" w:rsidRPr="000B5E68">
        <w:t xml:space="preserve">(Heavy smoking means ½ pack per day.) </w:t>
      </w:r>
      <w:r w:rsidRPr="000B5E68">
        <w:t>Among 10</w:t>
      </w:r>
      <w:r w:rsidRPr="000B5E68">
        <w:rPr>
          <w:vertAlign w:val="superscript"/>
        </w:rPr>
        <w:t>th</w:t>
      </w:r>
      <w:r w:rsidRPr="000B5E68">
        <w:t xml:space="preserve"> grade students, </w:t>
      </w:r>
      <w:r w:rsidR="006068D1" w:rsidRPr="000B5E68">
        <w:t>2</w:t>
      </w:r>
      <w:r w:rsidRPr="000B5E68">
        <w:t xml:space="preserve"> percent </w:t>
      </w:r>
      <w:r w:rsidR="000B5E68" w:rsidRPr="000B5E68">
        <w:t xml:space="preserve">engaged in heavy smoking </w:t>
      </w:r>
      <w:r w:rsidR="006068D1" w:rsidRPr="000B5E68">
        <w:t>in the past 30 days</w:t>
      </w:r>
      <w:r w:rsidRPr="000B5E68">
        <w:t xml:space="preserve">. </w:t>
      </w:r>
      <w:r w:rsidR="000B5E68" w:rsidRPr="000B5E68">
        <w:t>Heavy smoking appears to have</w:t>
      </w:r>
      <w:r w:rsidRPr="000B5E68">
        <w:t xml:space="preserve"> declined from 2008 levels (which were </w:t>
      </w:r>
      <w:r w:rsidR="000B5E68" w:rsidRPr="000B5E68">
        <w:t>2</w:t>
      </w:r>
      <w:r w:rsidRPr="000B5E68">
        <w:t xml:space="preserve"> percent and </w:t>
      </w:r>
      <w:r w:rsidR="000B5E68" w:rsidRPr="000B5E68">
        <w:t>3</w:t>
      </w:r>
      <w:r w:rsidRPr="000B5E68">
        <w:t xml:space="preserve"> percent among 8</w:t>
      </w:r>
      <w:r w:rsidRPr="000B5E68">
        <w:rPr>
          <w:vertAlign w:val="superscript"/>
        </w:rPr>
        <w:t>th</w:t>
      </w:r>
      <w:r w:rsidRPr="000B5E68">
        <w:t xml:space="preserve"> and 10</w:t>
      </w:r>
      <w:r w:rsidRPr="000B5E68">
        <w:rPr>
          <w:vertAlign w:val="superscript"/>
        </w:rPr>
        <w:t>th</w:t>
      </w:r>
      <w:r w:rsidRPr="000B5E68">
        <w:t xml:space="preserve"> graders respectively).</w:t>
      </w:r>
    </w:p>
    <w:p w:rsidR="00C60926" w:rsidRPr="00C60926" w:rsidRDefault="00C60926" w:rsidP="00C60926"/>
    <w:p w:rsidR="00C60926" w:rsidRPr="00C60926" w:rsidRDefault="00C60926" w:rsidP="00C60926">
      <w:r w:rsidRPr="000B5E68">
        <w:t xml:space="preserve">In Greater New Orleans, </w:t>
      </w:r>
      <w:r w:rsidRPr="000B5E68">
        <w:rPr>
          <w:i/>
        </w:rPr>
        <w:t>about</w:t>
      </w:r>
      <w:r w:rsidRPr="000B5E68">
        <w:t xml:space="preserve"> </w:t>
      </w:r>
      <w:r w:rsidR="000B5E68" w:rsidRPr="000B5E68">
        <w:t>1</w:t>
      </w:r>
      <w:r w:rsidRPr="000B5E68">
        <w:t xml:space="preserve"> percent of 8</w:t>
      </w:r>
      <w:r w:rsidRPr="000B5E68">
        <w:rPr>
          <w:vertAlign w:val="superscript"/>
        </w:rPr>
        <w:t>th</w:t>
      </w:r>
      <w:r w:rsidRPr="000B5E68">
        <w:t xml:space="preserve"> grade students </w:t>
      </w:r>
      <w:r w:rsidR="000B5E68" w:rsidRPr="000B5E68">
        <w:t xml:space="preserve">engaged in heavy smoking </w:t>
      </w:r>
      <w:r w:rsidR="00F60828" w:rsidRPr="000B5E68">
        <w:t>in the past 30 days</w:t>
      </w:r>
      <w:r w:rsidRPr="000B5E68">
        <w:t xml:space="preserve">, based on the 2012 CCYS survey. </w:t>
      </w:r>
      <w:r w:rsidR="000B5E68" w:rsidRPr="000B5E68">
        <w:t xml:space="preserve">(Heavy smoking means ½ pack per day.) </w:t>
      </w:r>
      <w:r w:rsidRPr="000B5E68">
        <w:t>Among 10</w:t>
      </w:r>
      <w:r w:rsidRPr="000B5E68">
        <w:rPr>
          <w:vertAlign w:val="superscript"/>
        </w:rPr>
        <w:t>th</w:t>
      </w:r>
      <w:r w:rsidRPr="000B5E68">
        <w:t xml:space="preserve"> grade students, </w:t>
      </w:r>
      <w:r w:rsidRPr="000B5E68">
        <w:rPr>
          <w:i/>
        </w:rPr>
        <w:t>about</w:t>
      </w:r>
      <w:r w:rsidRPr="000B5E68">
        <w:t xml:space="preserve"> </w:t>
      </w:r>
      <w:r w:rsidR="000B5E68" w:rsidRPr="000B5E68">
        <w:t>2</w:t>
      </w:r>
      <w:r w:rsidRPr="000B5E68">
        <w:t xml:space="preserve"> percent </w:t>
      </w:r>
      <w:r w:rsidR="000B5E68" w:rsidRPr="000B5E68">
        <w:t xml:space="preserve">engaged in heavy smoking </w:t>
      </w:r>
      <w:r w:rsidR="00F60828" w:rsidRPr="000B5E68">
        <w:t>in the past 30 days</w:t>
      </w:r>
      <w:r w:rsidRPr="000B5E68">
        <w:t xml:space="preserve">. </w:t>
      </w:r>
      <w:r w:rsidR="000B5E68" w:rsidRPr="000B5E68">
        <w:t>Heavy smoking</w:t>
      </w:r>
      <w:r w:rsidRPr="000B5E68">
        <w:t xml:space="preserve"> among 8</w:t>
      </w:r>
      <w:r w:rsidRPr="000B5E68">
        <w:rPr>
          <w:vertAlign w:val="superscript"/>
        </w:rPr>
        <w:t>th</w:t>
      </w:r>
      <w:r w:rsidRPr="000B5E68">
        <w:t xml:space="preserve"> and 10</w:t>
      </w:r>
      <w:r w:rsidRPr="000B5E68">
        <w:rPr>
          <w:vertAlign w:val="superscript"/>
        </w:rPr>
        <w:t>th</w:t>
      </w:r>
      <w:r w:rsidRPr="000B5E68">
        <w:t xml:space="preserve"> graders </w:t>
      </w:r>
      <w:r w:rsidR="00F60828" w:rsidRPr="000B5E68">
        <w:t>may</w:t>
      </w:r>
      <w:r w:rsidRPr="000B5E68">
        <w:t xml:space="preserve"> have declined from 2008 levels.</w:t>
      </w:r>
    </w:p>
    <w:p w:rsidR="00C60926" w:rsidRPr="00C60926" w:rsidRDefault="00C60926" w:rsidP="00C60926"/>
    <w:p w:rsidR="00C60926" w:rsidRPr="00EF018C" w:rsidRDefault="00C60926" w:rsidP="00C60926">
      <w:r w:rsidRPr="00EF018C">
        <w:t xml:space="preserve">Statewide, </w:t>
      </w:r>
      <w:r w:rsidR="00A53147" w:rsidRPr="00EF018C">
        <w:t>5</w:t>
      </w:r>
      <w:r w:rsidRPr="00EF018C">
        <w:t xml:space="preserve"> percent of 8</w:t>
      </w:r>
      <w:r w:rsidRPr="00EF018C">
        <w:rPr>
          <w:vertAlign w:val="superscript"/>
        </w:rPr>
        <w:t>th</w:t>
      </w:r>
      <w:r w:rsidRPr="00EF018C">
        <w:t xml:space="preserve"> grade students used </w:t>
      </w:r>
      <w:r w:rsidRPr="00EF018C">
        <w:rPr>
          <w:b/>
        </w:rPr>
        <w:t>marijuana</w:t>
      </w:r>
      <w:r w:rsidR="000B5E68" w:rsidRPr="00EF018C">
        <w:t xml:space="preserve"> in the past 30 days</w:t>
      </w:r>
      <w:r w:rsidRPr="00EF018C">
        <w:t>, based on the 2012 CCYS survey. Among 10</w:t>
      </w:r>
      <w:r w:rsidRPr="00EF018C">
        <w:rPr>
          <w:vertAlign w:val="superscript"/>
        </w:rPr>
        <w:t>th</w:t>
      </w:r>
      <w:r w:rsidRPr="00EF018C">
        <w:t xml:space="preserve"> grade students, </w:t>
      </w:r>
      <w:r w:rsidR="00A53147" w:rsidRPr="00EF018C">
        <w:t>11</w:t>
      </w:r>
      <w:r w:rsidRPr="00EF018C">
        <w:t xml:space="preserve"> percent used marijuana</w:t>
      </w:r>
      <w:r w:rsidR="000B5E68" w:rsidRPr="00EF018C">
        <w:t xml:space="preserve"> in the past 30 days</w:t>
      </w:r>
      <w:r w:rsidRPr="00EF018C">
        <w:t xml:space="preserve">. </w:t>
      </w:r>
      <w:r w:rsidR="00A53147" w:rsidRPr="00EF018C">
        <w:t>Current</w:t>
      </w:r>
      <w:r w:rsidRPr="00EF018C">
        <w:t xml:space="preserve"> marijuana use remained at </w:t>
      </w:r>
      <w:r w:rsidR="00A53147" w:rsidRPr="00EF018C">
        <w:t xml:space="preserve">about </w:t>
      </w:r>
      <w:r w:rsidRPr="00EF018C">
        <w:t>the 2008 level (</w:t>
      </w:r>
      <w:r w:rsidR="00A53147" w:rsidRPr="00EF018C">
        <w:t>4</w:t>
      </w:r>
      <w:r w:rsidRPr="00EF018C">
        <w:t>%) for 8</w:t>
      </w:r>
      <w:r w:rsidRPr="00EF018C">
        <w:rPr>
          <w:vertAlign w:val="superscript"/>
        </w:rPr>
        <w:t>th</w:t>
      </w:r>
      <w:r w:rsidRPr="00EF018C">
        <w:t xml:space="preserve"> graders but increased</w:t>
      </w:r>
      <w:r w:rsidR="00A53147" w:rsidRPr="00EF018C">
        <w:t xml:space="preserve"> slightly</w:t>
      </w:r>
      <w:r w:rsidRPr="00EF018C">
        <w:t xml:space="preserve"> among 10</w:t>
      </w:r>
      <w:r w:rsidRPr="00EF018C">
        <w:rPr>
          <w:vertAlign w:val="superscript"/>
        </w:rPr>
        <w:t>th</w:t>
      </w:r>
      <w:r w:rsidRPr="00EF018C">
        <w:t xml:space="preserve"> graders (from </w:t>
      </w:r>
      <w:r w:rsidR="00A53147" w:rsidRPr="00EF018C">
        <w:t>9</w:t>
      </w:r>
      <w:r w:rsidRPr="00EF018C">
        <w:t xml:space="preserve"> to </w:t>
      </w:r>
      <w:r w:rsidR="00A53147" w:rsidRPr="00EF018C">
        <w:t>11</w:t>
      </w:r>
      <w:r w:rsidRPr="00EF018C">
        <w:t xml:space="preserve"> percent).</w:t>
      </w:r>
    </w:p>
    <w:p w:rsidR="00C60926" w:rsidRPr="00EF018C" w:rsidRDefault="00C60926" w:rsidP="00C60926"/>
    <w:p w:rsidR="00C60926" w:rsidRPr="00EF018C" w:rsidRDefault="00C60926" w:rsidP="00C60926">
      <w:r w:rsidRPr="00EF018C">
        <w:t xml:space="preserve">In Greater New Orleans, </w:t>
      </w:r>
      <w:r w:rsidRPr="00EF018C">
        <w:rPr>
          <w:i/>
        </w:rPr>
        <w:t>about</w:t>
      </w:r>
      <w:r w:rsidRPr="00EF018C">
        <w:t xml:space="preserve"> </w:t>
      </w:r>
      <w:r w:rsidR="00A53147" w:rsidRPr="00EF018C">
        <w:t>7</w:t>
      </w:r>
      <w:r w:rsidRPr="00EF018C">
        <w:t xml:space="preserve"> percent of 8</w:t>
      </w:r>
      <w:r w:rsidRPr="00EF018C">
        <w:rPr>
          <w:vertAlign w:val="superscript"/>
        </w:rPr>
        <w:t>th</w:t>
      </w:r>
      <w:r w:rsidRPr="00EF018C">
        <w:t xml:space="preserve"> grade students </w:t>
      </w:r>
      <w:r w:rsidR="000B5E68" w:rsidRPr="00EF018C">
        <w:t xml:space="preserve">used </w:t>
      </w:r>
      <w:r w:rsidR="000B5E68" w:rsidRPr="00EF018C">
        <w:rPr>
          <w:b/>
        </w:rPr>
        <w:t>marijuana</w:t>
      </w:r>
      <w:r w:rsidR="000B5E68" w:rsidRPr="00EF018C">
        <w:t xml:space="preserve"> in the past 30 days</w:t>
      </w:r>
      <w:r w:rsidRPr="00EF018C">
        <w:t>, based on the 2012 CCYS survey. Among 10</w:t>
      </w:r>
      <w:r w:rsidRPr="00EF018C">
        <w:rPr>
          <w:vertAlign w:val="superscript"/>
        </w:rPr>
        <w:t>th</w:t>
      </w:r>
      <w:r w:rsidRPr="00EF018C">
        <w:t xml:space="preserve"> grade students, </w:t>
      </w:r>
      <w:r w:rsidRPr="00EF018C">
        <w:rPr>
          <w:i/>
        </w:rPr>
        <w:t>about</w:t>
      </w:r>
      <w:r w:rsidRPr="00EF018C">
        <w:t xml:space="preserve"> </w:t>
      </w:r>
      <w:r w:rsidR="00A53147" w:rsidRPr="00EF018C">
        <w:t>10</w:t>
      </w:r>
      <w:r w:rsidRPr="00EF018C">
        <w:t xml:space="preserve"> percent </w:t>
      </w:r>
      <w:r w:rsidR="000B5E68" w:rsidRPr="00EF018C">
        <w:t>used marijuana in the past 30 days</w:t>
      </w:r>
      <w:r w:rsidRPr="00EF018C">
        <w:t xml:space="preserve">. </w:t>
      </w:r>
      <w:r w:rsidR="000B5E68" w:rsidRPr="00EF018C">
        <w:t>Current</w:t>
      </w:r>
      <w:r w:rsidRPr="00EF018C">
        <w:t xml:space="preserve"> marijuana use appears to have </w:t>
      </w:r>
      <w:r w:rsidRPr="00EF018C">
        <w:rPr>
          <w:i/>
        </w:rPr>
        <w:t>increased</w:t>
      </w:r>
      <w:r w:rsidR="00A53147" w:rsidRPr="00EF018C">
        <w:t xml:space="preserve"> from 2008 levels</w:t>
      </w:r>
      <w:r w:rsidRPr="00EF018C">
        <w:t>.</w:t>
      </w:r>
    </w:p>
    <w:p w:rsidR="00C60926" w:rsidRPr="00EF018C" w:rsidRDefault="00C60926" w:rsidP="00C60926"/>
    <w:p w:rsidR="00C60926" w:rsidRPr="00C60926" w:rsidRDefault="00C60926" w:rsidP="00C60926">
      <w:r w:rsidRPr="00EF018C">
        <w:t xml:space="preserve">Overall, the trends in </w:t>
      </w:r>
      <w:r w:rsidR="00A53147" w:rsidRPr="00EF018C">
        <w:t>current use of</w:t>
      </w:r>
      <w:r w:rsidRPr="00EF018C">
        <w:t xml:space="preserve"> the major “gateway” drugs from 2008 to 2012 are mixed. </w:t>
      </w:r>
      <w:r w:rsidR="00A53147" w:rsidRPr="00EF018C">
        <w:t>Current</w:t>
      </w:r>
      <w:r w:rsidRPr="00EF018C">
        <w:t xml:space="preserve"> use of alcohol and cigarettes among 8</w:t>
      </w:r>
      <w:r w:rsidRPr="00EF018C">
        <w:rPr>
          <w:vertAlign w:val="superscript"/>
        </w:rPr>
        <w:t>th</w:t>
      </w:r>
      <w:r w:rsidRPr="00EF018C">
        <w:t xml:space="preserve"> and 10</w:t>
      </w:r>
      <w:r w:rsidRPr="00EF018C">
        <w:rPr>
          <w:vertAlign w:val="superscript"/>
        </w:rPr>
        <w:t>th</w:t>
      </w:r>
      <w:r w:rsidRPr="00EF018C">
        <w:t xml:space="preserve"> grade students has declined at the state level </w:t>
      </w:r>
      <w:r w:rsidR="00A53147" w:rsidRPr="00EF018C">
        <w:t xml:space="preserve">and appears to have declined </w:t>
      </w:r>
      <w:r w:rsidRPr="00EF018C">
        <w:t xml:space="preserve">as well as for Greater New Orleans. However, unlike alcohol and cigarettes, </w:t>
      </w:r>
      <w:r w:rsidR="00A53147" w:rsidRPr="00EF018C">
        <w:t>current</w:t>
      </w:r>
      <w:r w:rsidRPr="00EF018C">
        <w:t xml:space="preserve"> marijuana use appears to have increased among </w:t>
      </w:r>
      <w:r w:rsidR="00A53147" w:rsidRPr="00EF018C">
        <w:t>8</w:t>
      </w:r>
      <w:r w:rsidR="00A53147" w:rsidRPr="00EF018C">
        <w:rPr>
          <w:vertAlign w:val="superscript"/>
        </w:rPr>
        <w:t>th</w:t>
      </w:r>
      <w:r w:rsidR="00A53147" w:rsidRPr="00EF018C">
        <w:t xml:space="preserve"> and </w:t>
      </w:r>
      <w:r w:rsidRPr="00EF018C">
        <w:t>10</w:t>
      </w:r>
      <w:r w:rsidRPr="00EF018C">
        <w:rPr>
          <w:vertAlign w:val="superscript"/>
        </w:rPr>
        <w:t>th</w:t>
      </w:r>
      <w:r w:rsidRPr="00EF018C">
        <w:t xml:space="preserve"> grade students from 2008 to 2012.</w:t>
      </w:r>
    </w:p>
    <w:p w:rsidR="00C60926" w:rsidRPr="00C60926" w:rsidRDefault="00C60926" w:rsidP="00C60926"/>
    <w:p w:rsidR="00C60926" w:rsidRPr="00C60926" w:rsidRDefault="00C60926" w:rsidP="00C60926">
      <w:pPr>
        <w:rPr>
          <w:u w:val="single"/>
        </w:rPr>
      </w:pPr>
      <w:r>
        <w:rPr>
          <w:u w:val="single"/>
        </w:rPr>
        <w:t>Current</w:t>
      </w:r>
      <w:r w:rsidRPr="00C60926">
        <w:rPr>
          <w:u w:val="single"/>
        </w:rPr>
        <w:t xml:space="preserve"> Use of Other Illicit Drugs</w:t>
      </w:r>
    </w:p>
    <w:p w:rsidR="00C60926" w:rsidRPr="00C60926" w:rsidRDefault="00C60926" w:rsidP="00C60926"/>
    <w:p w:rsidR="00C60926" w:rsidRPr="00B331BD" w:rsidRDefault="003D7C6C" w:rsidP="00C60926">
      <w:r w:rsidRPr="00B331BD">
        <w:lastRenderedPageBreak/>
        <w:t xml:space="preserve">The table below </w:t>
      </w:r>
      <w:r w:rsidR="00C60926" w:rsidRPr="00B331BD">
        <w:t xml:space="preserve">presents </w:t>
      </w:r>
      <w:r w:rsidRPr="00B331BD">
        <w:t>current</w:t>
      </w:r>
      <w:r w:rsidR="00C60926" w:rsidRPr="00B331BD">
        <w:t xml:space="preserve"> use rates for other illicit drugs including: prescription stimulants, sedatives and opiates used without a doctor’s order, cocaine, methamphetamine, heroin and ecstasy. The rates of </w:t>
      </w:r>
      <w:r w:rsidRPr="00B331BD">
        <w:t>current</w:t>
      </w:r>
      <w:r w:rsidR="00C60926" w:rsidRPr="00B331BD">
        <w:t xml:space="preserve"> use for these substances are lower than for alcohol, cigarettes or marijuana. While </w:t>
      </w:r>
      <w:r w:rsidR="00660A08" w:rsidRPr="00B331BD">
        <w:t xml:space="preserve">the prevalence rates are small and </w:t>
      </w:r>
      <w:r w:rsidR="00C60926" w:rsidRPr="00B331BD">
        <w:t xml:space="preserve">no particular </w:t>
      </w:r>
      <w:r w:rsidR="00660A08" w:rsidRPr="00B331BD">
        <w:t>change</w:t>
      </w:r>
      <w:r w:rsidR="00C60926" w:rsidRPr="00B331BD">
        <w:t xml:space="preserve"> may be statistically significant, </w:t>
      </w:r>
      <w:r w:rsidR="00C60926" w:rsidRPr="00B331BD">
        <w:rPr>
          <w:i/>
        </w:rPr>
        <w:t xml:space="preserve">the statewide </w:t>
      </w:r>
      <w:r w:rsidRPr="00B331BD">
        <w:rPr>
          <w:i/>
        </w:rPr>
        <w:t>current</w:t>
      </w:r>
      <w:r w:rsidR="00C60926" w:rsidRPr="00B331BD">
        <w:rPr>
          <w:i/>
        </w:rPr>
        <w:t xml:space="preserve"> use rates for these substances </w:t>
      </w:r>
      <w:r w:rsidR="00660A08" w:rsidRPr="00B331BD">
        <w:rPr>
          <w:i/>
        </w:rPr>
        <w:t>consistently</w:t>
      </w:r>
      <w:r w:rsidR="00C60926" w:rsidRPr="00B331BD">
        <w:rPr>
          <w:i/>
        </w:rPr>
        <w:t xml:space="preserve"> decline from 2008 to 2012.</w:t>
      </w:r>
      <w:r w:rsidR="00C60926" w:rsidRPr="00B331BD">
        <w:t xml:space="preserve"> </w:t>
      </w:r>
    </w:p>
    <w:p w:rsidR="00B72277" w:rsidRDefault="00B72277" w:rsidP="000F7581"/>
    <w:tbl>
      <w:tblPr>
        <w:tblStyle w:val="TableGrid"/>
        <w:tblW w:w="0" w:type="auto"/>
        <w:jc w:val="center"/>
        <w:tblLayout w:type="fixed"/>
        <w:tblCellMar>
          <w:left w:w="72" w:type="dxa"/>
          <w:right w:w="43" w:type="dxa"/>
        </w:tblCellMar>
        <w:tblLook w:val="04A0" w:firstRow="1" w:lastRow="0" w:firstColumn="1" w:lastColumn="0" w:noHBand="0" w:noVBand="1"/>
      </w:tblPr>
      <w:tblGrid>
        <w:gridCol w:w="1188"/>
        <w:gridCol w:w="1170"/>
        <w:gridCol w:w="918"/>
        <w:gridCol w:w="918"/>
        <w:gridCol w:w="918"/>
        <w:gridCol w:w="918"/>
        <w:gridCol w:w="918"/>
        <w:gridCol w:w="918"/>
      </w:tblGrid>
      <w:tr w:rsidR="00B72277" w:rsidRPr="00790B52" w:rsidTr="00B72277">
        <w:trPr>
          <w:trHeight w:val="260"/>
          <w:jc w:val="center"/>
        </w:trPr>
        <w:tc>
          <w:tcPr>
            <w:tcW w:w="7866" w:type="dxa"/>
            <w:gridSpan w:val="8"/>
            <w:vAlign w:val="center"/>
          </w:tcPr>
          <w:p w:rsidR="00B72277" w:rsidRPr="00935877" w:rsidRDefault="00B72277" w:rsidP="00B72277">
            <w:pPr>
              <w:jc w:val="center"/>
              <w:rPr>
                <w:b/>
                <w:sz w:val="20"/>
              </w:rPr>
            </w:pPr>
            <w:r w:rsidRPr="00935877">
              <w:rPr>
                <w:b/>
                <w:sz w:val="20"/>
              </w:rPr>
              <w:t>Percentage of 8th and 10th Grade Students Who Have Used</w:t>
            </w:r>
          </w:p>
          <w:p w:rsidR="00B72277" w:rsidRPr="00935877" w:rsidRDefault="00B72277" w:rsidP="00B72277">
            <w:pPr>
              <w:jc w:val="center"/>
              <w:rPr>
                <w:b/>
                <w:sz w:val="20"/>
              </w:rPr>
            </w:pPr>
            <w:r>
              <w:rPr>
                <w:b/>
                <w:sz w:val="20"/>
              </w:rPr>
              <w:t>Prescription Medications in the Past 30 Days</w:t>
            </w:r>
            <w:r w:rsidRPr="00935877">
              <w:rPr>
                <w:b/>
                <w:sz w:val="20"/>
              </w:rPr>
              <w:t xml:space="preserve"> by Parish, Caring Communities</w:t>
            </w:r>
          </w:p>
          <w:p w:rsidR="00B72277" w:rsidRPr="00790B52" w:rsidRDefault="00B72277" w:rsidP="00B72277">
            <w:pPr>
              <w:jc w:val="center"/>
              <w:rPr>
                <w:b/>
                <w:sz w:val="20"/>
                <w:highlight w:val="yellow"/>
              </w:rPr>
            </w:pPr>
            <w:r w:rsidRPr="00935877">
              <w:rPr>
                <w:b/>
                <w:sz w:val="20"/>
              </w:rPr>
              <w:t>Youth Survey, 2008, 2010 and 2012</w:t>
            </w:r>
          </w:p>
        </w:tc>
      </w:tr>
      <w:tr w:rsidR="00B72277" w:rsidRPr="00790B52" w:rsidTr="00B72277">
        <w:trPr>
          <w:trHeight w:val="260"/>
          <w:jc w:val="center"/>
        </w:trPr>
        <w:tc>
          <w:tcPr>
            <w:tcW w:w="1188" w:type="dxa"/>
            <w:vMerge w:val="restart"/>
            <w:vAlign w:val="center"/>
          </w:tcPr>
          <w:p w:rsidR="00B72277" w:rsidRPr="00790B52" w:rsidRDefault="00B72277" w:rsidP="00B72277">
            <w:pPr>
              <w:jc w:val="center"/>
              <w:rPr>
                <w:b/>
                <w:sz w:val="20"/>
              </w:rPr>
            </w:pPr>
            <w:r>
              <w:rPr>
                <w:b/>
                <w:sz w:val="20"/>
              </w:rPr>
              <w:t>Current</w:t>
            </w:r>
          </w:p>
          <w:p w:rsidR="00B72277" w:rsidRPr="00790B52" w:rsidRDefault="00B72277" w:rsidP="00B72277">
            <w:pPr>
              <w:jc w:val="center"/>
              <w:rPr>
                <w:b/>
                <w:sz w:val="20"/>
              </w:rPr>
            </w:pPr>
            <w:r w:rsidRPr="00790B52">
              <w:rPr>
                <w:b/>
                <w:sz w:val="20"/>
              </w:rPr>
              <w:t>Use</w:t>
            </w:r>
          </w:p>
        </w:tc>
        <w:tc>
          <w:tcPr>
            <w:tcW w:w="1170" w:type="dxa"/>
            <w:vMerge w:val="restart"/>
            <w:vAlign w:val="center"/>
          </w:tcPr>
          <w:p w:rsidR="00B72277" w:rsidRPr="00790B52" w:rsidRDefault="00B72277" w:rsidP="00B72277">
            <w:pPr>
              <w:jc w:val="center"/>
              <w:rPr>
                <w:b/>
                <w:sz w:val="20"/>
              </w:rPr>
            </w:pPr>
            <w:r w:rsidRPr="00790B52">
              <w:rPr>
                <w:b/>
                <w:sz w:val="20"/>
              </w:rPr>
              <w:t>Parish</w:t>
            </w:r>
          </w:p>
        </w:tc>
        <w:tc>
          <w:tcPr>
            <w:tcW w:w="2754" w:type="dxa"/>
            <w:gridSpan w:val="3"/>
            <w:vAlign w:val="center"/>
          </w:tcPr>
          <w:p w:rsidR="00B72277" w:rsidRPr="00790B52" w:rsidRDefault="00B72277" w:rsidP="00B72277">
            <w:pPr>
              <w:jc w:val="center"/>
              <w:rPr>
                <w:b/>
                <w:sz w:val="20"/>
              </w:rPr>
            </w:pPr>
            <w:r w:rsidRPr="00790B52">
              <w:rPr>
                <w:b/>
                <w:sz w:val="20"/>
                <w:highlight w:val="yellow"/>
              </w:rPr>
              <w:t>8</w:t>
            </w:r>
            <w:r w:rsidRPr="00790B52">
              <w:rPr>
                <w:b/>
                <w:sz w:val="20"/>
                <w:highlight w:val="yellow"/>
                <w:vertAlign w:val="superscript"/>
              </w:rPr>
              <w:t>th</w:t>
            </w:r>
            <w:r w:rsidRPr="00790B52">
              <w:rPr>
                <w:b/>
                <w:sz w:val="20"/>
              </w:rPr>
              <w:t xml:space="preserve"> Grade</w:t>
            </w:r>
          </w:p>
        </w:tc>
        <w:tc>
          <w:tcPr>
            <w:tcW w:w="2754" w:type="dxa"/>
            <w:gridSpan w:val="3"/>
          </w:tcPr>
          <w:p w:rsidR="00B72277" w:rsidRPr="00790B52" w:rsidRDefault="00B72277" w:rsidP="00B72277">
            <w:pPr>
              <w:jc w:val="center"/>
              <w:rPr>
                <w:b/>
                <w:sz w:val="20"/>
                <w:highlight w:val="yellow"/>
              </w:rPr>
            </w:pPr>
            <w:r w:rsidRPr="00790B52">
              <w:rPr>
                <w:b/>
                <w:sz w:val="20"/>
                <w:highlight w:val="yellow"/>
              </w:rPr>
              <w:t>10</w:t>
            </w:r>
            <w:r w:rsidRPr="00790B52">
              <w:rPr>
                <w:b/>
                <w:sz w:val="20"/>
                <w:highlight w:val="yellow"/>
                <w:vertAlign w:val="superscript"/>
              </w:rPr>
              <w:t>th</w:t>
            </w:r>
            <w:r w:rsidRPr="00790B52">
              <w:rPr>
                <w:b/>
                <w:sz w:val="20"/>
              </w:rPr>
              <w:t xml:space="preserve"> Grade</w:t>
            </w:r>
          </w:p>
        </w:tc>
      </w:tr>
      <w:tr w:rsidR="00B72277" w:rsidRPr="00790B52" w:rsidTr="00B72277">
        <w:trPr>
          <w:trHeight w:val="296"/>
          <w:jc w:val="center"/>
        </w:trPr>
        <w:tc>
          <w:tcPr>
            <w:tcW w:w="1188" w:type="dxa"/>
            <w:vMerge/>
            <w:vAlign w:val="center"/>
          </w:tcPr>
          <w:p w:rsidR="00B72277" w:rsidRPr="00790B52" w:rsidRDefault="00B72277" w:rsidP="00B72277">
            <w:pPr>
              <w:jc w:val="center"/>
              <w:rPr>
                <w:b/>
                <w:sz w:val="20"/>
              </w:rPr>
            </w:pPr>
          </w:p>
        </w:tc>
        <w:tc>
          <w:tcPr>
            <w:tcW w:w="1170" w:type="dxa"/>
            <w:vMerge/>
            <w:tcBorders>
              <w:bottom w:val="single" w:sz="4" w:space="0" w:color="auto"/>
            </w:tcBorders>
            <w:vAlign w:val="center"/>
          </w:tcPr>
          <w:p w:rsidR="00B72277" w:rsidRPr="00790B52" w:rsidRDefault="00B72277" w:rsidP="00B72277">
            <w:pPr>
              <w:jc w:val="center"/>
              <w:rPr>
                <w:b/>
                <w:sz w:val="20"/>
              </w:rPr>
            </w:pPr>
          </w:p>
        </w:tc>
        <w:tc>
          <w:tcPr>
            <w:tcW w:w="918" w:type="dxa"/>
            <w:tcBorders>
              <w:bottom w:val="single" w:sz="4" w:space="0" w:color="auto"/>
            </w:tcBorders>
            <w:vAlign w:val="center"/>
          </w:tcPr>
          <w:p w:rsidR="00B72277" w:rsidRPr="00790B52" w:rsidRDefault="00B72277" w:rsidP="00B72277">
            <w:pPr>
              <w:jc w:val="center"/>
              <w:rPr>
                <w:b/>
                <w:sz w:val="20"/>
              </w:rPr>
            </w:pPr>
            <w:r w:rsidRPr="00790B52">
              <w:rPr>
                <w:b/>
                <w:sz w:val="20"/>
              </w:rPr>
              <w:t>2008</w:t>
            </w:r>
          </w:p>
        </w:tc>
        <w:tc>
          <w:tcPr>
            <w:tcW w:w="918" w:type="dxa"/>
            <w:tcBorders>
              <w:bottom w:val="single" w:sz="4" w:space="0" w:color="auto"/>
            </w:tcBorders>
            <w:vAlign w:val="center"/>
          </w:tcPr>
          <w:p w:rsidR="00B72277" w:rsidRPr="00790B52" w:rsidRDefault="00B72277" w:rsidP="00B72277">
            <w:pPr>
              <w:jc w:val="center"/>
              <w:rPr>
                <w:b/>
                <w:sz w:val="20"/>
              </w:rPr>
            </w:pPr>
            <w:r w:rsidRPr="00790B52">
              <w:rPr>
                <w:b/>
                <w:sz w:val="20"/>
              </w:rPr>
              <w:t>2010</w:t>
            </w:r>
          </w:p>
        </w:tc>
        <w:tc>
          <w:tcPr>
            <w:tcW w:w="918" w:type="dxa"/>
            <w:tcBorders>
              <w:bottom w:val="single" w:sz="4" w:space="0" w:color="auto"/>
            </w:tcBorders>
            <w:vAlign w:val="center"/>
          </w:tcPr>
          <w:p w:rsidR="00B72277" w:rsidRPr="00790B52" w:rsidRDefault="00B72277" w:rsidP="00B72277">
            <w:pPr>
              <w:jc w:val="center"/>
              <w:rPr>
                <w:b/>
                <w:sz w:val="20"/>
              </w:rPr>
            </w:pPr>
            <w:r w:rsidRPr="00790B52">
              <w:rPr>
                <w:b/>
                <w:sz w:val="20"/>
              </w:rPr>
              <w:t>2012</w:t>
            </w:r>
          </w:p>
        </w:tc>
        <w:tc>
          <w:tcPr>
            <w:tcW w:w="918" w:type="dxa"/>
            <w:tcBorders>
              <w:bottom w:val="single" w:sz="4" w:space="0" w:color="auto"/>
            </w:tcBorders>
            <w:vAlign w:val="center"/>
          </w:tcPr>
          <w:p w:rsidR="00B72277" w:rsidRPr="00790B52" w:rsidRDefault="00B72277" w:rsidP="00B72277">
            <w:pPr>
              <w:jc w:val="center"/>
              <w:rPr>
                <w:b/>
                <w:sz w:val="20"/>
              </w:rPr>
            </w:pPr>
            <w:r w:rsidRPr="00790B52">
              <w:rPr>
                <w:b/>
                <w:sz w:val="20"/>
              </w:rPr>
              <w:t>2008</w:t>
            </w:r>
          </w:p>
        </w:tc>
        <w:tc>
          <w:tcPr>
            <w:tcW w:w="918" w:type="dxa"/>
            <w:tcBorders>
              <w:bottom w:val="single" w:sz="4" w:space="0" w:color="auto"/>
            </w:tcBorders>
            <w:vAlign w:val="center"/>
          </w:tcPr>
          <w:p w:rsidR="00B72277" w:rsidRPr="00790B52" w:rsidRDefault="00B72277" w:rsidP="00B72277">
            <w:pPr>
              <w:jc w:val="center"/>
              <w:rPr>
                <w:b/>
                <w:sz w:val="20"/>
              </w:rPr>
            </w:pPr>
            <w:r w:rsidRPr="00790B52">
              <w:rPr>
                <w:b/>
                <w:sz w:val="20"/>
              </w:rPr>
              <w:t>2010</w:t>
            </w:r>
          </w:p>
        </w:tc>
        <w:tc>
          <w:tcPr>
            <w:tcW w:w="918" w:type="dxa"/>
            <w:tcBorders>
              <w:bottom w:val="single" w:sz="4" w:space="0" w:color="auto"/>
            </w:tcBorders>
            <w:vAlign w:val="center"/>
          </w:tcPr>
          <w:p w:rsidR="00B72277" w:rsidRPr="00790B52" w:rsidRDefault="00B72277" w:rsidP="00B72277">
            <w:pPr>
              <w:jc w:val="center"/>
              <w:rPr>
                <w:b/>
                <w:sz w:val="20"/>
              </w:rPr>
            </w:pPr>
            <w:r w:rsidRPr="00790B52">
              <w:rPr>
                <w:b/>
                <w:sz w:val="20"/>
              </w:rPr>
              <w:t>2012</w:t>
            </w:r>
          </w:p>
        </w:tc>
      </w:tr>
      <w:tr w:rsidR="00B72277" w:rsidRPr="00790B52" w:rsidTr="00B72277">
        <w:trPr>
          <w:jc w:val="center"/>
        </w:trPr>
        <w:tc>
          <w:tcPr>
            <w:tcW w:w="1188" w:type="dxa"/>
            <w:vMerge w:val="restart"/>
            <w:vAlign w:val="center"/>
          </w:tcPr>
          <w:p w:rsidR="00B72277" w:rsidRPr="00790B52" w:rsidRDefault="00B72277" w:rsidP="00B72277">
            <w:pPr>
              <w:rPr>
                <w:sz w:val="20"/>
              </w:rPr>
            </w:pPr>
            <w:r w:rsidRPr="00790B52">
              <w:rPr>
                <w:sz w:val="20"/>
              </w:rPr>
              <w:t>Stimulants w/o Rx</w:t>
            </w:r>
          </w:p>
        </w:tc>
        <w:tc>
          <w:tcPr>
            <w:tcW w:w="1170" w:type="dxa"/>
            <w:tcBorders>
              <w:bottom w:val="nil"/>
            </w:tcBorders>
            <w:vAlign w:val="center"/>
          </w:tcPr>
          <w:p w:rsidR="00B72277" w:rsidRPr="00790B52" w:rsidRDefault="00B72277" w:rsidP="00B72277">
            <w:pPr>
              <w:rPr>
                <w:sz w:val="20"/>
              </w:rPr>
            </w:pPr>
            <w:r w:rsidRPr="00790B52">
              <w:rPr>
                <w:sz w:val="20"/>
              </w:rPr>
              <w:t>Orleans</w:t>
            </w:r>
          </w:p>
        </w:tc>
        <w:tc>
          <w:tcPr>
            <w:tcW w:w="918" w:type="dxa"/>
            <w:tcBorders>
              <w:bottom w:val="nil"/>
            </w:tcBorders>
            <w:vAlign w:val="center"/>
          </w:tcPr>
          <w:p w:rsidR="00B72277" w:rsidRPr="00D44F37" w:rsidRDefault="00B72277" w:rsidP="00B72277">
            <w:pPr>
              <w:jc w:val="center"/>
              <w:rPr>
                <w:sz w:val="20"/>
              </w:rPr>
            </w:pPr>
            <w:r w:rsidRPr="00D44F37">
              <w:rPr>
                <w:sz w:val="20"/>
              </w:rPr>
              <w:t>0.3</w:t>
            </w:r>
            <w:r w:rsidRPr="004B6598">
              <w:rPr>
                <w:sz w:val="20"/>
              </w:rPr>
              <w:t>#</w:t>
            </w:r>
          </w:p>
        </w:tc>
        <w:tc>
          <w:tcPr>
            <w:tcW w:w="918" w:type="dxa"/>
            <w:tcBorders>
              <w:bottom w:val="nil"/>
            </w:tcBorders>
            <w:vAlign w:val="center"/>
          </w:tcPr>
          <w:p w:rsidR="00B72277" w:rsidRPr="00D44F37" w:rsidRDefault="00B72277" w:rsidP="00B72277">
            <w:pPr>
              <w:jc w:val="center"/>
              <w:rPr>
                <w:sz w:val="20"/>
              </w:rPr>
            </w:pPr>
            <w:r w:rsidRPr="00D44F37">
              <w:rPr>
                <w:sz w:val="20"/>
              </w:rPr>
              <w:t>-</w:t>
            </w:r>
          </w:p>
        </w:tc>
        <w:tc>
          <w:tcPr>
            <w:tcW w:w="918" w:type="dxa"/>
            <w:tcBorders>
              <w:bottom w:val="nil"/>
            </w:tcBorders>
            <w:vAlign w:val="center"/>
          </w:tcPr>
          <w:p w:rsidR="00B72277" w:rsidRPr="00D44F37" w:rsidRDefault="00B72277" w:rsidP="00B72277">
            <w:pPr>
              <w:jc w:val="center"/>
              <w:rPr>
                <w:sz w:val="20"/>
              </w:rPr>
            </w:pPr>
            <w:r w:rsidRPr="00D44F37">
              <w:rPr>
                <w:sz w:val="20"/>
              </w:rPr>
              <w:t>0.6</w:t>
            </w:r>
            <w:r w:rsidRPr="004B6598">
              <w:rPr>
                <w:sz w:val="20"/>
              </w:rPr>
              <w:t>#</w:t>
            </w:r>
          </w:p>
        </w:tc>
        <w:tc>
          <w:tcPr>
            <w:tcW w:w="918" w:type="dxa"/>
            <w:tcBorders>
              <w:bottom w:val="nil"/>
            </w:tcBorders>
            <w:vAlign w:val="center"/>
          </w:tcPr>
          <w:p w:rsidR="00B72277" w:rsidRPr="00D44F37" w:rsidRDefault="00B72277" w:rsidP="00B72277">
            <w:pPr>
              <w:jc w:val="center"/>
              <w:rPr>
                <w:sz w:val="20"/>
              </w:rPr>
            </w:pPr>
            <w:r w:rsidRPr="00D44F37">
              <w:rPr>
                <w:sz w:val="20"/>
              </w:rPr>
              <w:t>0.6</w:t>
            </w:r>
            <w:r w:rsidRPr="004B6598">
              <w:rPr>
                <w:sz w:val="20"/>
              </w:rPr>
              <w:t>#</w:t>
            </w:r>
          </w:p>
        </w:tc>
        <w:tc>
          <w:tcPr>
            <w:tcW w:w="918" w:type="dxa"/>
            <w:tcBorders>
              <w:bottom w:val="nil"/>
            </w:tcBorders>
            <w:vAlign w:val="center"/>
          </w:tcPr>
          <w:p w:rsidR="00B72277" w:rsidRPr="00D44F37" w:rsidRDefault="00B72277" w:rsidP="00B72277">
            <w:pPr>
              <w:jc w:val="center"/>
              <w:rPr>
                <w:sz w:val="20"/>
              </w:rPr>
            </w:pPr>
            <w:r w:rsidRPr="00D44F37">
              <w:rPr>
                <w:sz w:val="20"/>
              </w:rPr>
              <w:t>-</w:t>
            </w:r>
          </w:p>
        </w:tc>
        <w:tc>
          <w:tcPr>
            <w:tcW w:w="918" w:type="dxa"/>
            <w:tcBorders>
              <w:bottom w:val="nil"/>
            </w:tcBorders>
            <w:vAlign w:val="center"/>
          </w:tcPr>
          <w:p w:rsidR="00B72277" w:rsidRPr="00D44F37" w:rsidRDefault="00B72277" w:rsidP="00B72277">
            <w:pPr>
              <w:jc w:val="center"/>
              <w:rPr>
                <w:sz w:val="20"/>
              </w:rPr>
            </w:pPr>
            <w:r w:rsidRPr="00D44F37">
              <w:rPr>
                <w:sz w:val="20"/>
              </w:rPr>
              <w:t>0.5</w:t>
            </w:r>
            <w:r w:rsidRPr="004B6598">
              <w:rPr>
                <w:sz w:val="20"/>
              </w:rPr>
              <w:t>#</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nil"/>
            </w:tcBorders>
            <w:vAlign w:val="center"/>
          </w:tcPr>
          <w:p w:rsidR="00B72277" w:rsidRPr="00790B52" w:rsidRDefault="00B72277" w:rsidP="00B72277">
            <w:pPr>
              <w:rPr>
                <w:sz w:val="20"/>
              </w:rPr>
            </w:pPr>
            <w:r w:rsidRPr="00790B52">
              <w:rPr>
                <w:sz w:val="20"/>
              </w:rPr>
              <w:t>Jefferson</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0.9</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0.6</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0.4</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1.3</w:t>
            </w:r>
            <w:r w:rsidRPr="006C6064">
              <w:rPr>
                <w:sz w:val="20"/>
              </w:rPr>
              <w:t>*</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1.8</w:t>
            </w:r>
            <w:r w:rsidRPr="006C6064">
              <w:rPr>
                <w:sz w:val="20"/>
              </w:rPr>
              <w:t>*</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1.4</w:t>
            </w:r>
            <w:r w:rsidRPr="006C6064">
              <w:rPr>
                <w:sz w:val="20"/>
              </w:rPr>
              <w:t>*</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nil"/>
            </w:tcBorders>
            <w:vAlign w:val="center"/>
          </w:tcPr>
          <w:p w:rsidR="00B72277" w:rsidRPr="00790B52" w:rsidRDefault="00B72277" w:rsidP="00B72277">
            <w:pPr>
              <w:rPr>
                <w:sz w:val="20"/>
              </w:rPr>
            </w:pPr>
            <w:r w:rsidRPr="00790B52">
              <w:rPr>
                <w:sz w:val="20"/>
              </w:rPr>
              <w:t>Plaquemines</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1.3</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w:t>
            </w:r>
            <w:r w:rsidRPr="00976623">
              <w:rPr>
                <w:sz w:val="20"/>
              </w:rPr>
              <w:t>*</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1.3</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3.7</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0.9</w:t>
            </w:r>
            <w:r w:rsidRPr="00976623">
              <w:rPr>
                <w:sz w:val="20"/>
              </w:rPr>
              <w:t>*</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1.5</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nil"/>
            </w:tcBorders>
            <w:vAlign w:val="center"/>
          </w:tcPr>
          <w:p w:rsidR="00B72277" w:rsidRPr="00790B52" w:rsidRDefault="00B72277" w:rsidP="00B72277">
            <w:pPr>
              <w:rPr>
                <w:sz w:val="20"/>
              </w:rPr>
            </w:pPr>
            <w:r w:rsidRPr="00790B52">
              <w:rPr>
                <w:sz w:val="20"/>
              </w:rPr>
              <w:t>St. Bernard</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single" w:sz="4" w:space="0" w:color="auto"/>
            </w:tcBorders>
            <w:vAlign w:val="center"/>
          </w:tcPr>
          <w:p w:rsidR="00B72277" w:rsidRPr="00790B52" w:rsidRDefault="00B72277" w:rsidP="00B72277">
            <w:pPr>
              <w:rPr>
                <w:sz w:val="20"/>
              </w:rPr>
            </w:pPr>
            <w:r w:rsidRPr="00790B52">
              <w:rPr>
                <w:sz w:val="20"/>
              </w:rPr>
              <w:t>Statewide</w:t>
            </w:r>
          </w:p>
        </w:tc>
        <w:tc>
          <w:tcPr>
            <w:tcW w:w="918" w:type="dxa"/>
            <w:tcBorders>
              <w:top w:val="nil"/>
              <w:bottom w:val="single" w:sz="4" w:space="0" w:color="auto"/>
            </w:tcBorders>
            <w:vAlign w:val="center"/>
          </w:tcPr>
          <w:p w:rsidR="00B72277" w:rsidRPr="00D44F37" w:rsidRDefault="00B72277" w:rsidP="00B72277">
            <w:pPr>
              <w:jc w:val="center"/>
              <w:rPr>
                <w:sz w:val="20"/>
              </w:rPr>
            </w:pPr>
            <w:r w:rsidRPr="00D44F37">
              <w:rPr>
                <w:sz w:val="20"/>
              </w:rPr>
              <w:t>1.0</w:t>
            </w:r>
          </w:p>
        </w:tc>
        <w:tc>
          <w:tcPr>
            <w:tcW w:w="918" w:type="dxa"/>
            <w:tcBorders>
              <w:top w:val="nil"/>
              <w:bottom w:val="single" w:sz="4" w:space="0" w:color="auto"/>
            </w:tcBorders>
            <w:vAlign w:val="center"/>
          </w:tcPr>
          <w:p w:rsidR="00B72277" w:rsidRPr="00D44F37" w:rsidRDefault="00B72277" w:rsidP="00B72277">
            <w:pPr>
              <w:jc w:val="center"/>
              <w:rPr>
                <w:sz w:val="20"/>
              </w:rPr>
            </w:pPr>
            <w:r w:rsidRPr="00D44F37">
              <w:rPr>
                <w:sz w:val="20"/>
              </w:rPr>
              <w:t>0.9</w:t>
            </w:r>
          </w:p>
        </w:tc>
        <w:tc>
          <w:tcPr>
            <w:tcW w:w="918" w:type="dxa"/>
            <w:tcBorders>
              <w:top w:val="nil"/>
              <w:bottom w:val="single" w:sz="4" w:space="0" w:color="auto"/>
            </w:tcBorders>
            <w:vAlign w:val="center"/>
          </w:tcPr>
          <w:p w:rsidR="00B72277" w:rsidRPr="00D44F37" w:rsidRDefault="00B72277" w:rsidP="00B72277">
            <w:pPr>
              <w:jc w:val="center"/>
              <w:rPr>
                <w:sz w:val="20"/>
              </w:rPr>
            </w:pPr>
            <w:r w:rsidRPr="00D44F37">
              <w:rPr>
                <w:sz w:val="20"/>
              </w:rPr>
              <w:t>0.5</w:t>
            </w:r>
          </w:p>
        </w:tc>
        <w:tc>
          <w:tcPr>
            <w:tcW w:w="918" w:type="dxa"/>
            <w:tcBorders>
              <w:top w:val="nil"/>
              <w:bottom w:val="single" w:sz="4" w:space="0" w:color="auto"/>
            </w:tcBorders>
            <w:vAlign w:val="center"/>
          </w:tcPr>
          <w:p w:rsidR="00B72277" w:rsidRPr="00D44F37" w:rsidRDefault="00B72277" w:rsidP="00B72277">
            <w:pPr>
              <w:jc w:val="center"/>
              <w:rPr>
                <w:sz w:val="20"/>
              </w:rPr>
            </w:pPr>
            <w:r w:rsidRPr="00D44F37">
              <w:rPr>
                <w:sz w:val="20"/>
              </w:rPr>
              <w:t>1.9</w:t>
            </w:r>
          </w:p>
        </w:tc>
        <w:tc>
          <w:tcPr>
            <w:tcW w:w="918" w:type="dxa"/>
            <w:tcBorders>
              <w:top w:val="nil"/>
              <w:bottom w:val="single" w:sz="4" w:space="0" w:color="auto"/>
            </w:tcBorders>
            <w:vAlign w:val="center"/>
          </w:tcPr>
          <w:p w:rsidR="00B72277" w:rsidRPr="00D44F37" w:rsidRDefault="00B72277" w:rsidP="00B72277">
            <w:pPr>
              <w:jc w:val="center"/>
              <w:rPr>
                <w:sz w:val="20"/>
              </w:rPr>
            </w:pPr>
            <w:r w:rsidRPr="00D44F37">
              <w:rPr>
                <w:sz w:val="20"/>
              </w:rPr>
              <w:t>1.8</w:t>
            </w:r>
            <w:r w:rsidRPr="006C6064">
              <w:rPr>
                <w:sz w:val="20"/>
              </w:rPr>
              <w:t>*</w:t>
            </w:r>
          </w:p>
        </w:tc>
        <w:tc>
          <w:tcPr>
            <w:tcW w:w="918" w:type="dxa"/>
            <w:tcBorders>
              <w:top w:val="nil"/>
              <w:bottom w:val="single" w:sz="4" w:space="0" w:color="auto"/>
            </w:tcBorders>
            <w:vAlign w:val="center"/>
          </w:tcPr>
          <w:p w:rsidR="00B72277" w:rsidRPr="00D44F37" w:rsidRDefault="00B72277" w:rsidP="00B72277">
            <w:pPr>
              <w:jc w:val="center"/>
              <w:rPr>
                <w:sz w:val="20"/>
              </w:rPr>
            </w:pPr>
            <w:r w:rsidRPr="00D44F37">
              <w:rPr>
                <w:sz w:val="20"/>
              </w:rPr>
              <w:t>1.2</w:t>
            </w:r>
          </w:p>
        </w:tc>
      </w:tr>
      <w:tr w:rsidR="00B72277" w:rsidRPr="00790B52" w:rsidTr="00B72277">
        <w:trPr>
          <w:jc w:val="center"/>
        </w:trPr>
        <w:tc>
          <w:tcPr>
            <w:tcW w:w="1188" w:type="dxa"/>
            <w:vMerge w:val="restart"/>
            <w:vAlign w:val="center"/>
          </w:tcPr>
          <w:p w:rsidR="00B72277" w:rsidRPr="00790B52" w:rsidRDefault="00B72277" w:rsidP="00B72277">
            <w:pPr>
              <w:rPr>
                <w:sz w:val="20"/>
              </w:rPr>
            </w:pPr>
            <w:r w:rsidRPr="00790B52">
              <w:rPr>
                <w:sz w:val="20"/>
              </w:rPr>
              <w:t>Sedatives w/o Rx</w:t>
            </w:r>
          </w:p>
        </w:tc>
        <w:tc>
          <w:tcPr>
            <w:tcW w:w="1170" w:type="dxa"/>
            <w:tcBorders>
              <w:bottom w:val="nil"/>
            </w:tcBorders>
            <w:vAlign w:val="center"/>
          </w:tcPr>
          <w:p w:rsidR="00B72277" w:rsidRPr="00790B52" w:rsidRDefault="00B72277" w:rsidP="00B72277">
            <w:pPr>
              <w:rPr>
                <w:sz w:val="20"/>
              </w:rPr>
            </w:pPr>
            <w:r w:rsidRPr="00790B52">
              <w:rPr>
                <w:sz w:val="20"/>
              </w:rPr>
              <w:t>Orleans</w:t>
            </w:r>
          </w:p>
        </w:tc>
        <w:tc>
          <w:tcPr>
            <w:tcW w:w="918" w:type="dxa"/>
            <w:tcBorders>
              <w:bottom w:val="nil"/>
            </w:tcBorders>
            <w:vAlign w:val="center"/>
          </w:tcPr>
          <w:p w:rsidR="00B72277" w:rsidRPr="00D44F37" w:rsidRDefault="00B72277" w:rsidP="00B72277">
            <w:pPr>
              <w:jc w:val="center"/>
              <w:rPr>
                <w:sz w:val="20"/>
              </w:rPr>
            </w:pPr>
            <w:r w:rsidRPr="00D44F37">
              <w:rPr>
                <w:sz w:val="20"/>
              </w:rPr>
              <w:t>2.3</w:t>
            </w:r>
            <w:r w:rsidRPr="004B6598">
              <w:rPr>
                <w:sz w:val="20"/>
              </w:rPr>
              <w:t>#</w:t>
            </w:r>
          </w:p>
        </w:tc>
        <w:tc>
          <w:tcPr>
            <w:tcW w:w="918" w:type="dxa"/>
            <w:tcBorders>
              <w:bottom w:val="nil"/>
            </w:tcBorders>
            <w:vAlign w:val="center"/>
          </w:tcPr>
          <w:p w:rsidR="00B72277" w:rsidRPr="00D44F37" w:rsidRDefault="00B72277" w:rsidP="00B72277">
            <w:pPr>
              <w:jc w:val="center"/>
              <w:rPr>
                <w:sz w:val="20"/>
              </w:rPr>
            </w:pPr>
            <w:r w:rsidRPr="00D44F37">
              <w:rPr>
                <w:sz w:val="20"/>
              </w:rPr>
              <w:t>0.7</w:t>
            </w:r>
            <w:r w:rsidRPr="004B6598">
              <w:rPr>
                <w:sz w:val="20"/>
              </w:rPr>
              <w:t>#</w:t>
            </w:r>
          </w:p>
        </w:tc>
        <w:tc>
          <w:tcPr>
            <w:tcW w:w="918" w:type="dxa"/>
            <w:tcBorders>
              <w:bottom w:val="nil"/>
            </w:tcBorders>
            <w:vAlign w:val="center"/>
          </w:tcPr>
          <w:p w:rsidR="00B72277" w:rsidRPr="00D44F37" w:rsidRDefault="00B72277" w:rsidP="00B72277">
            <w:pPr>
              <w:jc w:val="center"/>
              <w:rPr>
                <w:sz w:val="20"/>
              </w:rPr>
            </w:pPr>
            <w:r w:rsidRPr="00D44F37">
              <w:rPr>
                <w:sz w:val="20"/>
              </w:rPr>
              <w:t>2.0</w:t>
            </w:r>
            <w:r w:rsidRPr="004B6598">
              <w:rPr>
                <w:sz w:val="20"/>
              </w:rPr>
              <w:t>#</w:t>
            </w:r>
          </w:p>
        </w:tc>
        <w:tc>
          <w:tcPr>
            <w:tcW w:w="918" w:type="dxa"/>
            <w:tcBorders>
              <w:bottom w:val="nil"/>
            </w:tcBorders>
            <w:vAlign w:val="center"/>
          </w:tcPr>
          <w:p w:rsidR="00B72277" w:rsidRPr="00D44F37" w:rsidRDefault="00B72277" w:rsidP="00B72277">
            <w:pPr>
              <w:jc w:val="center"/>
              <w:rPr>
                <w:sz w:val="20"/>
              </w:rPr>
            </w:pPr>
            <w:r w:rsidRPr="00D44F37">
              <w:rPr>
                <w:sz w:val="20"/>
              </w:rPr>
              <w:t>2.0</w:t>
            </w:r>
            <w:r w:rsidRPr="004B6598">
              <w:rPr>
                <w:sz w:val="20"/>
              </w:rPr>
              <w:t>#</w:t>
            </w:r>
          </w:p>
        </w:tc>
        <w:tc>
          <w:tcPr>
            <w:tcW w:w="918" w:type="dxa"/>
            <w:tcBorders>
              <w:bottom w:val="nil"/>
            </w:tcBorders>
            <w:vAlign w:val="center"/>
          </w:tcPr>
          <w:p w:rsidR="00B72277" w:rsidRPr="00D44F37" w:rsidRDefault="00B72277" w:rsidP="00B72277">
            <w:pPr>
              <w:jc w:val="center"/>
              <w:rPr>
                <w:sz w:val="20"/>
              </w:rPr>
            </w:pPr>
            <w:r w:rsidRPr="00D44F37">
              <w:rPr>
                <w:sz w:val="20"/>
              </w:rPr>
              <w:t>2.7</w:t>
            </w:r>
            <w:r w:rsidRPr="004B6598">
              <w:rPr>
                <w:sz w:val="20"/>
              </w:rPr>
              <w:t>#</w:t>
            </w:r>
          </w:p>
        </w:tc>
        <w:tc>
          <w:tcPr>
            <w:tcW w:w="918" w:type="dxa"/>
            <w:tcBorders>
              <w:bottom w:val="nil"/>
            </w:tcBorders>
            <w:vAlign w:val="center"/>
          </w:tcPr>
          <w:p w:rsidR="00B72277" w:rsidRPr="00D44F37" w:rsidRDefault="00B72277" w:rsidP="00B72277">
            <w:pPr>
              <w:jc w:val="center"/>
              <w:rPr>
                <w:sz w:val="20"/>
              </w:rPr>
            </w:pPr>
            <w:r w:rsidRPr="00D44F37">
              <w:rPr>
                <w:sz w:val="20"/>
              </w:rPr>
              <w:t>3.0</w:t>
            </w:r>
            <w:r w:rsidRPr="004B6598">
              <w:rPr>
                <w:sz w:val="20"/>
              </w:rPr>
              <w:t>#</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nil"/>
            </w:tcBorders>
            <w:vAlign w:val="center"/>
          </w:tcPr>
          <w:p w:rsidR="00B72277" w:rsidRPr="00790B52" w:rsidRDefault="00B72277" w:rsidP="00B72277">
            <w:pPr>
              <w:rPr>
                <w:sz w:val="20"/>
              </w:rPr>
            </w:pPr>
            <w:r w:rsidRPr="00790B52">
              <w:rPr>
                <w:sz w:val="20"/>
              </w:rPr>
              <w:t>Jefferson</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2.4</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3.2</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3.2</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3.6</w:t>
            </w:r>
            <w:r w:rsidRPr="006C6064">
              <w:rPr>
                <w:sz w:val="20"/>
              </w:rPr>
              <w:t>*</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3.6</w:t>
            </w:r>
            <w:r w:rsidRPr="006C6064">
              <w:rPr>
                <w:sz w:val="20"/>
              </w:rPr>
              <w:t>*</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4.3</w:t>
            </w:r>
            <w:r w:rsidRPr="006C6064">
              <w:rPr>
                <w:sz w:val="20"/>
              </w:rPr>
              <w:t>*</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nil"/>
            </w:tcBorders>
            <w:vAlign w:val="center"/>
          </w:tcPr>
          <w:p w:rsidR="00B72277" w:rsidRPr="00790B52" w:rsidRDefault="00B72277" w:rsidP="00B72277">
            <w:pPr>
              <w:rPr>
                <w:sz w:val="20"/>
              </w:rPr>
            </w:pPr>
            <w:r w:rsidRPr="00790B52">
              <w:rPr>
                <w:sz w:val="20"/>
              </w:rPr>
              <w:t>Plaquemines</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3.4</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3.9</w:t>
            </w:r>
            <w:r w:rsidRPr="00976623">
              <w:rPr>
                <w:sz w:val="20"/>
              </w:rPr>
              <w:t>*</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3.9</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6.5</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3.4</w:t>
            </w:r>
            <w:r w:rsidRPr="00976623">
              <w:rPr>
                <w:sz w:val="20"/>
              </w:rPr>
              <w:t>*</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2.0</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nil"/>
            </w:tcBorders>
            <w:vAlign w:val="center"/>
          </w:tcPr>
          <w:p w:rsidR="00B72277" w:rsidRPr="00790B52" w:rsidRDefault="00B72277" w:rsidP="00B72277">
            <w:pPr>
              <w:rPr>
                <w:sz w:val="20"/>
              </w:rPr>
            </w:pPr>
            <w:r w:rsidRPr="00790B52">
              <w:rPr>
                <w:sz w:val="20"/>
              </w:rPr>
              <w:t>St. Bernard</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single" w:sz="4" w:space="0" w:color="auto"/>
            </w:tcBorders>
            <w:vAlign w:val="center"/>
          </w:tcPr>
          <w:p w:rsidR="00B72277" w:rsidRPr="00790B52" w:rsidRDefault="00B72277" w:rsidP="00B72277">
            <w:pPr>
              <w:rPr>
                <w:sz w:val="20"/>
              </w:rPr>
            </w:pPr>
            <w:r w:rsidRPr="00790B52">
              <w:rPr>
                <w:sz w:val="20"/>
              </w:rPr>
              <w:t>Statewide</w:t>
            </w:r>
          </w:p>
        </w:tc>
        <w:tc>
          <w:tcPr>
            <w:tcW w:w="918" w:type="dxa"/>
            <w:tcBorders>
              <w:top w:val="nil"/>
              <w:bottom w:val="single" w:sz="4" w:space="0" w:color="auto"/>
            </w:tcBorders>
            <w:vAlign w:val="center"/>
          </w:tcPr>
          <w:p w:rsidR="00B72277" w:rsidRPr="00D44F37" w:rsidRDefault="00B72277" w:rsidP="00B72277">
            <w:pPr>
              <w:jc w:val="center"/>
              <w:rPr>
                <w:sz w:val="20"/>
              </w:rPr>
            </w:pPr>
            <w:r w:rsidRPr="00D44F37">
              <w:rPr>
                <w:sz w:val="20"/>
              </w:rPr>
              <w:t>3.2</w:t>
            </w:r>
          </w:p>
        </w:tc>
        <w:tc>
          <w:tcPr>
            <w:tcW w:w="918" w:type="dxa"/>
            <w:tcBorders>
              <w:top w:val="nil"/>
              <w:bottom w:val="single" w:sz="4" w:space="0" w:color="auto"/>
            </w:tcBorders>
            <w:vAlign w:val="center"/>
          </w:tcPr>
          <w:p w:rsidR="00B72277" w:rsidRPr="00D44F37" w:rsidRDefault="00B72277" w:rsidP="00B72277">
            <w:pPr>
              <w:jc w:val="center"/>
              <w:rPr>
                <w:sz w:val="20"/>
              </w:rPr>
            </w:pPr>
            <w:r w:rsidRPr="00D44F37">
              <w:rPr>
                <w:sz w:val="20"/>
              </w:rPr>
              <w:t>3.1</w:t>
            </w:r>
          </w:p>
        </w:tc>
        <w:tc>
          <w:tcPr>
            <w:tcW w:w="918" w:type="dxa"/>
            <w:tcBorders>
              <w:top w:val="nil"/>
              <w:bottom w:val="single" w:sz="4" w:space="0" w:color="auto"/>
            </w:tcBorders>
            <w:vAlign w:val="center"/>
          </w:tcPr>
          <w:p w:rsidR="00B72277" w:rsidRPr="00D44F37" w:rsidRDefault="00B72277" w:rsidP="00B72277">
            <w:pPr>
              <w:jc w:val="center"/>
              <w:rPr>
                <w:sz w:val="20"/>
              </w:rPr>
            </w:pPr>
            <w:r w:rsidRPr="00D44F37">
              <w:rPr>
                <w:sz w:val="20"/>
              </w:rPr>
              <w:t>2.8</w:t>
            </w:r>
          </w:p>
        </w:tc>
        <w:tc>
          <w:tcPr>
            <w:tcW w:w="918" w:type="dxa"/>
            <w:tcBorders>
              <w:top w:val="nil"/>
              <w:bottom w:val="single" w:sz="4" w:space="0" w:color="auto"/>
            </w:tcBorders>
            <w:vAlign w:val="center"/>
          </w:tcPr>
          <w:p w:rsidR="00B72277" w:rsidRPr="00D44F37" w:rsidRDefault="00B72277" w:rsidP="00B72277">
            <w:pPr>
              <w:jc w:val="center"/>
              <w:rPr>
                <w:sz w:val="20"/>
              </w:rPr>
            </w:pPr>
            <w:r w:rsidRPr="00D44F37">
              <w:rPr>
                <w:sz w:val="20"/>
              </w:rPr>
              <w:t>4.4</w:t>
            </w:r>
          </w:p>
        </w:tc>
        <w:tc>
          <w:tcPr>
            <w:tcW w:w="918" w:type="dxa"/>
            <w:tcBorders>
              <w:top w:val="nil"/>
              <w:bottom w:val="single" w:sz="4" w:space="0" w:color="auto"/>
            </w:tcBorders>
            <w:vAlign w:val="center"/>
          </w:tcPr>
          <w:p w:rsidR="00B72277" w:rsidRPr="00D44F37" w:rsidRDefault="00B72277" w:rsidP="00B72277">
            <w:pPr>
              <w:jc w:val="center"/>
              <w:rPr>
                <w:sz w:val="20"/>
              </w:rPr>
            </w:pPr>
            <w:r w:rsidRPr="00D44F37">
              <w:rPr>
                <w:sz w:val="20"/>
              </w:rPr>
              <w:t>4.2</w:t>
            </w:r>
            <w:r w:rsidRPr="006C6064">
              <w:rPr>
                <w:sz w:val="20"/>
              </w:rPr>
              <w:t>*</w:t>
            </w:r>
          </w:p>
        </w:tc>
        <w:tc>
          <w:tcPr>
            <w:tcW w:w="918" w:type="dxa"/>
            <w:tcBorders>
              <w:top w:val="nil"/>
              <w:bottom w:val="single" w:sz="4" w:space="0" w:color="auto"/>
            </w:tcBorders>
            <w:vAlign w:val="center"/>
          </w:tcPr>
          <w:p w:rsidR="00B72277" w:rsidRPr="00D44F37" w:rsidRDefault="00B72277" w:rsidP="00B72277">
            <w:pPr>
              <w:jc w:val="center"/>
              <w:rPr>
                <w:sz w:val="20"/>
              </w:rPr>
            </w:pPr>
            <w:r w:rsidRPr="00D44F37">
              <w:rPr>
                <w:sz w:val="20"/>
              </w:rPr>
              <w:t>4.1</w:t>
            </w:r>
          </w:p>
        </w:tc>
      </w:tr>
      <w:tr w:rsidR="00B72277" w:rsidRPr="00790B52" w:rsidTr="00B72277">
        <w:trPr>
          <w:jc w:val="center"/>
        </w:trPr>
        <w:tc>
          <w:tcPr>
            <w:tcW w:w="1188" w:type="dxa"/>
            <w:vMerge w:val="restart"/>
            <w:vAlign w:val="center"/>
          </w:tcPr>
          <w:p w:rsidR="00B72277" w:rsidRPr="00790B52" w:rsidRDefault="00B72277" w:rsidP="00B72277">
            <w:pPr>
              <w:rPr>
                <w:sz w:val="20"/>
              </w:rPr>
            </w:pPr>
            <w:r w:rsidRPr="00790B52">
              <w:rPr>
                <w:sz w:val="20"/>
              </w:rPr>
              <w:t>Rx Opiates (w/o Rx)</w:t>
            </w:r>
          </w:p>
        </w:tc>
        <w:tc>
          <w:tcPr>
            <w:tcW w:w="1170" w:type="dxa"/>
            <w:tcBorders>
              <w:bottom w:val="nil"/>
            </w:tcBorders>
            <w:vAlign w:val="center"/>
          </w:tcPr>
          <w:p w:rsidR="00B72277" w:rsidRPr="00790B52" w:rsidRDefault="00B72277" w:rsidP="00B72277">
            <w:pPr>
              <w:rPr>
                <w:sz w:val="20"/>
              </w:rPr>
            </w:pPr>
            <w:r w:rsidRPr="00790B52">
              <w:rPr>
                <w:sz w:val="20"/>
              </w:rPr>
              <w:t>Orleans</w:t>
            </w:r>
          </w:p>
        </w:tc>
        <w:tc>
          <w:tcPr>
            <w:tcW w:w="918" w:type="dxa"/>
            <w:tcBorders>
              <w:bottom w:val="nil"/>
            </w:tcBorders>
            <w:vAlign w:val="center"/>
          </w:tcPr>
          <w:p w:rsidR="00B72277" w:rsidRPr="00D44F37" w:rsidRDefault="00B72277" w:rsidP="00B72277">
            <w:pPr>
              <w:jc w:val="center"/>
              <w:rPr>
                <w:sz w:val="20"/>
              </w:rPr>
            </w:pPr>
            <w:r w:rsidRPr="00D44F37">
              <w:rPr>
                <w:sz w:val="20"/>
              </w:rPr>
              <w:t>0.5</w:t>
            </w:r>
            <w:r w:rsidRPr="004B6598">
              <w:rPr>
                <w:sz w:val="20"/>
              </w:rPr>
              <w:t>#</w:t>
            </w:r>
          </w:p>
        </w:tc>
        <w:tc>
          <w:tcPr>
            <w:tcW w:w="918" w:type="dxa"/>
            <w:tcBorders>
              <w:bottom w:val="nil"/>
            </w:tcBorders>
            <w:vAlign w:val="center"/>
          </w:tcPr>
          <w:p w:rsidR="00B72277" w:rsidRPr="00D44F37" w:rsidRDefault="00B72277" w:rsidP="00B72277">
            <w:pPr>
              <w:jc w:val="center"/>
              <w:rPr>
                <w:sz w:val="20"/>
              </w:rPr>
            </w:pPr>
            <w:r w:rsidRPr="00D44F37">
              <w:rPr>
                <w:sz w:val="20"/>
              </w:rPr>
              <w:t>-</w:t>
            </w:r>
          </w:p>
        </w:tc>
        <w:tc>
          <w:tcPr>
            <w:tcW w:w="918" w:type="dxa"/>
            <w:tcBorders>
              <w:bottom w:val="nil"/>
            </w:tcBorders>
            <w:vAlign w:val="center"/>
          </w:tcPr>
          <w:p w:rsidR="00B72277" w:rsidRPr="00D44F37" w:rsidRDefault="00B72277" w:rsidP="00B72277">
            <w:pPr>
              <w:jc w:val="center"/>
              <w:rPr>
                <w:sz w:val="20"/>
              </w:rPr>
            </w:pPr>
            <w:r w:rsidRPr="00D44F37">
              <w:rPr>
                <w:sz w:val="20"/>
              </w:rPr>
              <w:t>0.8</w:t>
            </w:r>
            <w:r w:rsidRPr="004B6598">
              <w:rPr>
                <w:sz w:val="20"/>
              </w:rPr>
              <w:t>#</w:t>
            </w:r>
          </w:p>
        </w:tc>
        <w:tc>
          <w:tcPr>
            <w:tcW w:w="918" w:type="dxa"/>
            <w:tcBorders>
              <w:bottom w:val="nil"/>
            </w:tcBorders>
            <w:vAlign w:val="center"/>
          </w:tcPr>
          <w:p w:rsidR="00B72277" w:rsidRPr="00D44F37" w:rsidRDefault="00B72277" w:rsidP="00B72277">
            <w:pPr>
              <w:jc w:val="center"/>
              <w:rPr>
                <w:sz w:val="20"/>
              </w:rPr>
            </w:pPr>
            <w:r w:rsidRPr="00D44F37">
              <w:rPr>
                <w:sz w:val="20"/>
              </w:rPr>
              <w:t>0.8</w:t>
            </w:r>
            <w:r w:rsidRPr="004B6598">
              <w:rPr>
                <w:sz w:val="20"/>
              </w:rPr>
              <w:t>#</w:t>
            </w:r>
          </w:p>
        </w:tc>
        <w:tc>
          <w:tcPr>
            <w:tcW w:w="918" w:type="dxa"/>
            <w:tcBorders>
              <w:bottom w:val="nil"/>
            </w:tcBorders>
            <w:vAlign w:val="center"/>
          </w:tcPr>
          <w:p w:rsidR="00B72277" w:rsidRPr="00D44F37" w:rsidRDefault="00B72277" w:rsidP="00B72277">
            <w:pPr>
              <w:jc w:val="center"/>
              <w:rPr>
                <w:sz w:val="20"/>
              </w:rPr>
            </w:pPr>
            <w:r w:rsidRPr="00D44F37">
              <w:rPr>
                <w:sz w:val="20"/>
              </w:rPr>
              <w:t>1.6</w:t>
            </w:r>
            <w:r w:rsidRPr="004B6598">
              <w:rPr>
                <w:sz w:val="20"/>
              </w:rPr>
              <w:t>#</w:t>
            </w:r>
          </w:p>
        </w:tc>
        <w:tc>
          <w:tcPr>
            <w:tcW w:w="918" w:type="dxa"/>
            <w:tcBorders>
              <w:bottom w:val="nil"/>
            </w:tcBorders>
            <w:vAlign w:val="center"/>
          </w:tcPr>
          <w:p w:rsidR="00B72277" w:rsidRPr="00D44F37" w:rsidRDefault="00B72277" w:rsidP="00B72277">
            <w:pPr>
              <w:jc w:val="center"/>
              <w:rPr>
                <w:sz w:val="20"/>
              </w:rPr>
            </w:pPr>
            <w:r w:rsidRPr="00D44F37">
              <w:rPr>
                <w:sz w:val="20"/>
              </w:rPr>
              <w:t>1.4</w:t>
            </w:r>
            <w:r w:rsidRPr="004B6598">
              <w:rPr>
                <w:sz w:val="20"/>
              </w:rPr>
              <w:t>#</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nil"/>
            </w:tcBorders>
            <w:vAlign w:val="center"/>
          </w:tcPr>
          <w:p w:rsidR="00B72277" w:rsidRPr="00790B52" w:rsidRDefault="00B72277" w:rsidP="00B72277">
            <w:pPr>
              <w:rPr>
                <w:sz w:val="20"/>
              </w:rPr>
            </w:pPr>
            <w:r w:rsidRPr="00790B52">
              <w:rPr>
                <w:sz w:val="20"/>
              </w:rPr>
              <w:t>Jefferson</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0.9</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0.9</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1.0</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2.1</w:t>
            </w:r>
            <w:r w:rsidRPr="006C6064">
              <w:rPr>
                <w:sz w:val="20"/>
              </w:rPr>
              <w:t>*</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2.9</w:t>
            </w:r>
            <w:r w:rsidRPr="006C6064">
              <w:rPr>
                <w:sz w:val="20"/>
              </w:rPr>
              <w:t>*</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3.0</w:t>
            </w:r>
            <w:r w:rsidRPr="006C6064">
              <w:rPr>
                <w:sz w:val="20"/>
              </w:rPr>
              <w:t>*</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nil"/>
            </w:tcBorders>
            <w:vAlign w:val="center"/>
          </w:tcPr>
          <w:p w:rsidR="00B72277" w:rsidRPr="00790B52" w:rsidRDefault="00B72277" w:rsidP="00B72277">
            <w:pPr>
              <w:rPr>
                <w:sz w:val="20"/>
              </w:rPr>
            </w:pPr>
            <w:r w:rsidRPr="00790B52">
              <w:rPr>
                <w:sz w:val="20"/>
              </w:rPr>
              <w:t>Plaquemines</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2.1</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0.8</w:t>
            </w:r>
            <w:r w:rsidRPr="00976623">
              <w:rPr>
                <w:sz w:val="20"/>
              </w:rPr>
              <w:t>*</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1.3</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4.3</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2.5</w:t>
            </w:r>
            <w:r w:rsidRPr="00976623">
              <w:rPr>
                <w:sz w:val="20"/>
              </w:rPr>
              <w:t>*</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1.0</w:t>
            </w:r>
          </w:p>
        </w:tc>
      </w:tr>
      <w:tr w:rsidR="00B72277" w:rsidRPr="00790B52" w:rsidTr="00B72277">
        <w:trPr>
          <w:jc w:val="center"/>
        </w:trPr>
        <w:tc>
          <w:tcPr>
            <w:tcW w:w="1188" w:type="dxa"/>
            <w:vMerge/>
            <w:vAlign w:val="center"/>
          </w:tcPr>
          <w:p w:rsidR="00B72277" w:rsidRPr="00790B52" w:rsidRDefault="00B72277" w:rsidP="00B72277">
            <w:pPr>
              <w:ind w:left="270"/>
              <w:rPr>
                <w:sz w:val="20"/>
              </w:rPr>
            </w:pPr>
          </w:p>
        </w:tc>
        <w:tc>
          <w:tcPr>
            <w:tcW w:w="1170" w:type="dxa"/>
            <w:tcBorders>
              <w:top w:val="nil"/>
              <w:bottom w:val="nil"/>
            </w:tcBorders>
            <w:vAlign w:val="center"/>
          </w:tcPr>
          <w:p w:rsidR="00B72277" w:rsidRPr="00790B52" w:rsidRDefault="00B72277" w:rsidP="00B72277">
            <w:pPr>
              <w:rPr>
                <w:sz w:val="20"/>
              </w:rPr>
            </w:pPr>
            <w:r w:rsidRPr="00790B52">
              <w:rPr>
                <w:sz w:val="20"/>
              </w:rPr>
              <w:t>St. Bernard</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w:t>
            </w:r>
          </w:p>
        </w:tc>
        <w:tc>
          <w:tcPr>
            <w:tcW w:w="918" w:type="dxa"/>
            <w:tcBorders>
              <w:top w:val="nil"/>
              <w:bottom w:val="nil"/>
            </w:tcBorders>
            <w:vAlign w:val="center"/>
          </w:tcPr>
          <w:p w:rsidR="00B72277" w:rsidRPr="00D44F37" w:rsidRDefault="00B72277" w:rsidP="00B72277">
            <w:pPr>
              <w:jc w:val="center"/>
              <w:rPr>
                <w:sz w:val="20"/>
              </w:rPr>
            </w:pPr>
            <w:r w:rsidRPr="00D44F37">
              <w:rPr>
                <w:sz w:val="20"/>
              </w:rPr>
              <w:t>--</w:t>
            </w:r>
          </w:p>
        </w:tc>
      </w:tr>
      <w:tr w:rsidR="00B72277" w:rsidRPr="00790B52" w:rsidTr="00B72277">
        <w:trPr>
          <w:jc w:val="center"/>
        </w:trPr>
        <w:tc>
          <w:tcPr>
            <w:tcW w:w="1188" w:type="dxa"/>
            <w:vMerge/>
            <w:tcBorders>
              <w:bottom w:val="single" w:sz="4" w:space="0" w:color="auto"/>
            </w:tcBorders>
            <w:vAlign w:val="center"/>
          </w:tcPr>
          <w:p w:rsidR="00B72277" w:rsidRPr="00790B52" w:rsidRDefault="00B72277" w:rsidP="00B72277">
            <w:pPr>
              <w:ind w:left="270"/>
              <w:rPr>
                <w:sz w:val="20"/>
              </w:rPr>
            </w:pPr>
          </w:p>
        </w:tc>
        <w:tc>
          <w:tcPr>
            <w:tcW w:w="1170" w:type="dxa"/>
            <w:tcBorders>
              <w:top w:val="nil"/>
              <w:bottom w:val="single" w:sz="4" w:space="0" w:color="auto"/>
            </w:tcBorders>
            <w:vAlign w:val="center"/>
          </w:tcPr>
          <w:p w:rsidR="00B72277" w:rsidRPr="00790B52" w:rsidRDefault="00B72277" w:rsidP="00B72277">
            <w:pPr>
              <w:rPr>
                <w:sz w:val="20"/>
              </w:rPr>
            </w:pPr>
            <w:r w:rsidRPr="00790B52">
              <w:rPr>
                <w:sz w:val="20"/>
              </w:rPr>
              <w:t>Statewide</w:t>
            </w:r>
          </w:p>
        </w:tc>
        <w:tc>
          <w:tcPr>
            <w:tcW w:w="918" w:type="dxa"/>
            <w:tcBorders>
              <w:top w:val="nil"/>
              <w:bottom w:val="single" w:sz="4" w:space="0" w:color="auto"/>
            </w:tcBorders>
            <w:vAlign w:val="center"/>
          </w:tcPr>
          <w:p w:rsidR="00B72277" w:rsidRPr="00D44F37" w:rsidRDefault="00B72277" w:rsidP="00B72277">
            <w:pPr>
              <w:jc w:val="center"/>
              <w:rPr>
                <w:sz w:val="20"/>
              </w:rPr>
            </w:pPr>
            <w:r w:rsidRPr="00D44F37">
              <w:rPr>
                <w:sz w:val="20"/>
              </w:rPr>
              <w:t>1.3</w:t>
            </w:r>
          </w:p>
        </w:tc>
        <w:tc>
          <w:tcPr>
            <w:tcW w:w="918" w:type="dxa"/>
            <w:tcBorders>
              <w:top w:val="nil"/>
              <w:bottom w:val="single" w:sz="4" w:space="0" w:color="auto"/>
            </w:tcBorders>
            <w:vAlign w:val="center"/>
          </w:tcPr>
          <w:p w:rsidR="00B72277" w:rsidRPr="00D44F37" w:rsidRDefault="00B72277" w:rsidP="00B72277">
            <w:pPr>
              <w:jc w:val="center"/>
              <w:rPr>
                <w:sz w:val="20"/>
              </w:rPr>
            </w:pPr>
            <w:r w:rsidRPr="00D44F37">
              <w:rPr>
                <w:sz w:val="20"/>
              </w:rPr>
              <w:t>1.2</w:t>
            </w:r>
          </w:p>
        </w:tc>
        <w:tc>
          <w:tcPr>
            <w:tcW w:w="918" w:type="dxa"/>
            <w:tcBorders>
              <w:top w:val="nil"/>
              <w:bottom w:val="single" w:sz="4" w:space="0" w:color="auto"/>
            </w:tcBorders>
            <w:vAlign w:val="center"/>
          </w:tcPr>
          <w:p w:rsidR="00B72277" w:rsidRPr="00D44F37" w:rsidRDefault="00B72277" w:rsidP="00B72277">
            <w:pPr>
              <w:jc w:val="center"/>
              <w:rPr>
                <w:sz w:val="20"/>
              </w:rPr>
            </w:pPr>
            <w:r w:rsidRPr="00D44F37">
              <w:rPr>
                <w:sz w:val="20"/>
              </w:rPr>
              <w:t>0.8</w:t>
            </w:r>
          </w:p>
        </w:tc>
        <w:tc>
          <w:tcPr>
            <w:tcW w:w="918" w:type="dxa"/>
            <w:tcBorders>
              <w:top w:val="nil"/>
              <w:bottom w:val="single" w:sz="4" w:space="0" w:color="auto"/>
            </w:tcBorders>
            <w:vAlign w:val="center"/>
          </w:tcPr>
          <w:p w:rsidR="00B72277" w:rsidRPr="00D44F37" w:rsidRDefault="00B72277" w:rsidP="00B72277">
            <w:pPr>
              <w:jc w:val="center"/>
              <w:rPr>
                <w:sz w:val="20"/>
              </w:rPr>
            </w:pPr>
            <w:r w:rsidRPr="00D44F37">
              <w:rPr>
                <w:sz w:val="20"/>
              </w:rPr>
              <w:t>3.0</w:t>
            </w:r>
          </w:p>
        </w:tc>
        <w:tc>
          <w:tcPr>
            <w:tcW w:w="918" w:type="dxa"/>
            <w:tcBorders>
              <w:top w:val="nil"/>
              <w:bottom w:val="single" w:sz="4" w:space="0" w:color="auto"/>
            </w:tcBorders>
            <w:vAlign w:val="center"/>
          </w:tcPr>
          <w:p w:rsidR="00B72277" w:rsidRPr="00D44F37" w:rsidRDefault="00B72277" w:rsidP="00B72277">
            <w:pPr>
              <w:jc w:val="center"/>
              <w:rPr>
                <w:sz w:val="20"/>
              </w:rPr>
            </w:pPr>
            <w:r w:rsidRPr="00D44F37">
              <w:rPr>
                <w:sz w:val="20"/>
              </w:rPr>
              <w:t>2.7</w:t>
            </w:r>
            <w:r w:rsidRPr="006C6064">
              <w:rPr>
                <w:sz w:val="20"/>
              </w:rPr>
              <w:t>*</w:t>
            </w:r>
          </w:p>
        </w:tc>
        <w:tc>
          <w:tcPr>
            <w:tcW w:w="918" w:type="dxa"/>
            <w:tcBorders>
              <w:top w:val="nil"/>
              <w:bottom w:val="single" w:sz="4" w:space="0" w:color="auto"/>
            </w:tcBorders>
            <w:vAlign w:val="center"/>
          </w:tcPr>
          <w:p w:rsidR="00B72277" w:rsidRPr="00D44F37" w:rsidRDefault="00B72277" w:rsidP="00B72277">
            <w:pPr>
              <w:jc w:val="center"/>
              <w:rPr>
                <w:sz w:val="20"/>
              </w:rPr>
            </w:pPr>
            <w:r w:rsidRPr="00D44F37">
              <w:rPr>
                <w:sz w:val="20"/>
              </w:rPr>
              <w:t>2.2</w:t>
            </w:r>
          </w:p>
        </w:tc>
      </w:tr>
      <w:tr w:rsidR="00B72277" w:rsidRPr="0040504B" w:rsidTr="00B72277">
        <w:trPr>
          <w:jc w:val="center"/>
        </w:trPr>
        <w:tc>
          <w:tcPr>
            <w:tcW w:w="1188" w:type="dxa"/>
            <w:vMerge w:val="restart"/>
            <w:vAlign w:val="center"/>
          </w:tcPr>
          <w:p w:rsidR="00B72277" w:rsidRPr="0040504B" w:rsidRDefault="00B72277" w:rsidP="00B72277">
            <w:pPr>
              <w:rPr>
                <w:sz w:val="20"/>
              </w:rPr>
            </w:pPr>
            <w:r w:rsidRPr="0040504B">
              <w:rPr>
                <w:sz w:val="20"/>
              </w:rPr>
              <w:t>Cocaine</w:t>
            </w:r>
          </w:p>
        </w:tc>
        <w:tc>
          <w:tcPr>
            <w:tcW w:w="1170" w:type="dxa"/>
            <w:tcBorders>
              <w:bottom w:val="nil"/>
            </w:tcBorders>
            <w:vAlign w:val="center"/>
          </w:tcPr>
          <w:p w:rsidR="00B72277" w:rsidRPr="0040504B" w:rsidRDefault="00B72277" w:rsidP="00B72277">
            <w:pPr>
              <w:rPr>
                <w:sz w:val="20"/>
              </w:rPr>
            </w:pPr>
            <w:r w:rsidRPr="0040504B">
              <w:rPr>
                <w:sz w:val="20"/>
              </w:rPr>
              <w:t>Orleans</w:t>
            </w:r>
          </w:p>
        </w:tc>
        <w:tc>
          <w:tcPr>
            <w:tcW w:w="918" w:type="dxa"/>
            <w:tcBorders>
              <w:bottom w:val="nil"/>
            </w:tcBorders>
            <w:vAlign w:val="center"/>
          </w:tcPr>
          <w:p w:rsidR="00B72277" w:rsidRPr="001D33B7" w:rsidRDefault="00B72277" w:rsidP="00B72277">
            <w:pPr>
              <w:jc w:val="center"/>
              <w:rPr>
                <w:sz w:val="20"/>
              </w:rPr>
            </w:pPr>
            <w:r w:rsidRPr="001D33B7">
              <w:rPr>
                <w:sz w:val="20"/>
              </w:rPr>
              <w:t>0.8</w:t>
            </w:r>
            <w:r w:rsidRPr="004B6598">
              <w:rPr>
                <w:sz w:val="20"/>
              </w:rPr>
              <w:t>#</w:t>
            </w:r>
          </w:p>
        </w:tc>
        <w:tc>
          <w:tcPr>
            <w:tcW w:w="918" w:type="dxa"/>
            <w:tcBorders>
              <w:bottom w:val="nil"/>
            </w:tcBorders>
            <w:vAlign w:val="center"/>
          </w:tcPr>
          <w:p w:rsidR="00B72277" w:rsidRPr="001D33B7" w:rsidRDefault="00B72277" w:rsidP="00B72277">
            <w:pPr>
              <w:jc w:val="center"/>
              <w:rPr>
                <w:sz w:val="20"/>
              </w:rPr>
            </w:pPr>
            <w:r w:rsidRPr="001D33B7">
              <w:rPr>
                <w:sz w:val="20"/>
              </w:rPr>
              <w:t>0.7</w:t>
            </w:r>
            <w:r w:rsidRPr="004B6598">
              <w:rPr>
                <w:sz w:val="20"/>
              </w:rPr>
              <w:t>#</w:t>
            </w:r>
          </w:p>
        </w:tc>
        <w:tc>
          <w:tcPr>
            <w:tcW w:w="918" w:type="dxa"/>
            <w:tcBorders>
              <w:bottom w:val="nil"/>
            </w:tcBorders>
            <w:vAlign w:val="center"/>
          </w:tcPr>
          <w:p w:rsidR="00B72277" w:rsidRPr="001D33B7" w:rsidRDefault="00B72277" w:rsidP="00B72277">
            <w:pPr>
              <w:jc w:val="center"/>
              <w:rPr>
                <w:sz w:val="20"/>
              </w:rPr>
            </w:pPr>
            <w:r w:rsidRPr="001D33B7">
              <w:rPr>
                <w:sz w:val="20"/>
              </w:rPr>
              <w:t>0.5</w:t>
            </w:r>
            <w:r w:rsidRPr="004B6598">
              <w:rPr>
                <w:sz w:val="20"/>
              </w:rPr>
              <w:t>#</w:t>
            </w:r>
          </w:p>
        </w:tc>
        <w:tc>
          <w:tcPr>
            <w:tcW w:w="918" w:type="dxa"/>
            <w:tcBorders>
              <w:bottom w:val="nil"/>
            </w:tcBorders>
            <w:vAlign w:val="center"/>
          </w:tcPr>
          <w:p w:rsidR="00B72277" w:rsidRPr="001D33B7" w:rsidRDefault="00B72277" w:rsidP="00B72277">
            <w:pPr>
              <w:jc w:val="center"/>
              <w:rPr>
                <w:sz w:val="20"/>
              </w:rPr>
            </w:pPr>
            <w:r w:rsidRPr="001D33B7">
              <w:rPr>
                <w:sz w:val="20"/>
              </w:rPr>
              <w:t>0.2</w:t>
            </w:r>
            <w:r w:rsidRPr="004B6598">
              <w:rPr>
                <w:sz w:val="20"/>
              </w:rPr>
              <w:t>#</w:t>
            </w:r>
          </w:p>
        </w:tc>
        <w:tc>
          <w:tcPr>
            <w:tcW w:w="918" w:type="dxa"/>
            <w:tcBorders>
              <w:bottom w:val="nil"/>
            </w:tcBorders>
            <w:vAlign w:val="center"/>
          </w:tcPr>
          <w:p w:rsidR="00B72277" w:rsidRPr="001D33B7" w:rsidRDefault="00B72277" w:rsidP="00B72277">
            <w:pPr>
              <w:jc w:val="center"/>
              <w:rPr>
                <w:sz w:val="20"/>
              </w:rPr>
            </w:pPr>
            <w:r w:rsidRPr="001D33B7">
              <w:rPr>
                <w:sz w:val="20"/>
              </w:rPr>
              <w:t>-</w:t>
            </w:r>
          </w:p>
        </w:tc>
        <w:tc>
          <w:tcPr>
            <w:tcW w:w="918" w:type="dxa"/>
            <w:tcBorders>
              <w:bottom w:val="nil"/>
            </w:tcBorders>
            <w:vAlign w:val="center"/>
          </w:tcPr>
          <w:p w:rsidR="00B72277" w:rsidRPr="001D33B7" w:rsidRDefault="00B72277" w:rsidP="00B72277">
            <w:pPr>
              <w:jc w:val="center"/>
              <w:rPr>
                <w:sz w:val="20"/>
              </w:rPr>
            </w:pPr>
            <w:r w:rsidRPr="001D33B7">
              <w:rPr>
                <w:sz w:val="20"/>
              </w:rPr>
              <w:t>0.3</w:t>
            </w:r>
            <w:r w:rsidRPr="004B6598">
              <w:rPr>
                <w:sz w:val="20"/>
              </w:rPr>
              <w:t>#</w:t>
            </w:r>
          </w:p>
        </w:tc>
      </w:tr>
      <w:tr w:rsidR="00B72277" w:rsidRPr="0040504B" w:rsidTr="00B72277">
        <w:trPr>
          <w:jc w:val="center"/>
        </w:trPr>
        <w:tc>
          <w:tcPr>
            <w:tcW w:w="1188" w:type="dxa"/>
            <w:vMerge/>
            <w:vAlign w:val="center"/>
          </w:tcPr>
          <w:p w:rsidR="00B72277" w:rsidRPr="0040504B" w:rsidRDefault="00B72277" w:rsidP="00B72277">
            <w:pPr>
              <w:ind w:left="270"/>
              <w:rPr>
                <w:sz w:val="20"/>
              </w:rPr>
            </w:pPr>
          </w:p>
        </w:tc>
        <w:tc>
          <w:tcPr>
            <w:tcW w:w="1170" w:type="dxa"/>
            <w:tcBorders>
              <w:top w:val="nil"/>
              <w:bottom w:val="nil"/>
            </w:tcBorders>
            <w:vAlign w:val="center"/>
          </w:tcPr>
          <w:p w:rsidR="00B72277" w:rsidRPr="0040504B" w:rsidRDefault="00B72277" w:rsidP="00B72277">
            <w:pPr>
              <w:rPr>
                <w:sz w:val="20"/>
              </w:rPr>
            </w:pPr>
            <w:r w:rsidRPr="0040504B">
              <w:rPr>
                <w:sz w:val="20"/>
              </w:rPr>
              <w:t>Jefferson</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0.4</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0.8</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0.3</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0.2</w:t>
            </w:r>
            <w:r w:rsidRPr="006C6064">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0.1</w:t>
            </w:r>
            <w:r w:rsidRPr="006C6064">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0.8</w:t>
            </w:r>
            <w:r w:rsidRPr="006C6064">
              <w:rPr>
                <w:sz w:val="20"/>
              </w:rPr>
              <w:t>*</w:t>
            </w:r>
          </w:p>
        </w:tc>
      </w:tr>
      <w:tr w:rsidR="00B72277" w:rsidRPr="0040504B" w:rsidTr="00B72277">
        <w:trPr>
          <w:jc w:val="center"/>
        </w:trPr>
        <w:tc>
          <w:tcPr>
            <w:tcW w:w="1188" w:type="dxa"/>
            <w:vMerge/>
            <w:vAlign w:val="center"/>
          </w:tcPr>
          <w:p w:rsidR="00B72277" w:rsidRPr="0040504B" w:rsidRDefault="00B72277" w:rsidP="00B72277">
            <w:pPr>
              <w:ind w:left="270"/>
              <w:rPr>
                <w:sz w:val="20"/>
              </w:rPr>
            </w:pPr>
          </w:p>
        </w:tc>
        <w:tc>
          <w:tcPr>
            <w:tcW w:w="1170" w:type="dxa"/>
            <w:tcBorders>
              <w:top w:val="nil"/>
              <w:bottom w:val="nil"/>
            </w:tcBorders>
            <w:vAlign w:val="center"/>
          </w:tcPr>
          <w:p w:rsidR="00B72277" w:rsidRPr="0040504B" w:rsidRDefault="00B72277" w:rsidP="00B72277">
            <w:pPr>
              <w:rPr>
                <w:sz w:val="20"/>
              </w:rPr>
            </w:pPr>
            <w:r w:rsidRPr="0040504B">
              <w:rPr>
                <w:sz w:val="20"/>
              </w:rPr>
              <w:t>Plaquemines</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0.4</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0.8</w:t>
            </w:r>
            <w:r w:rsidRPr="00976623">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2.1</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1.7</w:t>
            </w:r>
            <w:r w:rsidRPr="00976623">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0.5</w:t>
            </w:r>
          </w:p>
        </w:tc>
      </w:tr>
      <w:tr w:rsidR="00B72277" w:rsidRPr="0040504B" w:rsidTr="00B72277">
        <w:trPr>
          <w:jc w:val="center"/>
        </w:trPr>
        <w:tc>
          <w:tcPr>
            <w:tcW w:w="1188" w:type="dxa"/>
            <w:vMerge/>
            <w:vAlign w:val="center"/>
          </w:tcPr>
          <w:p w:rsidR="00B72277" w:rsidRPr="0040504B" w:rsidRDefault="00B72277" w:rsidP="00B72277">
            <w:pPr>
              <w:ind w:left="270"/>
              <w:rPr>
                <w:sz w:val="20"/>
              </w:rPr>
            </w:pPr>
          </w:p>
        </w:tc>
        <w:tc>
          <w:tcPr>
            <w:tcW w:w="1170" w:type="dxa"/>
            <w:tcBorders>
              <w:top w:val="nil"/>
              <w:bottom w:val="nil"/>
            </w:tcBorders>
            <w:vAlign w:val="center"/>
          </w:tcPr>
          <w:p w:rsidR="00B72277" w:rsidRPr="0040504B" w:rsidRDefault="00B72277" w:rsidP="00B72277">
            <w:pPr>
              <w:rPr>
                <w:sz w:val="20"/>
              </w:rPr>
            </w:pPr>
            <w:r w:rsidRPr="0040504B">
              <w:rPr>
                <w:sz w:val="20"/>
              </w:rPr>
              <w:t>St. Bernard</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w:t>
            </w:r>
          </w:p>
        </w:tc>
      </w:tr>
      <w:tr w:rsidR="00B72277" w:rsidRPr="0040504B" w:rsidTr="00B72277">
        <w:trPr>
          <w:jc w:val="center"/>
        </w:trPr>
        <w:tc>
          <w:tcPr>
            <w:tcW w:w="1188" w:type="dxa"/>
            <w:vMerge/>
            <w:vAlign w:val="center"/>
          </w:tcPr>
          <w:p w:rsidR="00B72277" w:rsidRPr="0040504B" w:rsidRDefault="00B72277" w:rsidP="00B72277">
            <w:pPr>
              <w:ind w:left="270"/>
              <w:rPr>
                <w:sz w:val="20"/>
              </w:rPr>
            </w:pPr>
          </w:p>
        </w:tc>
        <w:tc>
          <w:tcPr>
            <w:tcW w:w="1170" w:type="dxa"/>
            <w:tcBorders>
              <w:top w:val="nil"/>
              <w:bottom w:val="single" w:sz="4" w:space="0" w:color="auto"/>
            </w:tcBorders>
            <w:vAlign w:val="center"/>
          </w:tcPr>
          <w:p w:rsidR="00B72277" w:rsidRPr="0040504B" w:rsidRDefault="00B72277" w:rsidP="00B72277">
            <w:pPr>
              <w:rPr>
                <w:sz w:val="20"/>
              </w:rPr>
            </w:pPr>
            <w:r w:rsidRPr="0040504B">
              <w:rPr>
                <w:sz w:val="20"/>
              </w:rPr>
              <w:t>Statewide</w:t>
            </w:r>
          </w:p>
        </w:tc>
        <w:tc>
          <w:tcPr>
            <w:tcW w:w="918" w:type="dxa"/>
            <w:tcBorders>
              <w:top w:val="nil"/>
              <w:bottom w:val="single" w:sz="4" w:space="0" w:color="auto"/>
            </w:tcBorders>
            <w:vAlign w:val="center"/>
          </w:tcPr>
          <w:p w:rsidR="00B72277" w:rsidRPr="001D33B7" w:rsidRDefault="00B72277" w:rsidP="00B72277">
            <w:pPr>
              <w:jc w:val="center"/>
              <w:rPr>
                <w:sz w:val="20"/>
              </w:rPr>
            </w:pPr>
            <w:r w:rsidRPr="001D33B7">
              <w:rPr>
                <w:sz w:val="20"/>
              </w:rPr>
              <w:t>0.6</w:t>
            </w:r>
          </w:p>
        </w:tc>
        <w:tc>
          <w:tcPr>
            <w:tcW w:w="918" w:type="dxa"/>
            <w:tcBorders>
              <w:top w:val="nil"/>
              <w:bottom w:val="single" w:sz="4" w:space="0" w:color="auto"/>
            </w:tcBorders>
            <w:vAlign w:val="center"/>
          </w:tcPr>
          <w:p w:rsidR="00B72277" w:rsidRPr="001D33B7" w:rsidRDefault="00B72277" w:rsidP="00B72277">
            <w:pPr>
              <w:jc w:val="center"/>
              <w:rPr>
                <w:sz w:val="20"/>
              </w:rPr>
            </w:pPr>
            <w:r w:rsidRPr="001D33B7">
              <w:rPr>
                <w:sz w:val="20"/>
              </w:rPr>
              <w:t>0.5</w:t>
            </w:r>
          </w:p>
        </w:tc>
        <w:tc>
          <w:tcPr>
            <w:tcW w:w="918" w:type="dxa"/>
            <w:tcBorders>
              <w:top w:val="nil"/>
              <w:bottom w:val="single" w:sz="4" w:space="0" w:color="auto"/>
            </w:tcBorders>
            <w:vAlign w:val="center"/>
          </w:tcPr>
          <w:p w:rsidR="00B72277" w:rsidRPr="001D33B7" w:rsidRDefault="00B72277" w:rsidP="00B72277">
            <w:pPr>
              <w:jc w:val="center"/>
              <w:rPr>
                <w:sz w:val="20"/>
              </w:rPr>
            </w:pPr>
            <w:r w:rsidRPr="001D33B7">
              <w:rPr>
                <w:sz w:val="20"/>
              </w:rPr>
              <w:t>0.4</w:t>
            </w:r>
          </w:p>
        </w:tc>
        <w:tc>
          <w:tcPr>
            <w:tcW w:w="918" w:type="dxa"/>
            <w:tcBorders>
              <w:top w:val="nil"/>
              <w:bottom w:val="single" w:sz="4" w:space="0" w:color="auto"/>
            </w:tcBorders>
            <w:vAlign w:val="center"/>
          </w:tcPr>
          <w:p w:rsidR="00B72277" w:rsidRPr="001D33B7" w:rsidRDefault="00B72277" w:rsidP="00B72277">
            <w:pPr>
              <w:jc w:val="center"/>
              <w:rPr>
                <w:sz w:val="20"/>
              </w:rPr>
            </w:pPr>
            <w:r w:rsidRPr="001D33B7">
              <w:rPr>
                <w:sz w:val="20"/>
              </w:rPr>
              <w:t>0.5</w:t>
            </w:r>
          </w:p>
        </w:tc>
        <w:tc>
          <w:tcPr>
            <w:tcW w:w="918" w:type="dxa"/>
            <w:tcBorders>
              <w:top w:val="nil"/>
              <w:bottom w:val="single" w:sz="4" w:space="0" w:color="auto"/>
            </w:tcBorders>
            <w:vAlign w:val="center"/>
          </w:tcPr>
          <w:p w:rsidR="00B72277" w:rsidRPr="001D33B7" w:rsidRDefault="00B72277" w:rsidP="00B72277">
            <w:pPr>
              <w:jc w:val="center"/>
              <w:rPr>
                <w:sz w:val="20"/>
              </w:rPr>
            </w:pPr>
            <w:r w:rsidRPr="001D33B7">
              <w:rPr>
                <w:sz w:val="20"/>
              </w:rPr>
              <w:t>0.5</w:t>
            </w:r>
            <w:r w:rsidRPr="006C6064">
              <w:rPr>
                <w:sz w:val="20"/>
              </w:rPr>
              <w:t>*</w:t>
            </w:r>
          </w:p>
        </w:tc>
        <w:tc>
          <w:tcPr>
            <w:tcW w:w="918" w:type="dxa"/>
            <w:tcBorders>
              <w:top w:val="nil"/>
              <w:bottom w:val="single" w:sz="4" w:space="0" w:color="auto"/>
            </w:tcBorders>
            <w:vAlign w:val="center"/>
          </w:tcPr>
          <w:p w:rsidR="00B72277" w:rsidRPr="001D33B7" w:rsidRDefault="00B72277" w:rsidP="00B72277">
            <w:pPr>
              <w:jc w:val="center"/>
              <w:rPr>
                <w:sz w:val="20"/>
              </w:rPr>
            </w:pPr>
            <w:r w:rsidRPr="001D33B7">
              <w:rPr>
                <w:sz w:val="20"/>
              </w:rPr>
              <w:t>0.5</w:t>
            </w:r>
          </w:p>
        </w:tc>
      </w:tr>
      <w:tr w:rsidR="00B72277" w:rsidRPr="0040504B" w:rsidTr="00B72277">
        <w:trPr>
          <w:jc w:val="center"/>
        </w:trPr>
        <w:tc>
          <w:tcPr>
            <w:tcW w:w="1188" w:type="dxa"/>
            <w:vMerge w:val="restart"/>
            <w:vAlign w:val="center"/>
          </w:tcPr>
          <w:p w:rsidR="00B72277" w:rsidRPr="0040504B" w:rsidRDefault="00B72277" w:rsidP="00B72277">
            <w:pPr>
              <w:rPr>
                <w:sz w:val="20"/>
              </w:rPr>
            </w:pPr>
            <w:proofErr w:type="spellStart"/>
            <w:r w:rsidRPr="0040504B">
              <w:rPr>
                <w:sz w:val="20"/>
              </w:rPr>
              <w:t>Metham-phetamine</w:t>
            </w:r>
            <w:proofErr w:type="spellEnd"/>
          </w:p>
        </w:tc>
        <w:tc>
          <w:tcPr>
            <w:tcW w:w="1170" w:type="dxa"/>
            <w:tcBorders>
              <w:bottom w:val="nil"/>
            </w:tcBorders>
            <w:vAlign w:val="center"/>
          </w:tcPr>
          <w:p w:rsidR="00B72277" w:rsidRPr="0040504B" w:rsidRDefault="00B72277" w:rsidP="00B72277">
            <w:pPr>
              <w:rPr>
                <w:sz w:val="20"/>
              </w:rPr>
            </w:pPr>
            <w:r w:rsidRPr="0040504B">
              <w:rPr>
                <w:sz w:val="20"/>
              </w:rPr>
              <w:t>Orleans</w:t>
            </w:r>
          </w:p>
        </w:tc>
        <w:tc>
          <w:tcPr>
            <w:tcW w:w="918" w:type="dxa"/>
            <w:tcBorders>
              <w:bottom w:val="nil"/>
            </w:tcBorders>
            <w:vAlign w:val="center"/>
          </w:tcPr>
          <w:p w:rsidR="00B72277" w:rsidRPr="001D33B7" w:rsidRDefault="00B72277" w:rsidP="00B72277">
            <w:pPr>
              <w:jc w:val="center"/>
              <w:rPr>
                <w:sz w:val="20"/>
              </w:rPr>
            </w:pPr>
            <w:r w:rsidRPr="001D33B7">
              <w:rPr>
                <w:sz w:val="20"/>
              </w:rPr>
              <w:t>0.5</w:t>
            </w:r>
            <w:r w:rsidRPr="004B6598">
              <w:rPr>
                <w:sz w:val="20"/>
              </w:rPr>
              <w:t>#</w:t>
            </w:r>
          </w:p>
        </w:tc>
        <w:tc>
          <w:tcPr>
            <w:tcW w:w="918" w:type="dxa"/>
            <w:tcBorders>
              <w:bottom w:val="nil"/>
            </w:tcBorders>
            <w:vAlign w:val="center"/>
          </w:tcPr>
          <w:p w:rsidR="00B72277" w:rsidRPr="001D33B7" w:rsidRDefault="00B72277" w:rsidP="00B72277">
            <w:pPr>
              <w:jc w:val="center"/>
              <w:rPr>
                <w:sz w:val="20"/>
              </w:rPr>
            </w:pPr>
            <w:r w:rsidRPr="001D33B7">
              <w:rPr>
                <w:sz w:val="20"/>
              </w:rPr>
              <w:t>-</w:t>
            </w:r>
          </w:p>
        </w:tc>
        <w:tc>
          <w:tcPr>
            <w:tcW w:w="918" w:type="dxa"/>
            <w:tcBorders>
              <w:bottom w:val="nil"/>
            </w:tcBorders>
            <w:vAlign w:val="center"/>
          </w:tcPr>
          <w:p w:rsidR="00B72277" w:rsidRPr="001D33B7" w:rsidRDefault="00B72277" w:rsidP="00B72277">
            <w:pPr>
              <w:jc w:val="center"/>
              <w:rPr>
                <w:sz w:val="20"/>
              </w:rPr>
            </w:pPr>
            <w:r w:rsidRPr="001D33B7">
              <w:rPr>
                <w:sz w:val="20"/>
              </w:rPr>
              <w:t>-</w:t>
            </w:r>
          </w:p>
        </w:tc>
        <w:tc>
          <w:tcPr>
            <w:tcW w:w="918" w:type="dxa"/>
            <w:tcBorders>
              <w:bottom w:val="nil"/>
            </w:tcBorders>
            <w:vAlign w:val="center"/>
          </w:tcPr>
          <w:p w:rsidR="00B72277" w:rsidRPr="001D33B7" w:rsidRDefault="00B72277" w:rsidP="00B72277">
            <w:pPr>
              <w:jc w:val="center"/>
              <w:rPr>
                <w:sz w:val="20"/>
              </w:rPr>
            </w:pPr>
            <w:r w:rsidRPr="001D33B7">
              <w:rPr>
                <w:sz w:val="20"/>
              </w:rPr>
              <w:t>0.2</w:t>
            </w:r>
            <w:r w:rsidRPr="004B6598">
              <w:rPr>
                <w:sz w:val="20"/>
              </w:rPr>
              <w:t>#</w:t>
            </w:r>
          </w:p>
        </w:tc>
        <w:tc>
          <w:tcPr>
            <w:tcW w:w="918" w:type="dxa"/>
            <w:tcBorders>
              <w:bottom w:val="nil"/>
            </w:tcBorders>
            <w:vAlign w:val="center"/>
          </w:tcPr>
          <w:p w:rsidR="00B72277" w:rsidRPr="001D33B7" w:rsidRDefault="00B72277" w:rsidP="00B72277">
            <w:pPr>
              <w:jc w:val="center"/>
              <w:rPr>
                <w:sz w:val="20"/>
              </w:rPr>
            </w:pPr>
            <w:r w:rsidRPr="001D33B7">
              <w:rPr>
                <w:sz w:val="20"/>
              </w:rPr>
              <w:t>0.4</w:t>
            </w:r>
            <w:r w:rsidRPr="004B6598">
              <w:rPr>
                <w:sz w:val="20"/>
              </w:rPr>
              <w:t>#</w:t>
            </w:r>
          </w:p>
        </w:tc>
        <w:tc>
          <w:tcPr>
            <w:tcW w:w="918" w:type="dxa"/>
            <w:tcBorders>
              <w:bottom w:val="nil"/>
            </w:tcBorders>
            <w:vAlign w:val="center"/>
          </w:tcPr>
          <w:p w:rsidR="00B72277" w:rsidRPr="001D33B7" w:rsidRDefault="00B72277" w:rsidP="00B72277">
            <w:pPr>
              <w:jc w:val="center"/>
              <w:rPr>
                <w:sz w:val="20"/>
              </w:rPr>
            </w:pPr>
            <w:r w:rsidRPr="001D33B7">
              <w:rPr>
                <w:sz w:val="20"/>
              </w:rPr>
              <w:t>0.3</w:t>
            </w:r>
            <w:r w:rsidRPr="004B6598">
              <w:rPr>
                <w:sz w:val="20"/>
              </w:rPr>
              <w:t>#</w:t>
            </w:r>
          </w:p>
        </w:tc>
      </w:tr>
      <w:tr w:rsidR="00B72277" w:rsidRPr="0040504B" w:rsidTr="00B72277">
        <w:trPr>
          <w:jc w:val="center"/>
        </w:trPr>
        <w:tc>
          <w:tcPr>
            <w:tcW w:w="1188" w:type="dxa"/>
            <w:vMerge/>
            <w:vAlign w:val="center"/>
          </w:tcPr>
          <w:p w:rsidR="00B72277" w:rsidRPr="0040504B" w:rsidRDefault="00B72277" w:rsidP="00B72277">
            <w:pPr>
              <w:ind w:left="270"/>
              <w:rPr>
                <w:sz w:val="20"/>
              </w:rPr>
            </w:pPr>
          </w:p>
        </w:tc>
        <w:tc>
          <w:tcPr>
            <w:tcW w:w="1170" w:type="dxa"/>
            <w:tcBorders>
              <w:top w:val="nil"/>
              <w:bottom w:val="nil"/>
            </w:tcBorders>
            <w:vAlign w:val="center"/>
          </w:tcPr>
          <w:p w:rsidR="00B72277" w:rsidRPr="0040504B" w:rsidRDefault="00B72277" w:rsidP="00B72277">
            <w:pPr>
              <w:rPr>
                <w:sz w:val="20"/>
              </w:rPr>
            </w:pPr>
            <w:r w:rsidRPr="0040504B">
              <w:rPr>
                <w:sz w:val="20"/>
              </w:rPr>
              <w:t>Jefferson</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0.5</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0.6</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0.4</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0.9</w:t>
            </w:r>
            <w:r w:rsidRPr="006C6064">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0.7</w:t>
            </w:r>
            <w:r w:rsidRPr="006C6064">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0.8</w:t>
            </w:r>
            <w:r w:rsidRPr="006C6064">
              <w:rPr>
                <w:sz w:val="20"/>
              </w:rPr>
              <w:t>*</w:t>
            </w:r>
          </w:p>
        </w:tc>
      </w:tr>
      <w:tr w:rsidR="00B72277" w:rsidRPr="0040504B" w:rsidTr="00B72277">
        <w:trPr>
          <w:jc w:val="center"/>
        </w:trPr>
        <w:tc>
          <w:tcPr>
            <w:tcW w:w="1188" w:type="dxa"/>
            <w:vMerge/>
            <w:vAlign w:val="center"/>
          </w:tcPr>
          <w:p w:rsidR="00B72277" w:rsidRPr="0040504B" w:rsidRDefault="00B72277" w:rsidP="00B72277">
            <w:pPr>
              <w:ind w:left="270"/>
              <w:rPr>
                <w:sz w:val="20"/>
              </w:rPr>
            </w:pPr>
          </w:p>
        </w:tc>
        <w:tc>
          <w:tcPr>
            <w:tcW w:w="1170" w:type="dxa"/>
            <w:tcBorders>
              <w:top w:val="nil"/>
              <w:bottom w:val="nil"/>
            </w:tcBorders>
            <w:vAlign w:val="center"/>
          </w:tcPr>
          <w:p w:rsidR="00B72277" w:rsidRPr="0040504B" w:rsidRDefault="00B72277" w:rsidP="00B72277">
            <w:pPr>
              <w:rPr>
                <w:sz w:val="20"/>
              </w:rPr>
            </w:pPr>
            <w:r w:rsidRPr="0040504B">
              <w:rPr>
                <w:sz w:val="20"/>
              </w:rPr>
              <w:t>Plaquemines</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w:t>
            </w:r>
            <w:r w:rsidRPr="00976623">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2.1</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w:t>
            </w:r>
            <w:r w:rsidRPr="00976623">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0.5</w:t>
            </w:r>
          </w:p>
        </w:tc>
      </w:tr>
      <w:tr w:rsidR="00B72277" w:rsidRPr="0040504B" w:rsidTr="00B72277">
        <w:trPr>
          <w:jc w:val="center"/>
        </w:trPr>
        <w:tc>
          <w:tcPr>
            <w:tcW w:w="1188" w:type="dxa"/>
            <w:vMerge/>
            <w:vAlign w:val="center"/>
          </w:tcPr>
          <w:p w:rsidR="00B72277" w:rsidRPr="0040504B" w:rsidRDefault="00B72277" w:rsidP="00B72277">
            <w:pPr>
              <w:ind w:left="270"/>
              <w:rPr>
                <w:sz w:val="20"/>
              </w:rPr>
            </w:pPr>
          </w:p>
        </w:tc>
        <w:tc>
          <w:tcPr>
            <w:tcW w:w="1170" w:type="dxa"/>
            <w:tcBorders>
              <w:top w:val="nil"/>
              <w:bottom w:val="nil"/>
            </w:tcBorders>
            <w:vAlign w:val="center"/>
          </w:tcPr>
          <w:p w:rsidR="00B72277" w:rsidRPr="0040504B" w:rsidRDefault="00B72277" w:rsidP="00B72277">
            <w:pPr>
              <w:rPr>
                <w:sz w:val="20"/>
              </w:rPr>
            </w:pPr>
            <w:r w:rsidRPr="0040504B">
              <w:rPr>
                <w:sz w:val="20"/>
              </w:rPr>
              <w:t>St. Bernard</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w:t>
            </w:r>
          </w:p>
        </w:tc>
      </w:tr>
      <w:tr w:rsidR="00B72277" w:rsidRPr="0040504B" w:rsidTr="00B72277">
        <w:trPr>
          <w:jc w:val="center"/>
        </w:trPr>
        <w:tc>
          <w:tcPr>
            <w:tcW w:w="1188" w:type="dxa"/>
            <w:vMerge/>
            <w:vAlign w:val="center"/>
          </w:tcPr>
          <w:p w:rsidR="00B72277" w:rsidRPr="0040504B" w:rsidRDefault="00B72277" w:rsidP="00B72277">
            <w:pPr>
              <w:ind w:left="270"/>
              <w:rPr>
                <w:sz w:val="20"/>
              </w:rPr>
            </w:pPr>
          </w:p>
        </w:tc>
        <w:tc>
          <w:tcPr>
            <w:tcW w:w="1170" w:type="dxa"/>
            <w:tcBorders>
              <w:top w:val="nil"/>
              <w:bottom w:val="single" w:sz="4" w:space="0" w:color="auto"/>
            </w:tcBorders>
            <w:vAlign w:val="center"/>
          </w:tcPr>
          <w:p w:rsidR="00B72277" w:rsidRPr="0040504B" w:rsidRDefault="00B72277" w:rsidP="00B72277">
            <w:pPr>
              <w:rPr>
                <w:sz w:val="20"/>
              </w:rPr>
            </w:pPr>
            <w:r w:rsidRPr="0040504B">
              <w:rPr>
                <w:sz w:val="20"/>
              </w:rPr>
              <w:t>Statewide</w:t>
            </w:r>
          </w:p>
        </w:tc>
        <w:tc>
          <w:tcPr>
            <w:tcW w:w="918" w:type="dxa"/>
            <w:tcBorders>
              <w:top w:val="nil"/>
              <w:bottom w:val="single" w:sz="4" w:space="0" w:color="auto"/>
            </w:tcBorders>
            <w:vAlign w:val="center"/>
          </w:tcPr>
          <w:p w:rsidR="00B72277" w:rsidRPr="001D33B7" w:rsidRDefault="00B72277" w:rsidP="00B72277">
            <w:pPr>
              <w:jc w:val="center"/>
              <w:rPr>
                <w:sz w:val="20"/>
              </w:rPr>
            </w:pPr>
            <w:r w:rsidRPr="001D33B7">
              <w:rPr>
                <w:sz w:val="20"/>
              </w:rPr>
              <w:t>0.5</w:t>
            </w:r>
          </w:p>
        </w:tc>
        <w:tc>
          <w:tcPr>
            <w:tcW w:w="918" w:type="dxa"/>
            <w:tcBorders>
              <w:top w:val="nil"/>
              <w:bottom w:val="single" w:sz="4" w:space="0" w:color="auto"/>
            </w:tcBorders>
            <w:vAlign w:val="center"/>
          </w:tcPr>
          <w:p w:rsidR="00B72277" w:rsidRPr="001D33B7" w:rsidRDefault="00B72277" w:rsidP="00B72277">
            <w:pPr>
              <w:jc w:val="center"/>
              <w:rPr>
                <w:sz w:val="20"/>
              </w:rPr>
            </w:pPr>
            <w:r w:rsidRPr="001D33B7">
              <w:rPr>
                <w:sz w:val="20"/>
              </w:rPr>
              <w:t>0.5</w:t>
            </w:r>
          </w:p>
        </w:tc>
        <w:tc>
          <w:tcPr>
            <w:tcW w:w="918" w:type="dxa"/>
            <w:tcBorders>
              <w:top w:val="nil"/>
              <w:bottom w:val="single" w:sz="4" w:space="0" w:color="auto"/>
            </w:tcBorders>
            <w:vAlign w:val="center"/>
          </w:tcPr>
          <w:p w:rsidR="00B72277" w:rsidRPr="001D33B7" w:rsidRDefault="00B72277" w:rsidP="00B72277">
            <w:pPr>
              <w:jc w:val="center"/>
              <w:rPr>
                <w:sz w:val="20"/>
              </w:rPr>
            </w:pPr>
            <w:r w:rsidRPr="001D33B7">
              <w:rPr>
                <w:sz w:val="20"/>
              </w:rPr>
              <w:t>0.2</w:t>
            </w:r>
          </w:p>
        </w:tc>
        <w:tc>
          <w:tcPr>
            <w:tcW w:w="918" w:type="dxa"/>
            <w:tcBorders>
              <w:top w:val="nil"/>
              <w:bottom w:val="single" w:sz="4" w:space="0" w:color="auto"/>
            </w:tcBorders>
            <w:vAlign w:val="center"/>
          </w:tcPr>
          <w:p w:rsidR="00B72277" w:rsidRPr="001D33B7" w:rsidRDefault="00B72277" w:rsidP="00B72277">
            <w:pPr>
              <w:jc w:val="center"/>
              <w:rPr>
                <w:sz w:val="20"/>
              </w:rPr>
            </w:pPr>
            <w:r w:rsidRPr="001D33B7">
              <w:rPr>
                <w:sz w:val="20"/>
              </w:rPr>
              <w:t>0.8</w:t>
            </w:r>
          </w:p>
        </w:tc>
        <w:tc>
          <w:tcPr>
            <w:tcW w:w="918" w:type="dxa"/>
            <w:tcBorders>
              <w:top w:val="nil"/>
              <w:bottom w:val="single" w:sz="4" w:space="0" w:color="auto"/>
            </w:tcBorders>
            <w:vAlign w:val="center"/>
          </w:tcPr>
          <w:p w:rsidR="00B72277" w:rsidRPr="001D33B7" w:rsidRDefault="00B72277" w:rsidP="00B72277">
            <w:pPr>
              <w:jc w:val="center"/>
              <w:rPr>
                <w:sz w:val="20"/>
              </w:rPr>
            </w:pPr>
            <w:r w:rsidRPr="001D33B7">
              <w:rPr>
                <w:sz w:val="20"/>
              </w:rPr>
              <w:t>0.8</w:t>
            </w:r>
            <w:r w:rsidRPr="006C6064">
              <w:rPr>
                <w:sz w:val="20"/>
              </w:rPr>
              <w:t>*</w:t>
            </w:r>
          </w:p>
        </w:tc>
        <w:tc>
          <w:tcPr>
            <w:tcW w:w="918" w:type="dxa"/>
            <w:tcBorders>
              <w:top w:val="nil"/>
              <w:bottom w:val="single" w:sz="4" w:space="0" w:color="auto"/>
            </w:tcBorders>
            <w:vAlign w:val="center"/>
          </w:tcPr>
          <w:p w:rsidR="00B72277" w:rsidRPr="001D33B7" w:rsidRDefault="00B72277" w:rsidP="00B72277">
            <w:pPr>
              <w:jc w:val="center"/>
              <w:rPr>
                <w:sz w:val="20"/>
              </w:rPr>
            </w:pPr>
            <w:r w:rsidRPr="001D33B7">
              <w:rPr>
                <w:sz w:val="20"/>
              </w:rPr>
              <w:t>0.4</w:t>
            </w:r>
          </w:p>
        </w:tc>
      </w:tr>
      <w:tr w:rsidR="00B72277" w:rsidRPr="0040504B" w:rsidTr="00B72277">
        <w:trPr>
          <w:jc w:val="center"/>
        </w:trPr>
        <w:tc>
          <w:tcPr>
            <w:tcW w:w="1188" w:type="dxa"/>
            <w:vMerge w:val="restart"/>
            <w:vAlign w:val="center"/>
          </w:tcPr>
          <w:p w:rsidR="00B72277" w:rsidRPr="0040504B" w:rsidRDefault="00B72277" w:rsidP="00B72277">
            <w:pPr>
              <w:rPr>
                <w:sz w:val="20"/>
              </w:rPr>
            </w:pPr>
            <w:r w:rsidRPr="0040504B">
              <w:rPr>
                <w:sz w:val="20"/>
              </w:rPr>
              <w:t>Heroin</w:t>
            </w:r>
          </w:p>
        </w:tc>
        <w:tc>
          <w:tcPr>
            <w:tcW w:w="1170" w:type="dxa"/>
            <w:tcBorders>
              <w:bottom w:val="nil"/>
            </w:tcBorders>
            <w:vAlign w:val="center"/>
          </w:tcPr>
          <w:p w:rsidR="00B72277" w:rsidRPr="0040504B" w:rsidRDefault="00B72277" w:rsidP="00B72277">
            <w:pPr>
              <w:rPr>
                <w:sz w:val="20"/>
              </w:rPr>
            </w:pPr>
            <w:r w:rsidRPr="0040504B">
              <w:rPr>
                <w:sz w:val="20"/>
              </w:rPr>
              <w:t>Orleans</w:t>
            </w:r>
          </w:p>
        </w:tc>
        <w:tc>
          <w:tcPr>
            <w:tcW w:w="918" w:type="dxa"/>
            <w:tcBorders>
              <w:bottom w:val="nil"/>
            </w:tcBorders>
            <w:vAlign w:val="center"/>
          </w:tcPr>
          <w:p w:rsidR="00B72277" w:rsidRPr="001D33B7" w:rsidRDefault="00B72277" w:rsidP="00B72277">
            <w:pPr>
              <w:jc w:val="center"/>
              <w:rPr>
                <w:sz w:val="20"/>
              </w:rPr>
            </w:pPr>
            <w:r w:rsidRPr="001D33B7">
              <w:rPr>
                <w:sz w:val="20"/>
              </w:rPr>
              <w:t>0.2</w:t>
            </w:r>
            <w:r w:rsidRPr="004B6598">
              <w:rPr>
                <w:sz w:val="20"/>
              </w:rPr>
              <w:t>#</w:t>
            </w:r>
          </w:p>
        </w:tc>
        <w:tc>
          <w:tcPr>
            <w:tcW w:w="918" w:type="dxa"/>
            <w:tcBorders>
              <w:bottom w:val="nil"/>
            </w:tcBorders>
            <w:vAlign w:val="center"/>
          </w:tcPr>
          <w:p w:rsidR="00B72277" w:rsidRPr="001D33B7" w:rsidRDefault="00B72277" w:rsidP="00B72277">
            <w:pPr>
              <w:jc w:val="center"/>
              <w:rPr>
                <w:sz w:val="20"/>
              </w:rPr>
            </w:pPr>
            <w:r w:rsidRPr="001D33B7">
              <w:rPr>
                <w:sz w:val="20"/>
              </w:rPr>
              <w:t>-</w:t>
            </w:r>
          </w:p>
        </w:tc>
        <w:tc>
          <w:tcPr>
            <w:tcW w:w="918" w:type="dxa"/>
            <w:tcBorders>
              <w:bottom w:val="nil"/>
            </w:tcBorders>
            <w:vAlign w:val="center"/>
          </w:tcPr>
          <w:p w:rsidR="00B72277" w:rsidRPr="001D33B7" w:rsidRDefault="00B72277" w:rsidP="00B72277">
            <w:pPr>
              <w:jc w:val="center"/>
              <w:rPr>
                <w:sz w:val="20"/>
              </w:rPr>
            </w:pPr>
            <w:r w:rsidRPr="001D33B7">
              <w:rPr>
                <w:sz w:val="20"/>
              </w:rPr>
              <w:t>0.2</w:t>
            </w:r>
            <w:r w:rsidRPr="004B6598">
              <w:rPr>
                <w:sz w:val="20"/>
              </w:rPr>
              <w:t>#</w:t>
            </w:r>
          </w:p>
        </w:tc>
        <w:tc>
          <w:tcPr>
            <w:tcW w:w="918" w:type="dxa"/>
            <w:tcBorders>
              <w:bottom w:val="nil"/>
            </w:tcBorders>
            <w:vAlign w:val="center"/>
          </w:tcPr>
          <w:p w:rsidR="00B72277" w:rsidRPr="001D33B7" w:rsidRDefault="00B72277" w:rsidP="00B72277">
            <w:pPr>
              <w:jc w:val="center"/>
              <w:rPr>
                <w:sz w:val="20"/>
              </w:rPr>
            </w:pPr>
            <w:r w:rsidRPr="001D33B7">
              <w:rPr>
                <w:sz w:val="20"/>
              </w:rPr>
              <w:t>0</w:t>
            </w:r>
            <w:r>
              <w:rPr>
                <w:sz w:val="20"/>
              </w:rPr>
              <w:t>.0</w:t>
            </w:r>
            <w:r w:rsidRPr="004B6598">
              <w:rPr>
                <w:sz w:val="20"/>
              </w:rPr>
              <w:t>#</w:t>
            </w:r>
          </w:p>
        </w:tc>
        <w:tc>
          <w:tcPr>
            <w:tcW w:w="918" w:type="dxa"/>
            <w:tcBorders>
              <w:bottom w:val="nil"/>
            </w:tcBorders>
            <w:vAlign w:val="center"/>
          </w:tcPr>
          <w:p w:rsidR="00B72277" w:rsidRPr="001D33B7" w:rsidRDefault="00B72277" w:rsidP="00B72277">
            <w:pPr>
              <w:jc w:val="center"/>
              <w:rPr>
                <w:sz w:val="20"/>
              </w:rPr>
            </w:pPr>
            <w:r w:rsidRPr="001D33B7">
              <w:rPr>
                <w:sz w:val="20"/>
              </w:rPr>
              <w:t>-</w:t>
            </w:r>
          </w:p>
        </w:tc>
        <w:tc>
          <w:tcPr>
            <w:tcW w:w="918" w:type="dxa"/>
            <w:tcBorders>
              <w:bottom w:val="nil"/>
            </w:tcBorders>
            <w:vAlign w:val="center"/>
          </w:tcPr>
          <w:p w:rsidR="00B72277" w:rsidRPr="001D33B7" w:rsidRDefault="00B72277" w:rsidP="00B72277">
            <w:pPr>
              <w:jc w:val="center"/>
              <w:rPr>
                <w:sz w:val="20"/>
              </w:rPr>
            </w:pPr>
            <w:r w:rsidRPr="001D33B7">
              <w:rPr>
                <w:sz w:val="20"/>
              </w:rPr>
              <w:t>0.3</w:t>
            </w:r>
            <w:r w:rsidRPr="004B6598">
              <w:rPr>
                <w:sz w:val="20"/>
              </w:rPr>
              <w:t>#</w:t>
            </w:r>
          </w:p>
        </w:tc>
      </w:tr>
      <w:tr w:rsidR="00B72277" w:rsidRPr="0040504B" w:rsidTr="00B72277">
        <w:trPr>
          <w:jc w:val="center"/>
        </w:trPr>
        <w:tc>
          <w:tcPr>
            <w:tcW w:w="1188" w:type="dxa"/>
            <w:vMerge/>
            <w:vAlign w:val="center"/>
          </w:tcPr>
          <w:p w:rsidR="00B72277" w:rsidRPr="0040504B" w:rsidRDefault="00B72277" w:rsidP="00B72277">
            <w:pPr>
              <w:ind w:left="270"/>
              <w:rPr>
                <w:sz w:val="20"/>
              </w:rPr>
            </w:pPr>
          </w:p>
        </w:tc>
        <w:tc>
          <w:tcPr>
            <w:tcW w:w="1170" w:type="dxa"/>
            <w:tcBorders>
              <w:top w:val="nil"/>
              <w:bottom w:val="nil"/>
            </w:tcBorders>
            <w:vAlign w:val="center"/>
          </w:tcPr>
          <w:p w:rsidR="00B72277" w:rsidRPr="0040504B" w:rsidRDefault="00B72277" w:rsidP="00B72277">
            <w:pPr>
              <w:rPr>
                <w:sz w:val="20"/>
              </w:rPr>
            </w:pPr>
            <w:r w:rsidRPr="0040504B">
              <w:rPr>
                <w:sz w:val="20"/>
              </w:rPr>
              <w:t>Jefferson</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0.1</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0.4</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0.4</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0.1</w:t>
            </w:r>
            <w:r w:rsidRPr="006C6064">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0.3</w:t>
            </w:r>
            <w:r w:rsidRPr="006C6064">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0.3</w:t>
            </w:r>
            <w:r w:rsidRPr="006C6064">
              <w:rPr>
                <w:sz w:val="20"/>
              </w:rPr>
              <w:t>*</w:t>
            </w:r>
          </w:p>
        </w:tc>
      </w:tr>
      <w:tr w:rsidR="00B72277" w:rsidRPr="0040504B" w:rsidTr="00B72277">
        <w:trPr>
          <w:jc w:val="center"/>
        </w:trPr>
        <w:tc>
          <w:tcPr>
            <w:tcW w:w="1188" w:type="dxa"/>
            <w:vMerge/>
            <w:vAlign w:val="center"/>
          </w:tcPr>
          <w:p w:rsidR="00B72277" w:rsidRPr="0040504B" w:rsidRDefault="00B72277" w:rsidP="00B72277">
            <w:pPr>
              <w:ind w:left="270"/>
              <w:rPr>
                <w:sz w:val="20"/>
              </w:rPr>
            </w:pPr>
          </w:p>
        </w:tc>
        <w:tc>
          <w:tcPr>
            <w:tcW w:w="1170" w:type="dxa"/>
            <w:tcBorders>
              <w:top w:val="nil"/>
              <w:bottom w:val="nil"/>
            </w:tcBorders>
            <w:vAlign w:val="center"/>
          </w:tcPr>
          <w:p w:rsidR="00B72277" w:rsidRPr="0040504B" w:rsidRDefault="00B72277" w:rsidP="00B72277">
            <w:pPr>
              <w:rPr>
                <w:sz w:val="20"/>
              </w:rPr>
            </w:pPr>
            <w:r w:rsidRPr="0040504B">
              <w:rPr>
                <w:sz w:val="20"/>
              </w:rPr>
              <w:t>Plaquemines</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0.4</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w:t>
            </w:r>
            <w:r w:rsidRPr="00935FA7">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0.4</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0.5</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1.7</w:t>
            </w:r>
            <w:r w:rsidRPr="00935FA7">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w:t>
            </w:r>
          </w:p>
        </w:tc>
      </w:tr>
      <w:tr w:rsidR="00B72277" w:rsidRPr="0040504B" w:rsidTr="00B72277">
        <w:trPr>
          <w:jc w:val="center"/>
        </w:trPr>
        <w:tc>
          <w:tcPr>
            <w:tcW w:w="1188" w:type="dxa"/>
            <w:vMerge/>
            <w:vAlign w:val="center"/>
          </w:tcPr>
          <w:p w:rsidR="00B72277" w:rsidRPr="0040504B" w:rsidRDefault="00B72277" w:rsidP="00B72277">
            <w:pPr>
              <w:ind w:left="270"/>
              <w:rPr>
                <w:sz w:val="20"/>
              </w:rPr>
            </w:pPr>
          </w:p>
        </w:tc>
        <w:tc>
          <w:tcPr>
            <w:tcW w:w="1170" w:type="dxa"/>
            <w:tcBorders>
              <w:top w:val="nil"/>
              <w:bottom w:val="nil"/>
            </w:tcBorders>
            <w:vAlign w:val="center"/>
          </w:tcPr>
          <w:p w:rsidR="00B72277" w:rsidRPr="0040504B" w:rsidRDefault="00B72277" w:rsidP="00B72277">
            <w:pPr>
              <w:rPr>
                <w:sz w:val="20"/>
              </w:rPr>
            </w:pPr>
            <w:r w:rsidRPr="0040504B">
              <w:rPr>
                <w:sz w:val="20"/>
              </w:rPr>
              <w:t>St. Bernard</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w:t>
            </w:r>
          </w:p>
        </w:tc>
      </w:tr>
      <w:tr w:rsidR="00B72277" w:rsidRPr="0040504B" w:rsidTr="00B72277">
        <w:trPr>
          <w:jc w:val="center"/>
        </w:trPr>
        <w:tc>
          <w:tcPr>
            <w:tcW w:w="1188" w:type="dxa"/>
            <w:vMerge/>
            <w:vAlign w:val="center"/>
          </w:tcPr>
          <w:p w:rsidR="00B72277" w:rsidRPr="0040504B" w:rsidRDefault="00B72277" w:rsidP="00B72277">
            <w:pPr>
              <w:ind w:left="270"/>
              <w:rPr>
                <w:sz w:val="20"/>
              </w:rPr>
            </w:pPr>
          </w:p>
        </w:tc>
        <w:tc>
          <w:tcPr>
            <w:tcW w:w="1170" w:type="dxa"/>
            <w:tcBorders>
              <w:top w:val="nil"/>
              <w:bottom w:val="single" w:sz="4" w:space="0" w:color="auto"/>
            </w:tcBorders>
            <w:vAlign w:val="center"/>
          </w:tcPr>
          <w:p w:rsidR="00B72277" w:rsidRPr="0040504B" w:rsidRDefault="00B72277" w:rsidP="00B72277">
            <w:pPr>
              <w:rPr>
                <w:sz w:val="20"/>
              </w:rPr>
            </w:pPr>
            <w:r w:rsidRPr="0040504B">
              <w:rPr>
                <w:sz w:val="20"/>
              </w:rPr>
              <w:t>Statewide</w:t>
            </w:r>
          </w:p>
        </w:tc>
        <w:tc>
          <w:tcPr>
            <w:tcW w:w="918" w:type="dxa"/>
            <w:tcBorders>
              <w:top w:val="nil"/>
              <w:bottom w:val="single" w:sz="4" w:space="0" w:color="auto"/>
            </w:tcBorders>
            <w:vAlign w:val="center"/>
          </w:tcPr>
          <w:p w:rsidR="00B72277" w:rsidRPr="001D33B7" w:rsidRDefault="00B72277" w:rsidP="00B72277">
            <w:pPr>
              <w:jc w:val="center"/>
              <w:rPr>
                <w:sz w:val="20"/>
              </w:rPr>
            </w:pPr>
            <w:r w:rsidRPr="001D33B7">
              <w:rPr>
                <w:sz w:val="20"/>
              </w:rPr>
              <w:t>0.3</w:t>
            </w:r>
          </w:p>
        </w:tc>
        <w:tc>
          <w:tcPr>
            <w:tcW w:w="918" w:type="dxa"/>
            <w:tcBorders>
              <w:top w:val="nil"/>
              <w:bottom w:val="single" w:sz="4" w:space="0" w:color="auto"/>
            </w:tcBorders>
            <w:vAlign w:val="center"/>
          </w:tcPr>
          <w:p w:rsidR="00B72277" w:rsidRPr="001D33B7" w:rsidRDefault="00B72277" w:rsidP="00B72277">
            <w:pPr>
              <w:jc w:val="center"/>
              <w:rPr>
                <w:sz w:val="20"/>
              </w:rPr>
            </w:pPr>
            <w:r w:rsidRPr="001D33B7">
              <w:rPr>
                <w:sz w:val="20"/>
              </w:rPr>
              <w:t>0.3</w:t>
            </w:r>
          </w:p>
        </w:tc>
        <w:tc>
          <w:tcPr>
            <w:tcW w:w="918" w:type="dxa"/>
            <w:tcBorders>
              <w:top w:val="nil"/>
              <w:bottom w:val="single" w:sz="4" w:space="0" w:color="auto"/>
            </w:tcBorders>
            <w:vAlign w:val="center"/>
          </w:tcPr>
          <w:p w:rsidR="00B72277" w:rsidRPr="001D33B7" w:rsidRDefault="00B72277" w:rsidP="00B72277">
            <w:pPr>
              <w:jc w:val="center"/>
              <w:rPr>
                <w:sz w:val="20"/>
              </w:rPr>
            </w:pPr>
            <w:r w:rsidRPr="001D33B7">
              <w:rPr>
                <w:sz w:val="20"/>
              </w:rPr>
              <w:t>0.2</w:t>
            </w:r>
          </w:p>
        </w:tc>
        <w:tc>
          <w:tcPr>
            <w:tcW w:w="918" w:type="dxa"/>
            <w:tcBorders>
              <w:top w:val="nil"/>
              <w:bottom w:val="single" w:sz="4" w:space="0" w:color="auto"/>
            </w:tcBorders>
            <w:vAlign w:val="center"/>
          </w:tcPr>
          <w:p w:rsidR="00B72277" w:rsidRPr="001D33B7" w:rsidRDefault="00B72277" w:rsidP="00B72277">
            <w:pPr>
              <w:jc w:val="center"/>
              <w:rPr>
                <w:sz w:val="20"/>
              </w:rPr>
            </w:pPr>
            <w:r w:rsidRPr="001D33B7">
              <w:rPr>
                <w:sz w:val="20"/>
              </w:rPr>
              <w:t>0.3</w:t>
            </w:r>
          </w:p>
        </w:tc>
        <w:tc>
          <w:tcPr>
            <w:tcW w:w="918" w:type="dxa"/>
            <w:tcBorders>
              <w:top w:val="nil"/>
              <w:bottom w:val="single" w:sz="4" w:space="0" w:color="auto"/>
            </w:tcBorders>
            <w:vAlign w:val="center"/>
          </w:tcPr>
          <w:p w:rsidR="00B72277" w:rsidRPr="001D33B7" w:rsidRDefault="00B72277" w:rsidP="00B72277">
            <w:pPr>
              <w:jc w:val="center"/>
              <w:rPr>
                <w:sz w:val="20"/>
              </w:rPr>
            </w:pPr>
            <w:r w:rsidRPr="001D33B7">
              <w:rPr>
                <w:sz w:val="20"/>
              </w:rPr>
              <w:t>0.3</w:t>
            </w:r>
            <w:r w:rsidRPr="006C6064">
              <w:rPr>
                <w:sz w:val="20"/>
              </w:rPr>
              <w:t>*</w:t>
            </w:r>
          </w:p>
        </w:tc>
        <w:tc>
          <w:tcPr>
            <w:tcW w:w="918" w:type="dxa"/>
            <w:tcBorders>
              <w:top w:val="nil"/>
              <w:bottom w:val="single" w:sz="4" w:space="0" w:color="auto"/>
            </w:tcBorders>
            <w:vAlign w:val="center"/>
          </w:tcPr>
          <w:p w:rsidR="00B72277" w:rsidRPr="001D33B7" w:rsidRDefault="00B72277" w:rsidP="00B72277">
            <w:pPr>
              <w:jc w:val="center"/>
              <w:rPr>
                <w:sz w:val="20"/>
              </w:rPr>
            </w:pPr>
            <w:r w:rsidRPr="001D33B7">
              <w:rPr>
                <w:sz w:val="20"/>
              </w:rPr>
              <w:t>0.3</w:t>
            </w:r>
          </w:p>
        </w:tc>
      </w:tr>
      <w:tr w:rsidR="00B72277" w:rsidRPr="0040504B" w:rsidTr="00B72277">
        <w:trPr>
          <w:jc w:val="center"/>
        </w:trPr>
        <w:tc>
          <w:tcPr>
            <w:tcW w:w="1188" w:type="dxa"/>
            <w:vMerge w:val="restart"/>
            <w:vAlign w:val="center"/>
          </w:tcPr>
          <w:p w:rsidR="00B72277" w:rsidRPr="0040504B" w:rsidRDefault="00B72277" w:rsidP="00B72277">
            <w:pPr>
              <w:rPr>
                <w:sz w:val="20"/>
              </w:rPr>
            </w:pPr>
            <w:r w:rsidRPr="0040504B">
              <w:rPr>
                <w:sz w:val="20"/>
              </w:rPr>
              <w:t>Ecstasy</w:t>
            </w:r>
          </w:p>
        </w:tc>
        <w:tc>
          <w:tcPr>
            <w:tcW w:w="1170" w:type="dxa"/>
            <w:tcBorders>
              <w:bottom w:val="nil"/>
            </w:tcBorders>
            <w:vAlign w:val="center"/>
          </w:tcPr>
          <w:p w:rsidR="00B72277" w:rsidRPr="0040504B" w:rsidRDefault="00B72277" w:rsidP="00B72277">
            <w:pPr>
              <w:rPr>
                <w:sz w:val="20"/>
              </w:rPr>
            </w:pPr>
            <w:r w:rsidRPr="0040504B">
              <w:rPr>
                <w:sz w:val="20"/>
              </w:rPr>
              <w:t>Orleans</w:t>
            </w:r>
          </w:p>
        </w:tc>
        <w:tc>
          <w:tcPr>
            <w:tcW w:w="918" w:type="dxa"/>
            <w:tcBorders>
              <w:bottom w:val="nil"/>
            </w:tcBorders>
            <w:vAlign w:val="center"/>
          </w:tcPr>
          <w:p w:rsidR="00B72277" w:rsidRPr="001D33B7" w:rsidRDefault="00B72277" w:rsidP="00B72277">
            <w:pPr>
              <w:jc w:val="center"/>
              <w:rPr>
                <w:sz w:val="20"/>
              </w:rPr>
            </w:pPr>
            <w:r w:rsidRPr="001D33B7">
              <w:rPr>
                <w:sz w:val="20"/>
              </w:rPr>
              <w:t>0.8</w:t>
            </w:r>
            <w:r w:rsidRPr="004B6598">
              <w:rPr>
                <w:sz w:val="20"/>
              </w:rPr>
              <w:t>#</w:t>
            </w:r>
          </w:p>
        </w:tc>
        <w:tc>
          <w:tcPr>
            <w:tcW w:w="918" w:type="dxa"/>
            <w:tcBorders>
              <w:bottom w:val="nil"/>
            </w:tcBorders>
            <w:vAlign w:val="center"/>
          </w:tcPr>
          <w:p w:rsidR="00B72277" w:rsidRPr="001D33B7" w:rsidRDefault="00B72277" w:rsidP="00B72277">
            <w:pPr>
              <w:jc w:val="center"/>
              <w:rPr>
                <w:sz w:val="20"/>
              </w:rPr>
            </w:pPr>
            <w:r w:rsidRPr="001D33B7">
              <w:rPr>
                <w:sz w:val="20"/>
              </w:rPr>
              <w:t>0.4</w:t>
            </w:r>
            <w:r w:rsidRPr="004B6598">
              <w:rPr>
                <w:sz w:val="20"/>
              </w:rPr>
              <w:t>#</w:t>
            </w:r>
          </w:p>
        </w:tc>
        <w:tc>
          <w:tcPr>
            <w:tcW w:w="918" w:type="dxa"/>
            <w:tcBorders>
              <w:bottom w:val="nil"/>
            </w:tcBorders>
            <w:vAlign w:val="center"/>
          </w:tcPr>
          <w:p w:rsidR="00B72277" w:rsidRPr="001D33B7" w:rsidRDefault="00B72277" w:rsidP="00B72277">
            <w:pPr>
              <w:jc w:val="center"/>
              <w:rPr>
                <w:sz w:val="20"/>
              </w:rPr>
            </w:pPr>
            <w:r w:rsidRPr="001D33B7">
              <w:rPr>
                <w:sz w:val="20"/>
              </w:rPr>
              <w:t>-</w:t>
            </w:r>
          </w:p>
        </w:tc>
        <w:tc>
          <w:tcPr>
            <w:tcW w:w="918" w:type="dxa"/>
            <w:tcBorders>
              <w:bottom w:val="nil"/>
            </w:tcBorders>
            <w:vAlign w:val="center"/>
          </w:tcPr>
          <w:p w:rsidR="00B72277" w:rsidRPr="001D33B7" w:rsidRDefault="00B72277" w:rsidP="00B72277">
            <w:pPr>
              <w:jc w:val="center"/>
              <w:rPr>
                <w:sz w:val="20"/>
              </w:rPr>
            </w:pPr>
            <w:r w:rsidRPr="001D33B7">
              <w:rPr>
                <w:sz w:val="20"/>
              </w:rPr>
              <w:t>0.4</w:t>
            </w:r>
            <w:r w:rsidRPr="004B6598">
              <w:rPr>
                <w:sz w:val="20"/>
              </w:rPr>
              <w:t>#</w:t>
            </w:r>
          </w:p>
        </w:tc>
        <w:tc>
          <w:tcPr>
            <w:tcW w:w="918" w:type="dxa"/>
            <w:tcBorders>
              <w:bottom w:val="nil"/>
            </w:tcBorders>
            <w:vAlign w:val="center"/>
          </w:tcPr>
          <w:p w:rsidR="00B72277" w:rsidRPr="001D33B7" w:rsidRDefault="00B72277" w:rsidP="00B72277">
            <w:pPr>
              <w:jc w:val="center"/>
              <w:rPr>
                <w:sz w:val="20"/>
              </w:rPr>
            </w:pPr>
            <w:r w:rsidRPr="001D33B7">
              <w:rPr>
                <w:sz w:val="20"/>
              </w:rPr>
              <w:t>0.4</w:t>
            </w:r>
            <w:r w:rsidRPr="004B6598">
              <w:rPr>
                <w:sz w:val="20"/>
              </w:rPr>
              <w:t>#</w:t>
            </w:r>
          </w:p>
        </w:tc>
        <w:tc>
          <w:tcPr>
            <w:tcW w:w="918" w:type="dxa"/>
            <w:tcBorders>
              <w:bottom w:val="nil"/>
            </w:tcBorders>
            <w:vAlign w:val="center"/>
          </w:tcPr>
          <w:p w:rsidR="00B72277" w:rsidRPr="001D33B7" w:rsidRDefault="00B72277" w:rsidP="00B72277">
            <w:pPr>
              <w:jc w:val="center"/>
              <w:rPr>
                <w:sz w:val="20"/>
              </w:rPr>
            </w:pPr>
            <w:r w:rsidRPr="001D33B7">
              <w:rPr>
                <w:sz w:val="20"/>
              </w:rPr>
              <w:t>0.5</w:t>
            </w:r>
            <w:r w:rsidRPr="004B6598">
              <w:rPr>
                <w:sz w:val="20"/>
              </w:rPr>
              <w:t>#</w:t>
            </w:r>
          </w:p>
        </w:tc>
      </w:tr>
      <w:tr w:rsidR="00B72277" w:rsidRPr="0040504B" w:rsidTr="00B72277">
        <w:trPr>
          <w:jc w:val="center"/>
        </w:trPr>
        <w:tc>
          <w:tcPr>
            <w:tcW w:w="1188" w:type="dxa"/>
            <w:vMerge/>
            <w:vAlign w:val="center"/>
          </w:tcPr>
          <w:p w:rsidR="00B72277" w:rsidRPr="0040504B" w:rsidRDefault="00B72277" w:rsidP="00B72277">
            <w:pPr>
              <w:ind w:left="270"/>
              <w:rPr>
                <w:sz w:val="20"/>
              </w:rPr>
            </w:pPr>
          </w:p>
        </w:tc>
        <w:tc>
          <w:tcPr>
            <w:tcW w:w="1170" w:type="dxa"/>
            <w:tcBorders>
              <w:top w:val="nil"/>
              <w:bottom w:val="nil"/>
            </w:tcBorders>
            <w:vAlign w:val="center"/>
          </w:tcPr>
          <w:p w:rsidR="00B72277" w:rsidRPr="0040504B" w:rsidRDefault="00B72277" w:rsidP="00B72277">
            <w:pPr>
              <w:rPr>
                <w:sz w:val="20"/>
              </w:rPr>
            </w:pPr>
            <w:r w:rsidRPr="0040504B">
              <w:rPr>
                <w:sz w:val="20"/>
              </w:rPr>
              <w:t>Jefferson</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0.6</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0.6</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0.6</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1.7</w:t>
            </w:r>
            <w:r w:rsidRPr="006C6064">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1.4</w:t>
            </w:r>
            <w:r w:rsidRPr="006C6064">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0.8</w:t>
            </w:r>
            <w:r w:rsidRPr="006C6064">
              <w:rPr>
                <w:sz w:val="20"/>
              </w:rPr>
              <w:t>*</w:t>
            </w:r>
          </w:p>
        </w:tc>
      </w:tr>
      <w:tr w:rsidR="00B72277" w:rsidRPr="0040504B" w:rsidTr="00B72277">
        <w:trPr>
          <w:jc w:val="center"/>
        </w:trPr>
        <w:tc>
          <w:tcPr>
            <w:tcW w:w="1188" w:type="dxa"/>
            <w:vMerge/>
            <w:vAlign w:val="center"/>
          </w:tcPr>
          <w:p w:rsidR="00B72277" w:rsidRPr="0040504B" w:rsidRDefault="00B72277" w:rsidP="00B72277">
            <w:pPr>
              <w:ind w:left="270"/>
              <w:rPr>
                <w:sz w:val="20"/>
              </w:rPr>
            </w:pPr>
          </w:p>
        </w:tc>
        <w:tc>
          <w:tcPr>
            <w:tcW w:w="1170" w:type="dxa"/>
            <w:tcBorders>
              <w:top w:val="nil"/>
              <w:bottom w:val="nil"/>
            </w:tcBorders>
            <w:vAlign w:val="center"/>
          </w:tcPr>
          <w:p w:rsidR="00B72277" w:rsidRPr="0040504B" w:rsidRDefault="00B72277" w:rsidP="00B72277">
            <w:pPr>
              <w:rPr>
                <w:sz w:val="20"/>
              </w:rPr>
            </w:pPr>
            <w:r w:rsidRPr="0040504B">
              <w:rPr>
                <w:sz w:val="20"/>
              </w:rPr>
              <w:t>Plaquemines</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1.3</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0.8</w:t>
            </w:r>
            <w:r w:rsidRPr="00935FA7">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0.9</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5.4</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3.4</w:t>
            </w:r>
            <w:r w:rsidRPr="00935FA7">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0.5</w:t>
            </w:r>
          </w:p>
        </w:tc>
      </w:tr>
      <w:tr w:rsidR="00B72277" w:rsidRPr="0040504B" w:rsidTr="00B72277">
        <w:trPr>
          <w:jc w:val="center"/>
        </w:trPr>
        <w:tc>
          <w:tcPr>
            <w:tcW w:w="1188" w:type="dxa"/>
            <w:vMerge/>
            <w:vAlign w:val="center"/>
          </w:tcPr>
          <w:p w:rsidR="00B72277" w:rsidRPr="0040504B" w:rsidRDefault="00B72277" w:rsidP="00B72277">
            <w:pPr>
              <w:ind w:left="270"/>
              <w:rPr>
                <w:sz w:val="20"/>
              </w:rPr>
            </w:pPr>
          </w:p>
        </w:tc>
        <w:tc>
          <w:tcPr>
            <w:tcW w:w="1170" w:type="dxa"/>
            <w:tcBorders>
              <w:top w:val="nil"/>
              <w:bottom w:val="nil"/>
            </w:tcBorders>
            <w:vAlign w:val="center"/>
          </w:tcPr>
          <w:p w:rsidR="00B72277" w:rsidRPr="0040504B" w:rsidRDefault="00B72277" w:rsidP="00B72277">
            <w:pPr>
              <w:rPr>
                <w:sz w:val="20"/>
              </w:rPr>
            </w:pPr>
            <w:r w:rsidRPr="0040504B">
              <w:rPr>
                <w:sz w:val="20"/>
              </w:rPr>
              <w:t>St. Bernard</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w:t>
            </w:r>
          </w:p>
        </w:tc>
        <w:tc>
          <w:tcPr>
            <w:tcW w:w="918" w:type="dxa"/>
            <w:tcBorders>
              <w:top w:val="nil"/>
              <w:bottom w:val="nil"/>
            </w:tcBorders>
            <w:vAlign w:val="center"/>
          </w:tcPr>
          <w:p w:rsidR="00B72277" w:rsidRPr="001D33B7" w:rsidRDefault="00B72277" w:rsidP="00B72277">
            <w:pPr>
              <w:jc w:val="center"/>
              <w:rPr>
                <w:sz w:val="20"/>
              </w:rPr>
            </w:pPr>
            <w:r w:rsidRPr="001D33B7">
              <w:rPr>
                <w:sz w:val="20"/>
              </w:rPr>
              <w:t>--</w:t>
            </w:r>
          </w:p>
        </w:tc>
      </w:tr>
      <w:tr w:rsidR="00B72277" w:rsidRPr="0040504B" w:rsidTr="00B72277">
        <w:trPr>
          <w:jc w:val="center"/>
        </w:trPr>
        <w:tc>
          <w:tcPr>
            <w:tcW w:w="1188" w:type="dxa"/>
            <w:vMerge/>
            <w:vAlign w:val="center"/>
          </w:tcPr>
          <w:p w:rsidR="00B72277" w:rsidRPr="0040504B" w:rsidRDefault="00B72277" w:rsidP="00B72277">
            <w:pPr>
              <w:ind w:left="270"/>
              <w:rPr>
                <w:sz w:val="20"/>
              </w:rPr>
            </w:pPr>
          </w:p>
        </w:tc>
        <w:tc>
          <w:tcPr>
            <w:tcW w:w="1170" w:type="dxa"/>
            <w:tcBorders>
              <w:top w:val="nil"/>
              <w:bottom w:val="single" w:sz="4" w:space="0" w:color="auto"/>
            </w:tcBorders>
            <w:vAlign w:val="center"/>
          </w:tcPr>
          <w:p w:rsidR="00B72277" w:rsidRPr="0040504B" w:rsidRDefault="00B72277" w:rsidP="00B72277">
            <w:pPr>
              <w:rPr>
                <w:sz w:val="20"/>
              </w:rPr>
            </w:pPr>
            <w:r w:rsidRPr="0040504B">
              <w:rPr>
                <w:sz w:val="20"/>
              </w:rPr>
              <w:t>Statewide</w:t>
            </w:r>
          </w:p>
        </w:tc>
        <w:tc>
          <w:tcPr>
            <w:tcW w:w="918" w:type="dxa"/>
            <w:tcBorders>
              <w:top w:val="nil"/>
              <w:bottom w:val="single" w:sz="4" w:space="0" w:color="auto"/>
            </w:tcBorders>
            <w:vAlign w:val="center"/>
          </w:tcPr>
          <w:p w:rsidR="00B72277" w:rsidRPr="001D33B7" w:rsidRDefault="00B72277" w:rsidP="00B72277">
            <w:pPr>
              <w:jc w:val="center"/>
              <w:rPr>
                <w:sz w:val="20"/>
              </w:rPr>
            </w:pPr>
            <w:r w:rsidRPr="001D33B7">
              <w:rPr>
                <w:sz w:val="20"/>
              </w:rPr>
              <w:t>0.5</w:t>
            </w:r>
          </w:p>
        </w:tc>
        <w:tc>
          <w:tcPr>
            <w:tcW w:w="918" w:type="dxa"/>
            <w:tcBorders>
              <w:top w:val="nil"/>
              <w:bottom w:val="single" w:sz="4" w:space="0" w:color="auto"/>
            </w:tcBorders>
            <w:vAlign w:val="center"/>
          </w:tcPr>
          <w:p w:rsidR="00B72277" w:rsidRPr="001D33B7" w:rsidRDefault="00B72277" w:rsidP="00B72277">
            <w:pPr>
              <w:jc w:val="center"/>
              <w:rPr>
                <w:sz w:val="20"/>
              </w:rPr>
            </w:pPr>
            <w:r w:rsidRPr="001D33B7">
              <w:rPr>
                <w:sz w:val="20"/>
              </w:rPr>
              <w:t>0.6</w:t>
            </w:r>
          </w:p>
        </w:tc>
        <w:tc>
          <w:tcPr>
            <w:tcW w:w="918" w:type="dxa"/>
            <w:tcBorders>
              <w:top w:val="nil"/>
              <w:bottom w:val="single" w:sz="4" w:space="0" w:color="auto"/>
            </w:tcBorders>
            <w:vAlign w:val="center"/>
          </w:tcPr>
          <w:p w:rsidR="00B72277" w:rsidRPr="001D33B7" w:rsidRDefault="00B72277" w:rsidP="00B72277">
            <w:pPr>
              <w:jc w:val="center"/>
              <w:rPr>
                <w:sz w:val="20"/>
              </w:rPr>
            </w:pPr>
            <w:r w:rsidRPr="001D33B7">
              <w:rPr>
                <w:sz w:val="20"/>
              </w:rPr>
              <w:t>0.4</w:t>
            </w:r>
          </w:p>
        </w:tc>
        <w:tc>
          <w:tcPr>
            <w:tcW w:w="918" w:type="dxa"/>
            <w:tcBorders>
              <w:top w:val="nil"/>
              <w:bottom w:val="single" w:sz="4" w:space="0" w:color="auto"/>
            </w:tcBorders>
            <w:vAlign w:val="center"/>
          </w:tcPr>
          <w:p w:rsidR="00B72277" w:rsidRPr="001D33B7" w:rsidRDefault="00B72277" w:rsidP="00B72277">
            <w:pPr>
              <w:jc w:val="center"/>
              <w:rPr>
                <w:sz w:val="20"/>
              </w:rPr>
            </w:pPr>
            <w:r w:rsidRPr="001D33B7">
              <w:rPr>
                <w:sz w:val="20"/>
              </w:rPr>
              <w:t>1.3</w:t>
            </w:r>
          </w:p>
        </w:tc>
        <w:tc>
          <w:tcPr>
            <w:tcW w:w="918" w:type="dxa"/>
            <w:tcBorders>
              <w:top w:val="nil"/>
              <w:bottom w:val="single" w:sz="4" w:space="0" w:color="auto"/>
            </w:tcBorders>
            <w:vAlign w:val="center"/>
          </w:tcPr>
          <w:p w:rsidR="00B72277" w:rsidRPr="001D33B7" w:rsidRDefault="00B72277" w:rsidP="00B72277">
            <w:pPr>
              <w:jc w:val="center"/>
              <w:rPr>
                <w:sz w:val="20"/>
              </w:rPr>
            </w:pPr>
            <w:r w:rsidRPr="001D33B7">
              <w:rPr>
                <w:sz w:val="20"/>
              </w:rPr>
              <w:t>1.0</w:t>
            </w:r>
            <w:r w:rsidRPr="006C6064">
              <w:rPr>
                <w:sz w:val="20"/>
              </w:rPr>
              <w:t>*</w:t>
            </w:r>
          </w:p>
        </w:tc>
        <w:tc>
          <w:tcPr>
            <w:tcW w:w="918" w:type="dxa"/>
            <w:tcBorders>
              <w:top w:val="nil"/>
              <w:bottom w:val="single" w:sz="4" w:space="0" w:color="auto"/>
            </w:tcBorders>
            <w:vAlign w:val="center"/>
          </w:tcPr>
          <w:p w:rsidR="00B72277" w:rsidRPr="001D33B7" w:rsidRDefault="00B72277" w:rsidP="00B72277">
            <w:pPr>
              <w:jc w:val="center"/>
              <w:rPr>
                <w:sz w:val="20"/>
              </w:rPr>
            </w:pPr>
            <w:r w:rsidRPr="001D33B7">
              <w:rPr>
                <w:sz w:val="20"/>
              </w:rPr>
              <w:t>0.7</w:t>
            </w:r>
          </w:p>
        </w:tc>
      </w:tr>
      <w:tr w:rsidR="00B72277" w:rsidRPr="0040504B" w:rsidTr="00B72277">
        <w:trPr>
          <w:jc w:val="center"/>
        </w:trPr>
        <w:tc>
          <w:tcPr>
            <w:tcW w:w="7866" w:type="dxa"/>
            <w:gridSpan w:val="8"/>
            <w:tcBorders>
              <w:top w:val="single" w:sz="4" w:space="0" w:color="auto"/>
            </w:tcBorders>
            <w:vAlign w:val="center"/>
          </w:tcPr>
          <w:p w:rsidR="00B72277" w:rsidRPr="00071C00" w:rsidRDefault="00B72277" w:rsidP="00B72277">
            <w:pPr>
              <w:rPr>
                <w:sz w:val="18"/>
                <w:szCs w:val="18"/>
              </w:rPr>
            </w:pPr>
            <w:r w:rsidRPr="00071C00">
              <w:rPr>
                <w:b/>
                <w:sz w:val="18"/>
                <w:szCs w:val="18"/>
                <w:u w:val="single"/>
              </w:rPr>
              <w:t>Caution</w:t>
            </w:r>
            <w:r w:rsidRPr="00071C00">
              <w:rPr>
                <w:sz w:val="18"/>
                <w:szCs w:val="18"/>
              </w:rPr>
              <w:t>: Figures based on less than a 30% completion rate cannot be considered representative; figures based on completion between 30% and 50% should be interpreted with caution. The completion rate is defined as the percent of enrolled students who complete a valid survey.</w:t>
            </w:r>
          </w:p>
          <w:p w:rsidR="00B72277" w:rsidRPr="00071C00" w:rsidRDefault="00B72277" w:rsidP="00B72277">
            <w:pPr>
              <w:rPr>
                <w:sz w:val="18"/>
                <w:szCs w:val="18"/>
              </w:rPr>
            </w:pPr>
            <w:r w:rsidRPr="00071C00">
              <w:rPr>
                <w:b/>
                <w:sz w:val="18"/>
                <w:szCs w:val="18"/>
              </w:rPr>
              <w:t xml:space="preserve"># </w:t>
            </w:r>
            <w:r w:rsidRPr="00071C00">
              <w:rPr>
                <w:sz w:val="18"/>
                <w:szCs w:val="18"/>
              </w:rPr>
              <w:t>Completion rate is less than 30%</w:t>
            </w:r>
            <w:r>
              <w:rPr>
                <w:sz w:val="18"/>
                <w:szCs w:val="18"/>
              </w:rPr>
              <w:t>;</w:t>
            </w:r>
            <w:r w:rsidRPr="00071C00">
              <w:rPr>
                <w:sz w:val="18"/>
                <w:szCs w:val="18"/>
              </w:rPr>
              <w:t xml:space="preserve">     </w:t>
            </w:r>
            <w:r w:rsidRPr="00071C00">
              <w:rPr>
                <w:b/>
                <w:sz w:val="18"/>
                <w:szCs w:val="18"/>
              </w:rPr>
              <w:t>*</w:t>
            </w:r>
            <w:r w:rsidRPr="00071C00">
              <w:rPr>
                <w:sz w:val="18"/>
                <w:szCs w:val="18"/>
              </w:rPr>
              <w:t xml:space="preserve"> Completion rate is less than 50%, but 30% or greater.</w:t>
            </w:r>
          </w:p>
          <w:p w:rsidR="00B72277" w:rsidRPr="00071C00" w:rsidRDefault="00B72277" w:rsidP="00B72277">
            <w:pPr>
              <w:rPr>
                <w:sz w:val="18"/>
                <w:szCs w:val="18"/>
              </w:rPr>
            </w:pPr>
            <w:r w:rsidRPr="00071C00">
              <w:rPr>
                <w:sz w:val="18"/>
                <w:szCs w:val="18"/>
              </w:rPr>
              <w:t>No statistics are available for St. Bernard Parish.</w:t>
            </w:r>
          </w:p>
          <w:p w:rsidR="00B72277" w:rsidRPr="00384D67" w:rsidRDefault="00B72277" w:rsidP="00B72277">
            <w:pPr>
              <w:rPr>
                <w:sz w:val="18"/>
                <w:szCs w:val="18"/>
                <w:highlight w:val="yellow"/>
              </w:rPr>
            </w:pPr>
            <w:r w:rsidRPr="00071C00">
              <w:rPr>
                <w:sz w:val="18"/>
                <w:szCs w:val="18"/>
              </w:rPr>
              <w:t xml:space="preserve">Data Source: Louisiana Social Indicators - </w:t>
            </w:r>
            <w:hyperlink r:id="rId9" w:history="1">
              <w:r w:rsidRPr="00071C00">
                <w:rPr>
                  <w:rStyle w:val="Hyperlink"/>
                  <w:sz w:val="18"/>
                  <w:szCs w:val="18"/>
                </w:rPr>
                <w:t>http://www.bach-harrison.com/lasocialindicators</w:t>
              </w:r>
            </w:hyperlink>
            <w:r w:rsidRPr="00071C00">
              <w:rPr>
                <w:sz w:val="18"/>
                <w:szCs w:val="18"/>
              </w:rPr>
              <w:t xml:space="preserve"> (7/5/2013).</w:t>
            </w:r>
          </w:p>
        </w:tc>
      </w:tr>
    </w:tbl>
    <w:p w:rsidR="0009559C" w:rsidRPr="0009559C" w:rsidRDefault="0009559C" w:rsidP="0009559C">
      <w:r w:rsidRPr="0009559C">
        <w:lastRenderedPageBreak/>
        <w:t xml:space="preserve">Beyond alcohol, tobacco and marijuana, prescription drugs were most likely to have been used in the past 30 days. The drugs most likely to be used in the past 30 days are </w:t>
      </w:r>
      <w:r w:rsidRPr="0009559C">
        <w:rPr>
          <w:b/>
        </w:rPr>
        <w:t>prescription</w:t>
      </w:r>
      <w:r w:rsidRPr="0009559C">
        <w:t xml:space="preserve"> </w:t>
      </w:r>
      <w:r w:rsidRPr="0009559C">
        <w:rPr>
          <w:b/>
        </w:rPr>
        <w:t>sedatives</w:t>
      </w:r>
      <w:r w:rsidRPr="0009559C">
        <w:t>. Statewide, 3 percent of 8</w:t>
      </w:r>
      <w:r w:rsidRPr="0009559C">
        <w:rPr>
          <w:vertAlign w:val="superscript"/>
        </w:rPr>
        <w:t>th</w:t>
      </w:r>
      <w:r w:rsidRPr="0009559C">
        <w:t xml:space="preserve"> graders and 4 percent of 10</w:t>
      </w:r>
      <w:r w:rsidRPr="0009559C">
        <w:rPr>
          <w:vertAlign w:val="superscript"/>
        </w:rPr>
        <w:t>th</w:t>
      </w:r>
      <w:r w:rsidRPr="0009559C">
        <w:t xml:space="preserve"> grade students used sedatives in the past 30 days without a doctor’s order, based on the 2012 CCYS survey. Similarly, in Greater New Orleans, </w:t>
      </w:r>
      <w:r w:rsidRPr="0009559C">
        <w:rPr>
          <w:i/>
        </w:rPr>
        <w:t>about</w:t>
      </w:r>
      <w:r w:rsidRPr="0009559C">
        <w:t xml:space="preserve"> 3 percent of 8</w:t>
      </w:r>
      <w:r w:rsidRPr="0009559C">
        <w:rPr>
          <w:vertAlign w:val="superscript"/>
        </w:rPr>
        <w:t>th</w:t>
      </w:r>
      <w:r w:rsidRPr="0009559C">
        <w:t xml:space="preserve"> graders and </w:t>
      </w:r>
      <w:r w:rsidRPr="0009559C">
        <w:rPr>
          <w:i/>
        </w:rPr>
        <w:t>about</w:t>
      </w:r>
      <w:bookmarkStart w:id="0" w:name="_GoBack"/>
      <w:bookmarkEnd w:id="0"/>
      <w:r w:rsidRPr="0009559C">
        <w:t xml:space="preserve"> 4 percent of 10</w:t>
      </w:r>
      <w:r w:rsidRPr="0009559C">
        <w:rPr>
          <w:vertAlign w:val="superscript"/>
        </w:rPr>
        <w:t>th</w:t>
      </w:r>
      <w:r w:rsidRPr="0009559C">
        <w:t xml:space="preserve"> grade students used sedatives in the past 30 days without a doctor’s order.</w:t>
      </w:r>
    </w:p>
    <w:p w:rsidR="0009559C" w:rsidRPr="0009559C" w:rsidRDefault="0009559C" w:rsidP="0009559C"/>
    <w:p w:rsidR="0009559C" w:rsidRPr="0009559C" w:rsidRDefault="0009559C" w:rsidP="0009559C">
      <w:r w:rsidRPr="0009559C">
        <w:t xml:space="preserve">The drugs second most likely to be used in the past 30 days are </w:t>
      </w:r>
      <w:r w:rsidRPr="0009559C">
        <w:rPr>
          <w:b/>
        </w:rPr>
        <w:t>prescription opiates</w:t>
      </w:r>
      <w:r w:rsidRPr="0009559C">
        <w:t>. Statewide, 1 percent of 8</w:t>
      </w:r>
      <w:r w:rsidRPr="0009559C">
        <w:rPr>
          <w:vertAlign w:val="superscript"/>
        </w:rPr>
        <w:t>th</w:t>
      </w:r>
      <w:r w:rsidRPr="0009559C">
        <w:t xml:space="preserve"> graders and 2 percent of 10</w:t>
      </w:r>
      <w:r w:rsidRPr="0009559C">
        <w:rPr>
          <w:vertAlign w:val="superscript"/>
        </w:rPr>
        <w:t>th</w:t>
      </w:r>
      <w:r w:rsidRPr="0009559C">
        <w:t xml:space="preserve"> grade students have used prescription opiates without a doctor’s order. Similarly, in Greater New Orleans, </w:t>
      </w:r>
      <w:r w:rsidRPr="0009559C">
        <w:rPr>
          <w:i/>
        </w:rPr>
        <w:t>about</w:t>
      </w:r>
      <w:r w:rsidRPr="0009559C">
        <w:t xml:space="preserve"> 1 percent of 8</w:t>
      </w:r>
      <w:r w:rsidRPr="0009559C">
        <w:rPr>
          <w:vertAlign w:val="superscript"/>
        </w:rPr>
        <w:t>th</w:t>
      </w:r>
      <w:r w:rsidRPr="0009559C">
        <w:t xml:space="preserve"> graders and </w:t>
      </w:r>
      <w:r w:rsidRPr="0009559C">
        <w:rPr>
          <w:i/>
        </w:rPr>
        <w:t>about</w:t>
      </w:r>
      <w:r w:rsidRPr="0009559C">
        <w:t xml:space="preserve"> 3 percent of 10</w:t>
      </w:r>
      <w:r w:rsidRPr="0009559C">
        <w:rPr>
          <w:vertAlign w:val="superscript"/>
        </w:rPr>
        <w:t>th</w:t>
      </w:r>
      <w:r w:rsidRPr="0009559C">
        <w:t xml:space="preserve"> grade students have used prescription opiates without a doctor’s order.</w:t>
      </w:r>
    </w:p>
    <w:p w:rsidR="000F7581" w:rsidRDefault="000F7581" w:rsidP="000F7581"/>
    <w:p w:rsidR="000F7581" w:rsidRPr="000F7581" w:rsidRDefault="000F7581" w:rsidP="000F7581">
      <w:r w:rsidRPr="000F7581">
        <w:rPr>
          <w:b/>
        </w:rPr>
        <w:t>Contact for Further Information</w:t>
      </w:r>
    </w:p>
    <w:p w:rsidR="00F91F8A" w:rsidRPr="00F91F8A" w:rsidRDefault="00F91F8A" w:rsidP="00F91F8A"/>
    <w:p w:rsidR="00F91F8A" w:rsidRPr="00F91F8A" w:rsidRDefault="004F6B48" w:rsidP="00F91F8A">
      <w:hyperlink r:id="rId10" w:history="1">
        <w:r w:rsidR="00F91F8A" w:rsidRPr="00F91F8A">
          <w:rPr>
            <w:rStyle w:val="Hyperlink"/>
          </w:rPr>
          <w:t>http://picardcenter.org/ResearchAreas/QualityOfLife/CCYS/Pages/CCYS_default.aspx</w:t>
        </w:r>
      </w:hyperlink>
    </w:p>
    <w:p w:rsidR="00F91F8A" w:rsidRPr="00F91F8A" w:rsidRDefault="00F91F8A" w:rsidP="00F91F8A"/>
    <w:p w:rsidR="004F4264" w:rsidRPr="002D79C9" w:rsidRDefault="00F91F8A" w:rsidP="00F91F8A">
      <w:pPr>
        <w:rPr>
          <w:sz w:val="20"/>
        </w:rPr>
      </w:pPr>
      <w:r w:rsidRPr="00F91F8A">
        <w:rPr>
          <w:sz w:val="20"/>
        </w:rPr>
        <w:t>Editor: Robert J Gallati (</w:t>
      </w:r>
      <w:hyperlink r:id="rId11" w:history="1">
        <w:r w:rsidRPr="00F91F8A">
          <w:rPr>
            <w:rStyle w:val="Hyperlink"/>
            <w:sz w:val="20"/>
          </w:rPr>
          <w:t>rjgallati@yahoo.com</w:t>
        </w:r>
      </w:hyperlink>
      <w:r w:rsidRPr="00F91F8A">
        <w:rPr>
          <w:sz w:val="20"/>
        </w:rPr>
        <w:t xml:space="preserve">), updated: </w:t>
      </w:r>
      <w:r w:rsidR="004F6B48">
        <w:rPr>
          <w:sz w:val="20"/>
        </w:rPr>
        <w:t>01/31/14</w:t>
      </w:r>
    </w:p>
    <w:sectPr w:rsidR="004F4264" w:rsidRPr="002D79C9" w:rsidSect="007214C6">
      <w:headerReference w:type="default" r:id="rId12"/>
      <w:footerReference w:type="default" r:id="rId1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DC9" w:rsidRDefault="00021DC9" w:rsidP="001B31CC">
      <w:r>
        <w:separator/>
      </w:r>
    </w:p>
  </w:endnote>
  <w:endnote w:type="continuationSeparator" w:id="0">
    <w:p w:rsidR="00021DC9" w:rsidRDefault="00021DC9" w:rsidP="001B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B48" w:rsidRDefault="004F6B48">
    <w:pPr>
      <w:pStyle w:val="Footer"/>
    </w:pPr>
    <w:fldSimple w:instr=" FILENAME   \* MERGEFORMAT ">
      <w:r w:rsidRPr="00522BFE">
        <w:rPr>
          <w:noProof/>
          <w:sz w:val="18"/>
          <w:szCs w:val="18"/>
        </w:rPr>
        <w:t>4-0303_SU-CCYS_200140131.docx</w:t>
      </w:r>
    </w:fldSimple>
    <w:r>
      <w:tab/>
    </w:r>
    <w:r>
      <w:fldChar w:fldCharType="begin"/>
    </w:r>
    <w:r>
      <w:instrText xml:space="preserve"> PAGE   \* MERGEFORMAT </w:instrText>
    </w:r>
    <w:r>
      <w:fldChar w:fldCharType="separate"/>
    </w:r>
    <w:r w:rsidR="00101208">
      <w:rPr>
        <w:noProof/>
      </w:rPr>
      <w:t>1</w:t>
    </w:r>
    <w:r>
      <w:fldChar w:fldCharType="end"/>
    </w:r>
    <w:r>
      <w:t xml:space="preserve"> of </w:t>
    </w:r>
    <w:fldSimple w:instr=" NUMPAGES   \* MERGEFORMAT ">
      <w:r w:rsidR="00101208">
        <w:rPr>
          <w:noProof/>
        </w:rPr>
        <w:t>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DC9" w:rsidRDefault="00021DC9" w:rsidP="001B31CC">
      <w:r>
        <w:separator/>
      </w:r>
    </w:p>
  </w:footnote>
  <w:footnote w:type="continuationSeparator" w:id="0">
    <w:p w:rsidR="00021DC9" w:rsidRDefault="00021DC9" w:rsidP="001B31CC">
      <w:r>
        <w:continuationSeparator/>
      </w:r>
    </w:p>
  </w:footnote>
  <w:footnote w:id="1">
    <w:p w:rsidR="004F6B48" w:rsidRPr="00F9395C" w:rsidRDefault="004F6B48">
      <w:pPr>
        <w:pStyle w:val="FootnoteText"/>
      </w:pPr>
      <w:r>
        <w:rPr>
          <w:rStyle w:val="FootnoteReference"/>
        </w:rPr>
        <w:footnoteRef/>
      </w:r>
      <w:r>
        <w:t xml:space="preserve"> </w:t>
      </w:r>
      <w:r w:rsidRPr="00F9395C">
        <w:rPr>
          <w:i/>
        </w:rPr>
        <w:t>Current use</w:t>
      </w:r>
      <w:r>
        <w:t xml:space="preserve"> does not imply problem use because for some respondents a positive indication may be based on a single occurrence, which may be a first or last occurrence. Other measures may be defined, such as, current </w:t>
      </w:r>
      <w:r w:rsidRPr="00F9395C">
        <w:rPr>
          <w:i/>
        </w:rPr>
        <w:t>heavy use</w:t>
      </w:r>
      <w:r>
        <w:t xml:space="preserve">, involving use on multiple occasions in the past month; however, there is no consensus definition for heavy use and it may be defined differently for different substances. CCYS does not publish heavy use indicators except for cigarettes. CCYS </w:t>
      </w:r>
      <w:r w:rsidRPr="00B159B2">
        <w:rPr>
          <w:i/>
        </w:rPr>
        <w:t>does</w:t>
      </w:r>
      <w:r>
        <w:t xml:space="preserve"> publish indicators for substance use disorders based on clinical diagnostic criteria.</w:t>
      </w:r>
    </w:p>
  </w:footnote>
  <w:footnote w:id="2">
    <w:p w:rsidR="004F6B48" w:rsidRDefault="004F6B48" w:rsidP="0006691C">
      <w:pPr>
        <w:pStyle w:val="FootnoteText"/>
      </w:pPr>
      <w:r>
        <w:rPr>
          <w:rStyle w:val="FootnoteReference"/>
        </w:rPr>
        <w:footnoteRef/>
      </w:r>
      <w:r>
        <w:t xml:space="preserve"> </w:t>
      </w:r>
      <w:r w:rsidRPr="00A9513A">
        <w:t>The CCYS uses a census survey method, attempting to survey all enrolled students.</w:t>
      </w:r>
      <w:r>
        <w:t xml:space="preserve"> Completion rate, as reporting in CCYS state and parish profiles, is the percent of enrolled students who complete a valid CCYS survey. This rate </w:t>
      </w:r>
      <w:r w:rsidRPr="006E5B17">
        <w:t xml:space="preserve">is affected by </w:t>
      </w:r>
      <w:r>
        <w:t>lack of school participation, student absences and inability to schedule all students to take the survey. See Appendix A for further information including grade and parish-specific completion rates by survey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B48" w:rsidRDefault="004F6B48">
    <w:pPr>
      <w:pStyle w:val="Header"/>
      <w:rPr>
        <w:b/>
      </w:rPr>
    </w:pPr>
    <w:r>
      <w:rPr>
        <w:b/>
      </w:rPr>
      <w:t xml:space="preserve">Greater New Orleans </w:t>
    </w:r>
    <w:r w:rsidRPr="006E4BC1">
      <w:rPr>
        <w:b/>
      </w:rPr>
      <w:t xml:space="preserve">Community Substance </w:t>
    </w:r>
    <w:r>
      <w:rPr>
        <w:b/>
      </w:rPr>
      <w:t>U</w:t>
    </w:r>
    <w:r w:rsidRPr="006E4BC1">
      <w:rPr>
        <w:b/>
      </w:rPr>
      <w:t>se Health Profile</w:t>
    </w:r>
  </w:p>
  <w:p w:rsidR="004F6B48" w:rsidRPr="006E4BC1" w:rsidRDefault="004F6B48">
    <w:pPr>
      <w:pStyle w:val="Header"/>
      <w:rPr>
        <w:b/>
      </w:rPr>
    </w:pPr>
    <w:r>
      <w:rPr>
        <w:b/>
      </w:rPr>
      <w:t>Substance Use Behavior – Middle and High School Students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321B"/>
    <w:multiLevelType w:val="multilevel"/>
    <w:tmpl w:val="15221CB6"/>
    <w:lvl w:ilvl="0">
      <w:start w:val="3"/>
      <w:numFmt w:val="decimal"/>
      <w:lvlText w:val="%1."/>
      <w:lvlJc w:val="left"/>
      <w:pPr>
        <w:tabs>
          <w:tab w:val="left" w:pos="360"/>
        </w:tabs>
        <w:ind w:left="720"/>
      </w:pPr>
      <w:rPr>
        <w:rFonts w:ascii="Times New Roman" w:eastAsia="Times New Roman" w:hAnsi="Times New Roman"/>
        <w:b/>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7339B4"/>
    <w:multiLevelType w:val="hybridMultilevel"/>
    <w:tmpl w:val="FECC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421DE3"/>
    <w:multiLevelType w:val="hybridMultilevel"/>
    <w:tmpl w:val="9606F0A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3">
    <w:nsid w:val="25C408A7"/>
    <w:multiLevelType w:val="hybridMultilevel"/>
    <w:tmpl w:val="58AC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46087E"/>
    <w:multiLevelType w:val="multilevel"/>
    <w:tmpl w:val="17DA4E82"/>
    <w:lvl w:ilvl="0">
      <w:start w:val="9"/>
      <w:numFmt w:val="decimal"/>
      <w:lvlText w:val="%1."/>
      <w:lvlJc w:val="left"/>
      <w:pPr>
        <w:tabs>
          <w:tab w:val="left" w:pos="288"/>
        </w:tabs>
        <w:ind w:left="720"/>
      </w:pPr>
      <w:rPr>
        <w:rFonts w:ascii="Times New Roman" w:eastAsia="Times New Roman" w:hAnsi="Times New Roman"/>
        <w:b/>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EC4815"/>
    <w:multiLevelType w:val="multilevel"/>
    <w:tmpl w:val="14D6A2CC"/>
    <w:lvl w:ilvl="0">
      <w:start w:val="1"/>
      <w:numFmt w:val="bullet"/>
      <w:lvlText w:val="o"/>
      <w:lvlJc w:val="left"/>
      <w:pPr>
        <w:tabs>
          <w:tab w:val="left" w:pos="360"/>
        </w:tabs>
        <w:ind w:left="720"/>
      </w:pPr>
      <w:rPr>
        <w:rFonts w:ascii="Courier New" w:eastAsia="Courier New" w:hAnsi="Courier New"/>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12437A"/>
    <w:multiLevelType w:val="hybridMultilevel"/>
    <w:tmpl w:val="A7EE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776534"/>
    <w:multiLevelType w:val="multilevel"/>
    <w:tmpl w:val="77880920"/>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D970D1"/>
    <w:multiLevelType w:val="hybridMultilevel"/>
    <w:tmpl w:val="9E8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6025D1"/>
    <w:multiLevelType w:val="multilevel"/>
    <w:tmpl w:val="15221CB6"/>
    <w:lvl w:ilvl="0">
      <w:start w:val="3"/>
      <w:numFmt w:val="decimal"/>
      <w:lvlText w:val="%1."/>
      <w:lvlJc w:val="left"/>
      <w:pPr>
        <w:tabs>
          <w:tab w:val="left" w:pos="360"/>
        </w:tabs>
        <w:ind w:left="720"/>
      </w:pPr>
      <w:rPr>
        <w:rFonts w:ascii="Times New Roman" w:eastAsia="Times New Roman" w:hAnsi="Times New Roman"/>
        <w:b/>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E9D1D32"/>
    <w:multiLevelType w:val="multilevel"/>
    <w:tmpl w:val="9E0E08C2"/>
    <w:lvl w:ilvl="0">
      <w:start w:val="7"/>
      <w:numFmt w:val="decimal"/>
      <w:lvlText w:val="%1."/>
      <w:lvlJc w:val="left"/>
      <w:pPr>
        <w:tabs>
          <w:tab w:val="left" w:pos="432"/>
        </w:tabs>
        <w:ind w:left="720"/>
      </w:pPr>
      <w:rPr>
        <w:rFonts w:ascii="Times New Roman" w:eastAsia="Times New Roman" w:hAnsi="Times New Roman"/>
        <w:b/>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7"/>
  </w:num>
  <w:num w:numId="4">
    <w:abstractNumId w:val="5"/>
  </w:num>
  <w:num w:numId="5">
    <w:abstractNumId w:val="9"/>
  </w:num>
  <w:num w:numId="6">
    <w:abstractNumId w:val="0"/>
  </w:num>
  <w:num w:numId="7">
    <w:abstractNumId w:val="10"/>
  </w:num>
  <w:num w:numId="8">
    <w:abstractNumId w:val="4"/>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04"/>
    <w:rsid w:val="00021DC9"/>
    <w:rsid w:val="000231AC"/>
    <w:rsid w:val="00034184"/>
    <w:rsid w:val="0004249E"/>
    <w:rsid w:val="00047859"/>
    <w:rsid w:val="0005363D"/>
    <w:rsid w:val="0006691C"/>
    <w:rsid w:val="000726C0"/>
    <w:rsid w:val="0009559C"/>
    <w:rsid w:val="00097C91"/>
    <w:rsid w:val="000B463C"/>
    <w:rsid w:val="000B5E68"/>
    <w:rsid w:val="000C092D"/>
    <w:rsid w:val="000D188F"/>
    <w:rsid w:val="000E3853"/>
    <w:rsid w:val="000F3280"/>
    <w:rsid w:val="000F7581"/>
    <w:rsid w:val="00101208"/>
    <w:rsid w:val="001205AB"/>
    <w:rsid w:val="00122E47"/>
    <w:rsid w:val="001440D4"/>
    <w:rsid w:val="0015747A"/>
    <w:rsid w:val="001B31CC"/>
    <w:rsid w:val="001E7474"/>
    <w:rsid w:val="00202AD8"/>
    <w:rsid w:val="00213B5A"/>
    <w:rsid w:val="002315F0"/>
    <w:rsid w:val="002318EB"/>
    <w:rsid w:val="00235AC1"/>
    <w:rsid w:val="00237D57"/>
    <w:rsid w:val="0024791A"/>
    <w:rsid w:val="002517AA"/>
    <w:rsid w:val="002838EF"/>
    <w:rsid w:val="0028675C"/>
    <w:rsid w:val="002B140C"/>
    <w:rsid w:val="002B75A1"/>
    <w:rsid w:val="002C5D2D"/>
    <w:rsid w:val="002D79C9"/>
    <w:rsid w:val="00302423"/>
    <w:rsid w:val="003348D2"/>
    <w:rsid w:val="0036519E"/>
    <w:rsid w:val="00392126"/>
    <w:rsid w:val="0039218D"/>
    <w:rsid w:val="003D7190"/>
    <w:rsid w:val="003D7C6C"/>
    <w:rsid w:val="00457F92"/>
    <w:rsid w:val="004A474C"/>
    <w:rsid w:val="004B154B"/>
    <w:rsid w:val="004D57B2"/>
    <w:rsid w:val="004E7EF2"/>
    <w:rsid w:val="004F4264"/>
    <w:rsid w:val="004F6B48"/>
    <w:rsid w:val="00522BFE"/>
    <w:rsid w:val="00546230"/>
    <w:rsid w:val="00563573"/>
    <w:rsid w:val="005917EF"/>
    <w:rsid w:val="0060239C"/>
    <w:rsid w:val="006068D1"/>
    <w:rsid w:val="00650C16"/>
    <w:rsid w:val="00660A08"/>
    <w:rsid w:val="00684CF0"/>
    <w:rsid w:val="00693BBB"/>
    <w:rsid w:val="00694BCF"/>
    <w:rsid w:val="0069748D"/>
    <w:rsid w:val="006A65C8"/>
    <w:rsid w:val="006B22A9"/>
    <w:rsid w:val="006B2887"/>
    <w:rsid w:val="006D4F96"/>
    <w:rsid w:val="006E4BC1"/>
    <w:rsid w:val="007214C6"/>
    <w:rsid w:val="00722A7F"/>
    <w:rsid w:val="007439F1"/>
    <w:rsid w:val="00743FEB"/>
    <w:rsid w:val="0075355D"/>
    <w:rsid w:val="007619DF"/>
    <w:rsid w:val="00774834"/>
    <w:rsid w:val="00777E55"/>
    <w:rsid w:val="00781B65"/>
    <w:rsid w:val="007A023C"/>
    <w:rsid w:val="008020DA"/>
    <w:rsid w:val="00812E90"/>
    <w:rsid w:val="008302C3"/>
    <w:rsid w:val="008324A9"/>
    <w:rsid w:val="00843D1D"/>
    <w:rsid w:val="00852961"/>
    <w:rsid w:val="00862080"/>
    <w:rsid w:val="008D578E"/>
    <w:rsid w:val="008F74AA"/>
    <w:rsid w:val="0094555E"/>
    <w:rsid w:val="00952A84"/>
    <w:rsid w:val="0096217B"/>
    <w:rsid w:val="00962F2E"/>
    <w:rsid w:val="00975E1E"/>
    <w:rsid w:val="00985016"/>
    <w:rsid w:val="009972AD"/>
    <w:rsid w:val="009C039F"/>
    <w:rsid w:val="009C534C"/>
    <w:rsid w:val="009D1DAB"/>
    <w:rsid w:val="009E292F"/>
    <w:rsid w:val="00A02D06"/>
    <w:rsid w:val="00A06288"/>
    <w:rsid w:val="00A37AD2"/>
    <w:rsid w:val="00A4227B"/>
    <w:rsid w:val="00A53147"/>
    <w:rsid w:val="00A537B4"/>
    <w:rsid w:val="00A85D4E"/>
    <w:rsid w:val="00A8644E"/>
    <w:rsid w:val="00AA4AA5"/>
    <w:rsid w:val="00AB44E8"/>
    <w:rsid w:val="00AC3FD1"/>
    <w:rsid w:val="00AD6173"/>
    <w:rsid w:val="00AF5A02"/>
    <w:rsid w:val="00B03D3C"/>
    <w:rsid w:val="00B159B2"/>
    <w:rsid w:val="00B331BD"/>
    <w:rsid w:val="00B72277"/>
    <w:rsid w:val="00B964DB"/>
    <w:rsid w:val="00BB36AD"/>
    <w:rsid w:val="00BC0572"/>
    <w:rsid w:val="00BD41FF"/>
    <w:rsid w:val="00BF0832"/>
    <w:rsid w:val="00C13A65"/>
    <w:rsid w:val="00C13C41"/>
    <w:rsid w:val="00C17E6A"/>
    <w:rsid w:val="00C26DD8"/>
    <w:rsid w:val="00C33589"/>
    <w:rsid w:val="00C338CA"/>
    <w:rsid w:val="00C42104"/>
    <w:rsid w:val="00C60926"/>
    <w:rsid w:val="00C64A71"/>
    <w:rsid w:val="00C81ED2"/>
    <w:rsid w:val="00CB19AA"/>
    <w:rsid w:val="00CC58D0"/>
    <w:rsid w:val="00CF5D44"/>
    <w:rsid w:val="00D052CC"/>
    <w:rsid w:val="00D146B2"/>
    <w:rsid w:val="00D66870"/>
    <w:rsid w:val="00D75645"/>
    <w:rsid w:val="00DC0DE1"/>
    <w:rsid w:val="00DD1E24"/>
    <w:rsid w:val="00DF1139"/>
    <w:rsid w:val="00E32203"/>
    <w:rsid w:val="00E77285"/>
    <w:rsid w:val="00E81BD9"/>
    <w:rsid w:val="00E82620"/>
    <w:rsid w:val="00E8405F"/>
    <w:rsid w:val="00E95D8C"/>
    <w:rsid w:val="00EA430E"/>
    <w:rsid w:val="00EB2A9A"/>
    <w:rsid w:val="00EB71B1"/>
    <w:rsid w:val="00EC04F1"/>
    <w:rsid w:val="00EC5CFD"/>
    <w:rsid w:val="00EE6935"/>
    <w:rsid w:val="00EF018C"/>
    <w:rsid w:val="00EF0510"/>
    <w:rsid w:val="00F60828"/>
    <w:rsid w:val="00F7602E"/>
    <w:rsid w:val="00F77D5B"/>
    <w:rsid w:val="00F87091"/>
    <w:rsid w:val="00F91F8A"/>
    <w:rsid w:val="00F9395C"/>
    <w:rsid w:val="00F94B0C"/>
    <w:rsid w:val="00F95085"/>
    <w:rsid w:val="00FA1B45"/>
    <w:rsid w:val="00FA1C4F"/>
    <w:rsid w:val="00FB20B9"/>
    <w:rsid w:val="00FB48D1"/>
    <w:rsid w:val="00FB615F"/>
    <w:rsid w:val="00FE43A9"/>
    <w:rsid w:val="00FF1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character" w:styleId="Hyperlink">
    <w:name w:val="Hyperlink"/>
    <w:basedOn w:val="DefaultParagraphFont"/>
    <w:uiPriority w:val="99"/>
    <w:unhideWhenUsed/>
    <w:rsid w:val="00985016"/>
    <w:rPr>
      <w:color w:val="0000FF" w:themeColor="hyperlink"/>
      <w:u w:val="single"/>
    </w:rPr>
  </w:style>
  <w:style w:type="character" w:styleId="FollowedHyperlink">
    <w:name w:val="FollowedHyperlink"/>
    <w:basedOn w:val="DefaultParagraphFont"/>
    <w:uiPriority w:val="99"/>
    <w:semiHidden/>
    <w:unhideWhenUsed/>
    <w:rsid w:val="00985016"/>
    <w:rPr>
      <w:color w:val="800080" w:themeColor="followedHyperlink"/>
      <w:u w:val="single"/>
    </w:rPr>
  </w:style>
  <w:style w:type="paragraph" w:styleId="Header">
    <w:name w:val="header"/>
    <w:basedOn w:val="Normal"/>
    <w:link w:val="HeaderChar"/>
    <w:uiPriority w:val="99"/>
    <w:unhideWhenUsed/>
    <w:rsid w:val="001B31CC"/>
    <w:pPr>
      <w:tabs>
        <w:tab w:val="center" w:pos="4680"/>
        <w:tab w:val="right" w:pos="9360"/>
      </w:tabs>
    </w:pPr>
  </w:style>
  <w:style w:type="character" w:customStyle="1" w:styleId="HeaderChar">
    <w:name w:val="Header Char"/>
    <w:basedOn w:val="DefaultParagraphFont"/>
    <w:link w:val="Header"/>
    <w:uiPriority w:val="99"/>
    <w:rsid w:val="001B31CC"/>
    <w:rPr>
      <w:sz w:val="24"/>
    </w:rPr>
  </w:style>
  <w:style w:type="paragraph" w:styleId="Footer">
    <w:name w:val="footer"/>
    <w:basedOn w:val="Normal"/>
    <w:link w:val="FooterChar"/>
    <w:uiPriority w:val="99"/>
    <w:unhideWhenUsed/>
    <w:rsid w:val="001B31CC"/>
    <w:pPr>
      <w:tabs>
        <w:tab w:val="center" w:pos="4680"/>
        <w:tab w:val="right" w:pos="9360"/>
      </w:tabs>
    </w:pPr>
  </w:style>
  <w:style w:type="character" w:customStyle="1" w:styleId="FooterChar">
    <w:name w:val="Footer Char"/>
    <w:basedOn w:val="DefaultParagraphFont"/>
    <w:link w:val="Footer"/>
    <w:uiPriority w:val="99"/>
    <w:rsid w:val="001B31CC"/>
    <w:rPr>
      <w:sz w:val="24"/>
    </w:rPr>
  </w:style>
  <w:style w:type="paragraph" w:styleId="ListParagraph">
    <w:name w:val="List Paragraph"/>
    <w:basedOn w:val="Normal"/>
    <w:uiPriority w:val="34"/>
    <w:qFormat/>
    <w:rsid w:val="004D57B2"/>
    <w:pPr>
      <w:ind w:left="720"/>
      <w:contextualSpacing/>
    </w:pPr>
  </w:style>
  <w:style w:type="paragraph" w:styleId="FootnoteText">
    <w:name w:val="footnote text"/>
    <w:basedOn w:val="Normal"/>
    <w:link w:val="FootnoteTextChar"/>
    <w:uiPriority w:val="99"/>
    <w:semiHidden/>
    <w:unhideWhenUsed/>
    <w:rsid w:val="00A85D4E"/>
    <w:rPr>
      <w:sz w:val="20"/>
    </w:rPr>
  </w:style>
  <w:style w:type="character" w:customStyle="1" w:styleId="FootnoteTextChar">
    <w:name w:val="Footnote Text Char"/>
    <w:basedOn w:val="DefaultParagraphFont"/>
    <w:link w:val="FootnoteText"/>
    <w:uiPriority w:val="99"/>
    <w:semiHidden/>
    <w:rsid w:val="00A85D4E"/>
  </w:style>
  <w:style w:type="character" w:styleId="FootnoteReference">
    <w:name w:val="footnote reference"/>
    <w:basedOn w:val="DefaultParagraphFont"/>
    <w:uiPriority w:val="99"/>
    <w:semiHidden/>
    <w:unhideWhenUsed/>
    <w:rsid w:val="00A85D4E"/>
    <w:rPr>
      <w:vertAlign w:val="superscript"/>
    </w:rPr>
  </w:style>
  <w:style w:type="character" w:styleId="CommentReference">
    <w:name w:val="annotation reference"/>
    <w:basedOn w:val="DefaultParagraphFont"/>
    <w:uiPriority w:val="99"/>
    <w:semiHidden/>
    <w:unhideWhenUsed/>
    <w:rsid w:val="00AB44E8"/>
    <w:rPr>
      <w:sz w:val="16"/>
      <w:szCs w:val="16"/>
    </w:rPr>
  </w:style>
  <w:style w:type="paragraph" w:styleId="CommentText">
    <w:name w:val="annotation text"/>
    <w:basedOn w:val="Normal"/>
    <w:link w:val="CommentTextChar"/>
    <w:uiPriority w:val="99"/>
    <w:semiHidden/>
    <w:unhideWhenUsed/>
    <w:rsid w:val="00AB44E8"/>
    <w:rPr>
      <w:sz w:val="20"/>
    </w:rPr>
  </w:style>
  <w:style w:type="character" w:customStyle="1" w:styleId="CommentTextChar">
    <w:name w:val="Comment Text Char"/>
    <w:basedOn w:val="DefaultParagraphFont"/>
    <w:link w:val="CommentText"/>
    <w:uiPriority w:val="99"/>
    <w:semiHidden/>
    <w:rsid w:val="00AB44E8"/>
  </w:style>
  <w:style w:type="paragraph" w:styleId="CommentSubject">
    <w:name w:val="annotation subject"/>
    <w:basedOn w:val="CommentText"/>
    <w:next w:val="CommentText"/>
    <w:link w:val="CommentSubjectChar"/>
    <w:uiPriority w:val="99"/>
    <w:semiHidden/>
    <w:unhideWhenUsed/>
    <w:rsid w:val="00AB44E8"/>
    <w:rPr>
      <w:b/>
      <w:bCs/>
    </w:rPr>
  </w:style>
  <w:style w:type="character" w:customStyle="1" w:styleId="CommentSubjectChar">
    <w:name w:val="Comment Subject Char"/>
    <w:basedOn w:val="CommentTextChar"/>
    <w:link w:val="CommentSubject"/>
    <w:uiPriority w:val="99"/>
    <w:semiHidden/>
    <w:rsid w:val="00AB44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character" w:styleId="Hyperlink">
    <w:name w:val="Hyperlink"/>
    <w:basedOn w:val="DefaultParagraphFont"/>
    <w:uiPriority w:val="99"/>
    <w:unhideWhenUsed/>
    <w:rsid w:val="00985016"/>
    <w:rPr>
      <w:color w:val="0000FF" w:themeColor="hyperlink"/>
      <w:u w:val="single"/>
    </w:rPr>
  </w:style>
  <w:style w:type="character" w:styleId="FollowedHyperlink">
    <w:name w:val="FollowedHyperlink"/>
    <w:basedOn w:val="DefaultParagraphFont"/>
    <w:uiPriority w:val="99"/>
    <w:semiHidden/>
    <w:unhideWhenUsed/>
    <w:rsid w:val="00985016"/>
    <w:rPr>
      <w:color w:val="800080" w:themeColor="followedHyperlink"/>
      <w:u w:val="single"/>
    </w:rPr>
  </w:style>
  <w:style w:type="paragraph" w:styleId="Header">
    <w:name w:val="header"/>
    <w:basedOn w:val="Normal"/>
    <w:link w:val="HeaderChar"/>
    <w:uiPriority w:val="99"/>
    <w:unhideWhenUsed/>
    <w:rsid w:val="001B31CC"/>
    <w:pPr>
      <w:tabs>
        <w:tab w:val="center" w:pos="4680"/>
        <w:tab w:val="right" w:pos="9360"/>
      </w:tabs>
    </w:pPr>
  </w:style>
  <w:style w:type="character" w:customStyle="1" w:styleId="HeaderChar">
    <w:name w:val="Header Char"/>
    <w:basedOn w:val="DefaultParagraphFont"/>
    <w:link w:val="Header"/>
    <w:uiPriority w:val="99"/>
    <w:rsid w:val="001B31CC"/>
    <w:rPr>
      <w:sz w:val="24"/>
    </w:rPr>
  </w:style>
  <w:style w:type="paragraph" w:styleId="Footer">
    <w:name w:val="footer"/>
    <w:basedOn w:val="Normal"/>
    <w:link w:val="FooterChar"/>
    <w:uiPriority w:val="99"/>
    <w:unhideWhenUsed/>
    <w:rsid w:val="001B31CC"/>
    <w:pPr>
      <w:tabs>
        <w:tab w:val="center" w:pos="4680"/>
        <w:tab w:val="right" w:pos="9360"/>
      </w:tabs>
    </w:pPr>
  </w:style>
  <w:style w:type="character" w:customStyle="1" w:styleId="FooterChar">
    <w:name w:val="Footer Char"/>
    <w:basedOn w:val="DefaultParagraphFont"/>
    <w:link w:val="Footer"/>
    <w:uiPriority w:val="99"/>
    <w:rsid w:val="001B31CC"/>
    <w:rPr>
      <w:sz w:val="24"/>
    </w:rPr>
  </w:style>
  <w:style w:type="paragraph" w:styleId="ListParagraph">
    <w:name w:val="List Paragraph"/>
    <w:basedOn w:val="Normal"/>
    <w:uiPriority w:val="34"/>
    <w:qFormat/>
    <w:rsid w:val="004D57B2"/>
    <w:pPr>
      <w:ind w:left="720"/>
      <w:contextualSpacing/>
    </w:pPr>
  </w:style>
  <w:style w:type="paragraph" w:styleId="FootnoteText">
    <w:name w:val="footnote text"/>
    <w:basedOn w:val="Normal"/>
    <w:link w:val="FootnoteTextChar"/>
    <w:uiPriority w:val="99"/>
    <w:semiHidden/>
    <w:unhideWhenUsed/>
    <w:rsid w:val="00A85D4E"/>
    <w:rPr>
      <w:sz w:val="20"/>
    </w:rPr>
  </w:style>
  <w:style w:type="character" w:customStyle="1" w:styleId="FootnoteTextChar">
    <w:name w:val="Footnote Text Char"/>
    <w:basedOn w:val="DefaultParagraphFont"/>
    <w:link w:val="FootnoteText"/>
    <w:uiPriority w:val="99"/>
    <w:semiHidden/>
    <w:rsid w:val="00A85D4E"/>
  </w:style>
  <w:style w:type="character" w:styleId="FootnoteReference">
    <w:name w:val="footnote reference"/>
    <w:basedOn w:val="DefaultParagraphFont"/>
    <w:uiPriority w:val="99"/>
    <w:semiHidden/>
    <w:unhideWhenUsed/>
    <w:rsid w:val="00A85D4E"/>
    <w:rPr>
      <w:vertAlign w:val="superscript"/>
    </w:rPr>
  </w:style>
  <w:style w:type="character" w:styleId="CommentReference">
    <w:name w:val="annotation reference"/>
    <w:basedOn w:val="DefaultParagraphFont"/>
    <w:uiPriority w:val="99"/>
    <w:semiHidden/>
    <w:unhideWhenUsed/>
    <w:rsid w:val="00AB44E8"/>
    <w:rPr>
      <w:sz w:val="16"/>
      <w:szCs w:val="16"/>
    </w:rPr>
  </w:style>
  <w:style w:type="paragraph" w:styleId="CommentText">
    <w:name w:val="annotation text"/>
    <w:basedOn w:val="Normal"/>
    <w:link w:val="CommentTextChar"/>
    <w:uiPriority w:val="99"/>
    <w:semiHidden/>
    <w:unhideWhenUsed/>
    <w:rsid w:val="00AB44E8"/>
    <w:rPr>
      <w:sz w:val="20"/>
    </w:rPr>
  </w:style>
  <w:style w:type="character" w:customStyle="1" w:styleId="CommentTextChar">
    <w:name w:val="Comment Text Char"/>
    <w:basedOn w:val="DefaultParagraphFont"/>
    <w:link w:val="CommentText"/>
    <w:uiPriority w:val="99"/>
    <w:semiHidden/>
    <w:rsid w:val="00AB44E8"/>
  </w:style>
  <w:style w:type="paragraph" w:styleId="CommentSubject">
    <w:name w:val="annotation subject"/>
    <w:basedOn w:val="CommentText"/>
    <w:next w:val="CommentText"/>
    <w:link w:val="CommentSubjectChar"/>
    <w:uiPriority w:val="99"/>
    <w:semiHidden/>
    <w:unhideWhenUsed/>
    <w:rsid w:val="00AB44E8"/>
    <w:rPr>
      <w:b/>
      <w:bCs/>
    </w:rPr>
  </w:style>
  <w:style w:type="character" w:customStyle="1" w:styleId="CommentSubjectChar">
    <w:name w:val="Comment Subject Char"/>
    <w:basedOn w:val="CommentTextChar"/>
    <w:link w:val="CommentSubject"/>
    <w:uiPriority w:val="99"/>
    <w:semiHidden/>
    <w:rsid w:val="00AB44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ch-harrison.com/lasocialindicator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jgallati@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icardcenter.org/ResearchAreas/QualityOfLife/CCYS/Pages/CCYS_default.aspx" TargetMode="External"/><Relationship Id="rId4" Type="http://schemas.openxmlformats.org/officeDocument/2006/relationships/settings" Target="settings.xml"/><Relationship Id="rId9" Type="http://schemas.openxmlformats.org/officeDocument/2006/relationships/hyperlink" Target="http://www.bach-harrison.com/lasocialindicator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vcRes\Templates\sh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share.dot</Template>
  <TotalTime>8</TotalTime>
  <Pages>5</Pages>
  <Words>1804</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This is a blank document using the “share</vt:lpstr>
    </vt:vector>
  </TitlesOfParts>
  <Company>Microsoft</Company>
  <LinksUpToDate>false</LinksUpToDate>
  <CharactersWithSpaces>12069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blank document using the “share</dc:title>
  <dc:creator>Robert J Gallati</dc:creator>
  <cp:lastModifiedBy>Robert J Gallati</cp:lastModifiedBy>
  <cp:revision>4</cp:revision>
  <cp:lastPrinted>2014-02-10T22:22:00Z</cp:lastPrinted>
  <dcterms:created xsi:type="dcterms:W3CDTF">2014-02-10T22:20:00Z</dcterms:created>
  <dcterms:modified xsi:type="dcterms:W3CDTF">2014-02-13T14:23:00Z</dcterms:modified>
</cp:coreProperties>
</file>