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BC1" w:rsidRDefault="006E4BC1" w:rsidP="00034184">
      <w:pPr>
        <w:jc w:val="center"/>
        <w:rPr>
          <w:b/>
          <w:sz w:val="28"/>
          <w:szCs w:val="28"/>
        </w:rPr>
      </w:pPr>
    </w:p>
    <w:p w:rsidR="00034184" w:rsidRPr="00C33589" w:rsidRDefault="00E269B0" w:rsidP="00034184">
      <w:pPr>
        <w:jc w:val="center"/>
        <w:rPr>
          <w:b/>
          <w:sz w:val="28"/>
          <w:szCs w:val="28"/>
        </w:rPr>
      </w:pPr>
      <w:r>
        <w:rPr>
          <w:b/>
          <w:sz w:val="28"/>
          <w:szCs w:val="28"/>
        </w:rPr>
        <w:t>Substance Use Disorders among Adolescents (Ages 12-17)</w:t>
      </w:r>
    </w:p>
    <w:p w:rsidR="000F7581" w:rsidRDefault="000F7581" w:rsidP="000F7581"/>
    <w:p w:rsidR="00042497" w:rsidRDefault="00042497" w:rsidP="000F7581">
      <w:bookmarkStart w:id="0" w:name="_GoBack"/>
      <w:bookmarkEnd w:id="0"/>
    </w:p>
    <w:p w:rsidR="003D6AD8" w:rsidRPr="001A224A" w:rsidRDefault="003D6AD8" w:rsidP="003D6AD8">
      <w:r w:rsidRPr="001A224A">
        <w:t>Substance use disorder (SUD) is defined in the Diagnostic and Statist</w:t>
      </w:r>
      <w:r w:rsidRPr="001A224A">
        <w:rPr>
          <w:i/>
        </w:rPr>
        <w:t>ical Manual</w:t>
      </w:r>
      <w:r w:rsidRPr="001A224A">
        <w:t xml:space="preserve"> (DSM-IV) of the American Psychiatric Association as “a maladaptive pattern of substance use, leading to clinically significant impairment or distress, as manifested by … [criteria], occurring at any time in the same 12-month period.” Both dependence and abuse conditions are defined</w:t>
      </w:r>
      <w:r w:rsidRPr="001A224A">
        <w:rPr>
          <w:vertAlign w:val="superscript"/>
        </w:rPr>
        <w:footnoteReference w:id="1"/>
      </w:r>
      <w:r w:rsidRPr="001A224A">
        <w:t xml:space="preserve"> A dependence condition can be considered more clinically serious or a progression from an abuse condition, but consequences and costs can be substantial in any case. An assessment of dependence or abuse based on DSM-IV criteria is generally accepted as a requirement for admission to treatment services, but does not itself determine the level of care needed. </w:t>
      </w:r>
    </w:p>
    <w:p w:rsidR="00B22FFF" w:rsidRDefault="00B22FFF" w:rsidP="00B22FFF"/>
    <w:p w:rsidR="00C266F3" w:rsidRPr="00C266F3" w:rsidRDefault="00C266F3" w:rsidP="00C266F3">
      <w:r>
        <w:t>The Caring Communities Youth Survey (CCYS) includes 6 questions that closely correspond to the concepts and criteria defining substance use disorder. The CCYS defines t</w:t>
      </w:r>
      <w:r w:rsidRPr="00C266F3">
        <w:t xml:space="preserve">he </w:t>
      </w:r>
      <w:r w:rsidRPr="004B7C7D">
        <w:rPr>
          <w:i/>
        </w:rPr>
        <w:t>need for treatment</w:t>
      </w:r>
      <w:r w:rsidRPr="00C266F3">
        <w:t xml:space="preserve"> </w:t>
      </w:r>
      <w:r>
        <w:t>as using</w:t>
      </w:r>
      <w:r w:rsidRPr="00C266F3">
        <w:t xml:space="preserve"> alcohol or drugs on 10 or more occasions </w:t>
      </w:r>
      <w:r w:rsidR="009B010C">
        <w:t>(</w:t>
      </w:r>
      <w:r w:rsidRPr="00C266F3">
        <w:t>in lifetime</w:t>
      </w:r>
      <w:r w:rsidR="009B010C">
        <w:t>)</w:t>
      </w:r>
      <w:r w:rsidRPr="00C266F3">
        <w:t xml:space="preserve"> and </w:t>
      </w:r>
      <w:r w:rsidR="009B010C">
        <w:t>responding “yes” to</w:t>
      </w:r>
      <w:r w:rsidRPr="00C266F3">
        <w:t xml:space="preserve"> at least three of the following </w:t>
      </w:r>
      <w:r w:rsidR="009B010C">
        <w:t xml:space="preserve">six </w:t>
      </w:r>
      <w:r w:rsidRPr="00C266F3">
        <w:t xml:space="preserve">items </w:t>
      </w:r>
      <w:r w:rsidR="007954EF">
        <w:t>regarding</w:t>
      </w:r>
      <w:r w:rsidR="009B010C">
        <w:t xml:space="preserve"> </w:t>
      </w:r>
      <w:r w:rsidRPr="00C266F3">
        <w:t xml:space="preserve">alcohol </w:t>
      </w:r>
      <w:r w:rsidR="009B010C">
        <w:t xml:space="preserve">and other drug </w:t>
      </w:r>
      <w:r w:rsidRPr="00C266F3">
        <w:t>use in the past year:</w:t>
      </w:r>
    </w:p>
    <w:p w:rsidR="00C266F3" w:rsidRPr="00C266F3" w:rsidRDefault="00C266F3" w:rsidP="00C266F3"/>
    <w:p w:rsidR="00F84B08" w:rsidRPr="00C266F3" w:rsidRDefault="00F84B08" w:rsidP="00C266F3">
      <w:pPr>
        <w:numPr>
          <w:ilvl w:val="0"/>
          <w:numId w:val="14"/>
        </w:numPr>
        <w:rPr>
          <w:iCs/>
        </w:rPr>
      </w:pPr>
      <w:r w:rsidRPr="00C266F3">
        <w:rPr>
          <w:iCs/>
        </w:rPr>
        <w:t>Spent more time using than intended;</w:t>
      </w:r>
    </w:p>
    <w:p w:rsidR="00F84B08" w:rsidRPr="00C266F3" w:rsidRDefault="00F84B08" w:rsidP="00C266F3">
      <w:pPr>
        <w:numPr>
          <w:ilvl w:val="0"/>
          <w:numId w:val="14"/>
        </w:numPr>
        <w:rPr>
          <w:iCs/>
        </w:rPr>
      </w:pPr>
      <w:r w:rsidRPr="00C266F3">
        <w:rPr>
          <w:iCs/>
        </w:rPr>
        <w:t>Neglected some of your usual responsibilities</w:t>
      </w:r>
      <w:r w:rsidR="00C266F3" w:rsidRPr="00C266F3">
        <w:rPr>
          <w:iCs/>
        </w:rPr>
        <w:t xml:space="preserve"> </w:t>
      </w:r>
      <w:r w:rsidRPr="00C266F3">
        <w:rPr>
          <w:iCs/>
        </w:rPr>
        <w:t>because of use</w:t>
      </w:r>
    </w:p>
    <w:p w:rsidR="00F84B08" w:rsidRPr="00C266F3" w:rsidRDefault="00F84B08" w:rsidP="00C266F3">
      <w:pPr>
        <w:numPr>
          <w:ilvl w:val="0"/>
          <w:numId w:val="14"/>
        </w:numPr>
        <w:rPr>
          <w:iCs/>
        </w:rPr>
      </w:pPr>
      <w:r w:rsidRPr="00C266F3">
        <w:rPr>
          <w:iCs/>
        </w:rPr>
        <w:t>Wanted to cut down on use</w:t>
      </w:r>
    </w:p>
    <w:p w:rsidR="00F84B08" w:rsidRPr="00C266F3" w:rsidRDefault="00F84B08" w:rsidP="00C266F3">
      <w:pPr>
        <w:numPr>
          <w:ilvl w:val="0"/>
          <w:numId w:val="14"/>
        </w:numPr>
        <w:rPr>
          <w:iCs/>
        </w:rPr>
      </w:pPr>
      <w:r w:rsidRPr="00C266F3">
        <w:rPr>
          <w:iCs/>
        </w:rPr>
        <w:t>Others objected to your use</w:t>
      </w:r>
    </w:p>
    <w:p w:rsidR="00F84B08" w:rsidRPr="00C266F3" w:rsidRDefault="00F84B08" w:rsidP="00C266F3">
      <w:pPr>
        <w:numPr>
          <w:ilvl w:val="0"/>
          <w:numId w:val="14"/>
        </w:numPr>
        <w:rPr>
          <w:iCs/>
        </w:rPr>
      </w:pPr>
      <w:r w:rsidRPr="00C266F3">
        <w:rPr>
          <w:iCs/>
        </w:rPr>
        <w:t>Frequently thought about using</w:t>
      </w:r>
    </w:p>
    <w:p w:rsidR="00F84B08" w:rsidRPr="00C266F3" w:rsidRDefault="00F84B08" w:rsidP="00C266F3">
      <w:pPr>
        <w:numPr>
          <w:ilvl w:val="0"/>
          <w:numId w:val="14"/>
        </w:numPr>
        <w:rPr>
          <w:iCs/>
        </w:rPr>
      </w:pPr>
      <w:r w:rsidRPr="00C266F3">
        <w:rPr>
          <w:iCs/>
        </w:rPr>
        <w:t>Used alcohol or drugs to relieve feelings such as</w:t>
      </w:r>
      <w:r w:rsidR="00C266F3" w:rsidRPr="00C266F3">
        <w:rPr>
          <w:iCs/>
        </w:rPr>
        <w:t xml:space="preserve"> </w:t>
      </w:r>
      <w:r w:rsidRPr="00C266F3">
        <w:rPr>
          <w:iCs/>
        </w:rPr>
        <w:t>sadness, anger, or boredom</w:t>
      </w:r>
    </w:p>
    <w:p w:rsidR="00C266F3" w:rsidRPr="00C266F3" w:rsidRDefault="00C266F3" w:rsidP="00C266F3"/>
    <w:p w:rsidR="00C266F3" w:rsidRPr="00C266F3" w:rsidRDefault="004B7C7D" w:rsidP="00C266F3">
      <w:r>
        <w:t>In comparison to the DSM IV criteria, the CCYS definition for treatment need appears to require more than a substance abuse diagnosis</w:t>
      </w:r>
      <w:r w:rsidR="00C86066">
        <w:t xml:space="preserve"> because 3 criteria must be met,</w:t>
      </w:r>
      <w:r>
        <w:t xml:space="preserve"> but less than a dependence diagnosis</w:t>
      </w:r>
      <w:r w:rsidR="00C86066">
        <w:t xml:space="preserve"> because the criteria are not as strictly stated as those for dependence. In sum, the CCYS criteria for treatment need appear </w:t>
      </w:r>
      <w:r w:rsidR="00E22DA2">
        <w:t xml:space="preserve">credible and conservative </w:t>
      </w:r>
      <w:r w:rsidR="009D3BD3">
        <w:t xml:space="preserve">for </w:t>
      </w:r>
      <w:r w:rsidR="006C387F">
        <w:t xml:space="preserve">the practical </w:t>
      </w:r>
      <w:r w:rsidR="009D3BD3">
        <w:t xml:space="preserve">purposes of estimating </w:t>
      </w:r>
      <w:r w:rsidR="006C387F">
        <w:t xml:space="preserve">the prevalence of substance use disorders and </w:t>
      </w:r>
      <w:r w:rsidR="009D3BD3">
        <w:t xml:space="preserve">the need for clinical </w:t>
      </w:r>
      <w:r w:rsidR="006C387F">
        <w:t>intervention and/or treatment among adolescents.</w:t>
      </w:r>
    </w:p>
    <w:p w:rsidR="00C266F3" w:rsidRDefault="00C266F3" w:rsidP="00B22FFF"/>
    <w:p w:rsidR="00B22FFF" w:rsidRDefault="00B22FFF" w:rsidP="00B22FFF">
      <w:r>
        <w:t>The CCYS is conducted statewide in November of even numbered calendar years for grades 6, 8, 10 and 12. Statistics are presented for the 8</w:t>
      </w:r>
      <w:r w:rsidRPr="006801C6">
        <w:rPr>
          <w:vertAlign w:val="superscript"/>
        </w:rPr>
        <w:t>th</w:t>
      </w:r>
      <w:r>
        <w:t xml:space="preserve"> grade and the 10</w:t>
      </w:r>
      <w:r w:rsidRPr="006801C6">
        <w:rPr>
          <w:vertAlign w:val="superscript"/>
        </w:rPr>
        <w:t>th</w:t>
      </w:r>
      <w:r>
        <w:t xml:space="preserve"> grade. Eighth grade students are typically 13 years old and substance use and other behaviors by 8</w:t>
      </w:r>
      <w:r w:rsidRPr="00430DC9">
        <w:rPr>
          <w:vertAlign w:val="superscript"/>
        </w:rPr>
        <w:t>th</w:t>
      </w:r>
      <w:r>
        <w:t xml:space="preserve"> graders represent early initiation. The fall semester of the 10</w:t>
      </w:r>
      <w:r w:rsidRPr="00430DC9">
        <w:rPr>
          <w:vertAlign w:val="superscript"/>
        </w:rPr>
        <w:t>th</w:t>
      </w:r>
      <w:r>
        <w:t xml:space="preserve"> grade represents a mid-point for the adolescent ages 12-</w:t>
      </w:r>
      <w:r>
        <w:lastRenderedPageBreak/>
        <w:t>to-17 while high school drop-out is a relatively small factor for 10</w:t>
      </w:r>
      <w:r w:rsidRPr="00011D83">
        <w:rPr>
          <w:vertAlign w:val="superscript"/>
        </w:rPr>
        <w:t>th</w:t>
      </w:r>
      <w:r>
        <w:t xml:space="preserve"> graders. Thus 10</w:t>
      </w:r>
      <w:r w:rsidRPr="00011D83">
        <w:rPr>
          <w:vertAlign w:val="superscript"/>
        </w:rPr>
        <w:t>th</w:t>
      </w:r>
      <w:r>
        <w:t xml:space="preserve"> graders can approximately represent 12-to-17 year-olds as a whole for many indicators.  Similarly, the 8</w:t>
      </w:r>
      <w:r w:rsidRPr="00F87091">
        <w:rPr>
          <w:vertAlign w:val="superscript"/>
        </w:rPr>
        <w:t>th</w:t>
      </w:r>
      <w:r>
        <w:t xml:space="preserve"> grade can represent the later years of middle school while the 10</w:t>
      </w:r>
      <w:r w:rsidRPr="00F87091">
        <w:rPr>
          <w:vertAlign w:val="superscript"/>
        </w:rPr>
        <w:t>th</w:t>
      </w:r>
      <w:r>
        <w:t xml:space="preserve"> grade represents the early years of high school.</w:t>
      </w:r>
    </w:p>
    <w:p w:rsidR="00B22FFF" w:rsidRDefault="00B22FFF" w:rsidP="00B22FFF"/>
    <w:p w:rsidR="00B22FFF" w:rsidRPr="00E14B1C" w:rsidRDefault="00B22FFF" w:rsidP="00B22FFF">
      <w:r>
        <w:t>Interpretation of CCYS statistics at the parish level is often difficult due to low completion rates, especially in Orleans Parish.</w:t>
      </w:r>
      <w:r>
        <w:rPr>
          <w:rStyle w:val="FootnoteReference"/>
        </w:rPr>
        <w:footnoteReference w:id="2"/>
      </w:r>
      <w:r>
        <w:t xml:space="preserve"> Given these low completion rates, the strategy for interpretation used here is, first, to observe statewide levels and trends, then whether the levels and trends appear similar for the Greater New Orleans parishes. Finally, greater weight is given to Jefferson Parish because its completion rates are 2 to 5 times greater than Orleans’ while its adolescent population (ages 12-17) is 30 percent greater than Orleans’ and 15 times greater than Plaquemines’. </w:t>
      </w:r>
      <w:r w:rsidRPr="00265CD5">
        <w:rPr>
          <w:i/>
        </w:rPr>
        <w:t xml:space="preserve">Estimates provided for Greater New Orleans are approximations useful for planning purposes, but </w:t>
      </w:r>
      <w:r>
        <w:rPr>
          <w:i/>
        </w:rPr>
        <w:t xml:space="preserve">not adequate for tracking change </w:t>
      </w:r>
      <w:r>
        <w:t>and</w:t>
      </w:r>
      <w:r w:rsidRPr="00E14B1C">
        <w:t xml:space="preserve"> are prefaced with</w:t>
      </w:r>
      <w:r>
        <w:t xml:space="preserve"> the qualifier,</w:t>
      </w:r>
      <w:r w:rsidRPr="00E14B1C">
        <w:t xml:space="preserve"> “</w:t>
      </w:r>
      <w:r w:rsidRPr="00E14B1C">
        <w:rPr>
          <w:i/>
        </w:rPr>
        <w:t>about</w:t>
      </w:r>
      <w:r w:rsidRPr="00E14B1C">
        <w:t>.”</w:t>
      </w:r>
    </w:p>
    <w:p w:rsidR="00B22FFF" w:rsidRDefault="00B22FFF" w:rsidP="00B22FFF"/>
    <w:p w:rsidR="00DD1E24" w:rsidRDefault="002E704F" w:rsidP="000F7581">
      <w:r>
        <w:t>Statewide, 3.6 percent of 8</w:t>
      </w:r>
      <w:r w:rsidRPr="002E704F">
        <w:rPr>
          <w:vertAlign w:val="superscript"/>
        </w:rPr>
        <w:t>th</w:t>
      </w:r>
      <w:r>
        <w:t xml:space="preserve"> grade students need clinical intervention or treatment services for an alcohol or drug problem, based on the 2012 CCYS survey. Among 10</w:t>
      </w:r>
      <w:r w:rsidRPr="002E704F">
        <w:rPr>
          <w:vertAlign w:val="superscript"/>
        </w:rPr>
        <w:t>th</w:t>
      </w:r>
      <w:r>
        <w:t xml:space="preserve"> grade students, 9.5 percent need clinical intervention or treatment services, 6.3 percent for alcohol and 4.8 percent for other drug problems.</w:t>
      </w:r>
    </w:p>
    <w:p w:rsidR="002E704F" w:rsidRDefault="002E704F" w:rsidP="000F7581"/>
    <w:tbl>
      <w:tblPr>
        <w:tblStyle w:val="TableGrid"/>
        <w:tblW w:w="0" w:type="auto"/>
        <w:jc w:val="center"/>
        <w:tblLayout w:type="fixed"/>
        <w:tblCellMar>
          <w:left w:w="72" w:type="dxa"/>
          <w:right w:w="43" w:type="dxa"/>
        </w:tblCellMar>
        <w:tblLook w:val="04A0" w:firstRow="1" w:lastRow="0" w:firstColumn="1" w:lastColumn="0" w:noHBand="0" w:noVBand="1"/>
      </w:tblPr>
      <w:tblGrid>
        <w:gridCol w:w="1188"/>
        <w:gridCol w:w="1170"/>
        <w:gridCol w:w="918"/>
        <w:gridCol w:w="918"/>
        <w:gridCol w:w="918"/>
        <w:gridCol w:w="918"/>
        <w:gridCol w:w="918"/>
        <w:gridCol w:w="918"/>
      </w:tblGrid>
      <w:tr w:rsidR="00E269B0" w:rsidRPr="0040504B" w:rsidTr="006368A2">
        <w:trPr>
          <w:cantSplit/>
          <w:trHeight w:val="260"/>
          <w:jc w:val="center"/>
        </w:trPr>
        <w:tc>
          <w:tcPr>
            <w:tcW w:w="7866" w:type="dxa"/>
            <w:gridSpan w:val="8"/>
            <w:vAlign w:val="center"/>
          </w:tcPr>
          <w:p w:rsidR="00E269B0" w:rsidRDefault="00E269B0" w:rsidP="006368A2">
            <w:pPr>
              <w:jc w:val="center"/>
              <w:rPr>
                <w:b/>
                <w:sz w:val="20"/>
              </w:rPr>
            </w:pPr>
            <w:r w:rsidRPr="0040504B">
              <w:rPr>
                <w:b/>
                <w:sz w:val="20"/>
              </w:rPr>
              <w:t xml:space="preserve">Percentage of 8th and 10th Grade Students Who </w:t>
            </w:r>
          </w:p>
          <w:p w:rsidR="00E269B0" w:rsidRPr="0040504B" w:rsidRDefault="00E269B0" w:rsidP="006368A2">
            <w:pPr>
              <w:jc w:val="center"/>
              <w:rPr>
                <w:b/>
                <w:sz w:val="20"/>
              </w:rPr>
            </w:pPr>
            <w:r>
              <w:rPr>
                <w:b/>
                <w:sz w:val="20"/>
              </w:rPr>
              <w:t>Need Treatment For Alcohol or Drugs</w:t>
            </w:r>
            <w:r w:rsidRPr="0040504B">
              <w:rPr>
                <w:b/>
                <w:sz w:val="20"/>
              </w:rPr>
              <w:t>, Caring Communities</w:t>
            </w:r>
          </w:p>
          <w:p w:rsidR="00E269B0" w:rsidRPr="0040504B" w:rsidRDefault="00E269B0" w:rsidP="006368A2">
            <w:pPr>
              <w:jc w:val="center"/>
              <w:rPr>
                <w:b/>
                <w:sz w:val="20"/>
                <w:highlight w:val="yellow"/>
              </w:rPr>
            </w:pPr>
            <w:r w:rsidRPr="0040504B">
              <w:rPr>
                <w:b/>
                <w:sz w:val="20"/>
              </w:rPr>
              <w:t>Youth Survey, 2008, 2010 and 2012</w:t>
            </w:r>
          </w:p>
        </w:tc>
      </w:tr>
      <w:tr w:rsidR="00E269B0" w:rsidRPr="0040504B" w:rsidTr="006368A2">
        <w:trPr>
          <w:cantSplit/>
          <w:trHeight w:val="260"/>
          <w:jc w:val="center"/>
        </w:trPr>
        <w:tc>
          <w:tcPr>
            <w:tcW w:w="1188" w:type="dxa"/>
            <w:vMerge w:val="restart"/>
            <w:vAlign w:val="center"/>
          </w:tcPr>
          <w:p w:rsidR="00E269B0" w:rsidRPr="0040504B" w:rsidRDefault="00E269B0" w:rsidP="006368A2">
            <w:pPr>
              <w:jc w:val="center"/>
              <w:rPr>
                <w:b/>
                <w:sz w:val="20"/>
              </w:rPr>
            </w:pPr>
            <w:r>
              <w:rPr>
                <w:b/>
                <w:sz w:val="20"/>
              </w:rPr>
              <w:t>Need Treatment</w:t>
            </w:r>
          </w:p>
        </w:tc>
        <w:tc>
          <w:tcPr>
            <w:tcW w:w="1170" w:type="dxa"/>
            <w:vMerge w:val="restart"/>
            <w:vAlign w:val="center"/>
          </w:tcPr>
          <w:p w:rsidR="00E269B0" w:rsidRPr="0040504B" w:rsidRDefault="00E269B0" w:rsidP="006368A2">
            <w:pPr>
              <w:jc w:val="center"/>
              <w:rPr>
                <w:b/>
                <w:sz w:val="20"/>
              </w:rPr>
            </w:pPr>
            <w:r w:rsidRPr="0040504B">
              <w:rPr>
                <w:b/>
                <w:sz w:val="20"/>
              </w:rPr>
              <w:t>Parish</w:t>
            </w:r>
          </w:p>
        </w:tc>
        <w:tc>
          <w:tcPr>
            <w:tcW w:w="2754" w:type="dxa"/>
            <w:gridSpan w:val="3"/>
            <w:vAlign w:val="center"/>
          </w:tcPr>
          <w:p w:rsidR="00E269B0" w:rsidRPr="0040504B" w:rsidRDefault="00E269B0" w:rsidP="006368A2">
            <w:pPr>
              <w:jc w:val="center"/>
              <w:rPr>
                <w:b/>
                <w:sz w:val="20"/>
              </w:rPr>
            </w:pPr>
            <w:r w:rsidRPr="0040504B">
              <w:rPr>
                <w:b/>
                <w:sz w:val="20"/>
                <w:highlight w:val="yellow"/>
              </w:rPr>
              <w:t>8</w:t>
            </w:r>
            <w:r w:rsidRPr="0040504B">
              <w:rPr>
                <w:b/>
                <w:sz w:val="20"/>
                <w:highlight w:val="yellow"/>
                <w:vertAlign w:val="superscript"/>
              </w:rPr>
              <w:t>th</w:t>
            </w:r>
            <w:r w:rsidRPr="0040504B">
              <w:rPr>
                <w:b/>
                <w:sz w:val="20"/>
              </w:rPr>
              <w:t xml:space="preserve"> Grade</w:t>
            </w:r>
          </w:p>
        </w:tc>
        <w:tc>
          <w:tcPr>
            <w:tcW w:w="2754" w:type="dxa"/>
            <w:gridSpan w:val="3"/>
          </w:tcPr>
          <w:p w:rsidR="00E269B0" w:rsidRPr="0040504B" w:rsidRDefault="00E269B0" w:rsidP="006368A2">
            <w:pPr>
              <w:jc w:val="center"/>
              <w:rPr>
                <w:b/>
                <w:sz w:val="20"/>
                <w:highlight w:val="yellow"/>
              </w:rPr>
            </w:pPr>
            <w:r w:rsidRPr="0040504B">
              <w:rPr>
                <w:b/>
                <w:sz w:val="20"/>
                <w:highlight w:val="yellow"/>
              </w:rPr>
              <w:t>10</w:t>
            </w:r>
            <w:r w:rsidRPr="0040504B">
              <w:rPr>
                <w:b/>
                <w:sz w:val="20"/>
                <w:highlight w:val="yellow"/>
                <w:vertAlign w:val="superscript"/>
              </w:rPr>
              <w:t>th</w:t>
            </w:r>
            <w:r w:rsidRPr="0040504B">
              <w:rPr>
                <w:b/>
                <w:sz w:val="20"/>
              </w:rPr>
              <w:t xml:space="preserve"> Grade</w:t>
            </w:r>
          </w:p>
        </w:tc>
      </w:tr>
      <w:tr w:rsidR="00E269B0" w:rsidRPr="0040504B" w:rsidTr="006368A2">
        <w:trPr>
          <w:cantSplit/>
          <w:trHeight w:val="296"/>
          <w:jc w:val="center"/>
        </w:trPr>
        <w:tc>
          <w:tcPr>
            <w:tcW w:w="1188" w:type="dxa"/>
            <w:vMerge/>
            <w:vAlign w:val="center"/>
          </w:tcPr>
          <w:p w:rsidR="00E269B0" w:rsidRPr="0040504B" w:rsidRDefault="00E269B0" w:rsidP="006368A2">
            <w:pPr>
              <w:jc w:val="center"/>
              <w:rPr>
                <w:b/>
                <w:sz w:val="20"/>
              </w:rPr>
            </w:pPr>
          </w:p>
        </w:tc>
        <w:tc>
          <w:tcPr>
            <w:tcW w:w="1170" w:type="dxa"/>
            <w:vMerge/>
            <w:tcBorders>
              <w:bottom w:val="single" w:sz="4" w:space="0" w:color="auto"/>
            </w:tcBorders>
            <w:vAlign w:val="center"/>
          </w:tcPr>
          <w:p w:rsidR="00E269B0" w:rsidRPr="0040504B" w:rsidRDefault="00E269B0" w:rsidP="006368A2">
            <w:pPr>
              <w:jc w:val="center"/>
              <w:rPr>
                <w:b/>
                <w:sz w:val="20"/>
              </w:rPr>
            </w:pPr>
          </w:p>
        </w:tc>
        <w:tc>
          <w:tcPr>
            <w:tcW w:w="918" w:type="dxa"/>
            <w:tcBorders>
              <w:bottom w:val="single" w:sz="4" w:space="0" w:color="auto"/>
            </w:tcBorders>
            <w:vAlign w:val="center"/>
          </w:tcPr>
          <w:p w:rsidR="00E269B0" w:rsidRPr="0040504B" w:rsidRDefault="00E269B0" w:rsidP="006368A2">
            <w:pPr>
              <w:jc w:val="center"/>
              <w:rPr>
                <w:b/>
                <w:sz w:val="20"/>
              </w:rPr>
            </w:pPr>
            <w:r w:rsidRPr="0040504B">
              <w:rPr>
                <w:b/>
                <w:sz w:val="20"/>
              </w:rPr>
              <w:t>2008</w:t>
            </w:r>
          </w:p>
        </w:tc>
        <w:tc>
          <w:tcPr>
            <w:tcW w:w="918" w:type="dxa"/>
            <w:tcBorders>
              <w:bottom w:val="single" w:sz="4" w:space="0" w:color="auto"/>
            </w:tcBorders>
            <w:vAlign w:val="center"/>
          </w:tcPr>
          <w:p w:rsidR="00E269B0" w:rsidRPr="0040504B" w:rsidRDefault="00E269B0" w:rsidP="006368A2">
            <w:pPr>
              <w:jc w:val="center"/>
              <w:rPr>
                <w:b/>
                <w:sz w:val="20"/>
              </w:rPr>
            </w:pPr>
            <w:r w:rsidRPr="0040504B">
              <w:rPr>
                <w:b/>
                <w:sz w:val="20"/>
              </w:rPr>
              <w:t>2010</w:t>
            </w:r>
          </w:p>
        </w:tc>
        <w:tc>
          <w:tcPr>
            <w:tcW w:w="918" w:type="dxa"/>
            <w:tcBorders>
              <w:bottom w:val="single" w:sz="4" w:space="0" w:color="auto"/>
            </w:tcBorders>
            <w:vAlign w:val="center"/>
          </w:tcPr>
          <w:p w:rsidR="00E269B0" w:rsidRPr="0040504B" w:rsidRDefault="00E269B0" w:rsidP="006368A2">
            <w:pPr>
              <w:jc w:val="center"/>
              <w:rPr>
                <w:b/>
                <w:sz w:val="20"/>
              </w:rPr>
            </w:pPr>
            <w:r w:rsidRPr="0040504B">
              <w:rPr>
                <w:b/>
                <w:sz w:val="20"/>
              </w:rPr>
              <w:t>2012</w:t>
            </w:r>
          </w:p>
        </w:tc>
        <w:tc>
          <w:tcPr>
            <w:tcW w:w="918" w:type="dxa"/>
            <w:tcBorders>
              <w:bottom w:val="single" w:sz="4" w:space="0" w:color="auto"/>
            </w:tcBorders>
            <w:vAlign w:val="center"/>
          </w:tcPr>
          <w:p w:rsidR="00E269B0" w:rsidRPr="0040504B" w:rsidRDefault="00E269B0" w:rsidP="006368A2">
            <w:pPr>
              <w:jc w:val="center"/>
              <w:rPr>
                <w:b/>
                <w:sz w:val="20"/>
              </w:rPr>
            </w:pPr>
            <w:r w:rsidRPr="0040504B">
              <w:rPr>
                <w:b/>
                <w:sz w:val="20"/>
              </w:rPr>
              <w:t>2008</w:t>
            </w:r>
          </w:p>
        </w:tc>
        <w:tc>
          <w:tcPr>
            <w:tcW w:w="918" w:type="dxa"/>
            <w:tcBorders>
              <w:bottom w:val="single" w:sz="4" w:space="0" w:color="auto"/>
            </w:tcBorders>
            <w:vAlign w:val="center"/>
          </w:tcPr>
          <w:p w:rsidR="00E269B0" w:rsidRPr="0040504B" w:rsidRDefault="00E269B0" w:rsidP="006368A2">
            <w:pPr>
              <w:jc w:val="center"/>
              <w:rPr>
                <w:b/>
                <w:sz w:val="20"/>
              </w:rPr>
            </w:pPr>
            <w:r w:rsidRPr="0040504B">
              <w:rPr>
                <w:b/>
                <w:sz w:val="20"/>
              </w:rPr>
              <w:t>2010</w:t>
            </w:r>
          </w:p>
        </w:tc>
        <w:tc>
          <w:tcPr>
            <w:tcW w:w="918" w:type="dxa"/>
            <w:tcBorders>
              <w:bottom w:val="single" w:sz="4" w:space="0" w:color="auto"/>
            </w:tcBorders>
            <w:vAlign w:val="center"/>
          </w:tcPr>
          <w:p w:rsidR="00E269B0" w:rsidRPr="0040504B" w:rsidRDefault="00E269B0" w:rsidP="006368A2">
            <w:pPr>
              <w:jc w:val="center"/>
              <w:rPr>
                <w:b/>
                <w:sz w:val="20"/>
              </w:rPr>
            </w:pPr>
            <w:r w:rsidRPr="0040504B">
              <w:rPr>
                <w:b/>
                <w:sz w:val="20"/>
              </w:rPr>
              <w:t>2012</w:t>
            </w:r>
          </w:p>
        </w:tc>
      </w:tr>
      <w:tr w:rsidR="00E269B0" w:rsidRPr="0040504B" w:rsidTr="006368A2">
        <w:trPr>
          <w:cantSplit/>
          <w:jc w:val="center"/>
        </w:trPr>
        <w:tc>
          <w:tcPr>
            <w:tcW w:w="1188" w:type="dxa"/>
            <w:vMerge w:val="restart"/>
            <w:vAlign w:val="center"/>
          </w:tcPr>
          <w:p w:rsidR="00E269B0" w:rsidRPr="0040504B" w:rsidRDefault="00E269B0" w:rsidP="009D3BD3">
            <w:pPr>
              <w:rPr>
                <w:sz w:val="20"/>
              </w:rPr>
            </w:pPr>
            <w:r>
              <w:rPr>
                <w:sz w:val="20"/>
              </w:rPr>
              <w:t xml:space="preserve">Alcohol </w:t>
            </w:r>
            <w:r w:rsidR="009D3BD3">
              <w:rPr>
                <w:sz w:val="20"/>
              </w:rPr>
              <w:t>Treatment</w:t>
            </w:r>
          </w:p>
        </w:tc>
        <w:tc>
          <w:tcPr>
            <w:tcW w:w="1170" w:type="dxa"/>
            <w:tcBorders>
              <w:bottom w:val="nil"/>
            </w:tcBorders>
            <w:vAlign w:val="center"/>
          </w:tcPr>
          <w:p w:rsidR="00E269B0" w:rsidRPr="0040504B" w:rsidRDefault="00E269B0" w:rsidP="006368A2">
            <w:pPr>
              <w:rPr>
                <w:sz w:val="20"/>
              </w:rPr>
            </w:pPr>
            <w:r w:rsidRPr="0040504B">
              <w:rPr>
                <w:sz w:val="20"/>
              </w:rPr>
              <w:t>Orleans</w:t>
            </w:r>
          </w:p>
        </w:tc>
        <w:tc>
          <w:tcPr>
            <w:tcW w:w="918" w:type="dxa"/>
            <w:tcBorders>
              <w:bottom w:val="nil"/>
            </w:tcBorders>
            <w:vAlign w:val="center"/>
          </w:tcPr>
          <w:p w:rsidR="00E269B0" w:rsidRPr="00572057" w:rsidRDefault="00E269B0" w:rsidP="006368A2">
            <w:pPr>
              <w:jc w:val="center"/>
              <w:rPr>
                <w:sz w:val="20"/>
              </w:rPr>
            </w:pPr>
            <w:r w:rsidRPr="00572057">
              <w:rPr>
                <w:sz w:val="20"/>
              </w:rPr>
              <w:t>1.8</w:t>
            </w:r>
            <w:r>
              <w:rPr>
                <w:sz w:val="20"/>
              </w:rPr>
              <w:t>#</w:t>
            </w:r>
          </w:p>
        </w:tc>
        <w:tc>
          <w:tcPr>
            <w:tcW w:w="918" w:type="dxa"/>
            <w:tcBorders>
              <w:bottom w:val="nil"/>
            </w:tcBorders>
            <w:vAlign w:val="center"/>
          </w:tcPr>
          <w:p w:rsidR="00E269B0" w:rsidRPr="00572057" w:rsidRDefault="00E269B0" w:rsidP="006368A2">
            <w:pPr>
              <w:jc w:val="center"/>
              <w:rPr>
                <w:sz w:val="20"/>
              </w:rPr>
            </w:pPr>
            <w:r w:rsidRPr="00572057">
              <w:rPr>
                <w:sz w:val="20"/>
              </w:rPr>
              <w:t>1.5#</w:t>
            </w:r>
          </w:p>
        </w:tc>
        <w:tc>
          <w:tcPr>
            <w:tcW w:w="918" w:type="dxa"/>
            <w:tcBorders>
              <w:bottom w:val="nil"/>
            </w:tcBorders>
            <w:vAlign w:val="center"/>
          </w:tcPr>
          <w:p w:rsidR="00E269B0" w:rsidRPr="00572057" w:rsidRDefault="00E269B0" w:rsidP="006368A2">
            <w:pPr>
              <w:jc w:val="center"/>
              <w:rPr>
                <w:sz w:val="20"/>
              </w:rPr>
            </w:pPr>
            <w:r w:rsidRPr="00572057">
              <w:rPr>
                <w:sz w:val="20"/>
              </w:rPr>
              <w:t>0.7#</w:t>
            </w:r>
          </w:p>
        </w:tc>
        <w:tc>
          <w:tcPr>
            <w:tcW w:w="918" w:type="dxa"/>
            <w:tcBorders>
              <w:bottom w:val="nil"/>
            </w:tcBorders>
            <w:vAlign w:val="center"/>
          </w:tcPr>
          <w:p w:rsidR="00E269B0" w:rsidRPr="00572057" w:rsidRDefault="00E269B0" w:rsidP="006368A2">
            <w:pPr>
              <w:jc w:val="center"/>
              <w:rPr>
                <w:sz w:val="20"/>
              </w:rPr>
            </w:pPr>
            <w:r w:rsidRPr="00572057">
              <w:rPr>
                <w:sz w:val="20"/>
              </w:rPr>
              <w:t>4.8#</w:t>
            </w:r>
          </w:p>
        </w:tc>
        <w:tc>
          <w:tcPr>
            <w:tcW w:w="918" w:type="dxa"/>
            <w:tcBorders>
              <w:bottom w:val="nil"/>
            </w:tcBorders>
            <w:vAlign w:val="center"/>
          </w:tcPr>
          <w:p w:rsidR="00E269B0" w:rsidRPr="00572057" w:rsidRDefault="00E269B0" w:rsidP="006368A2">
            <w:pPr>
              <w:jc w:val="center"/>
              <w:rPr>
                <w:sz w:val="20"/>
              </w:rPr>
            </w:pPr>
            <w:r w:rsidRPr="00572057">
              <w:rPr>
                <w:sz w:val="20"/>
              </w:rPr>
              <w:t>3.0#</w:t>
            </w:r>
          </w:p>
        </w:tc>
        <w:tc>
          <w:tcPr>
            <w:tcW w:w="918" w:type="dxa"/>
            <w:tcBorders>
              <w:bottom w:val="nil"/>
            </w:tcBorders>
            <w:vAlign w:val="center"/>
          </w:tcPr>
          <w:p w:rsidR="00E269B0" w:rsidRPr="00572057" w:rsidRDefault="00E269B0" w:rsidP="006368A2">
            <w:pPr>
              <w:jc w:val="center"/>
              <w:rPr>
                <w:sz w:val="20"/>
              </w:rPr>
            </w:pPr>
            <w:r w:rsidRPr="00572057">
              <w:rPr>
                <w:sz w:val="20"/>
              </w:rPr>
              <w:t>1.1#</w:t>
            </w:r>
          </w:p>
        </w:tc>
      </w:tr>
      <w:tr w:rsidR="00E269B0" w:rsidRPr="0040504B" w:rsidTr="006368A2">
        <w:trPr>
          <w:cantSplit/>
          <w:jc w:val="center"/>
        </w:trPr>
        <w:tc>
          <w:tcPr>
            <w:tcW w:w="1188" w:type="dxa"/>
            <w:vMerge/>
            <w:vAlign w:val="center"/>
          </w:tcPr>
          <w:p w:rsidR="00E269B0" w:rsidRPr="0040504B" w:rsidRDefault="00E269B0" w:rsidP="006368A2">
            <w:pPr>
              <w:ind w:left="270"/>
              <w:rPr>
                <w:sz w:val="20"/>
              </w:rPr>
            </w:pPr>
          </w:p>
        </w:tc>
        <w:tc>
          <w:tcPr>
            <w:tcW w:w="1170" w:type="dxa"/>
            <w:tcBorders>
              <w:top w:val="nil"/>
              <w:bottom w:val="nil"/>
            </w:tcBorders>
            <w:vAlign w:val="center"/>
          </w:tcPr>
          <w:p w:rsidR="00E269B0" w:rsidRPr="0040504B" w:rsidRDefault="00E269B0" w:rsidP="006368A2">
            <w:pPr>
              <w:rPr>
                <w:sz w:val="20"/>
              </w:rPr>
            </w:pPr>
            <w:r w:rsidRPr="0040504B">
              <w:rPr>
                <w:sz w:val="20"/>
              </w:rPr>
              <w:t>Jefferson</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2.6</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2.4</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2.6</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7.7</w:t>
            </w:r>
            <w:r>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6.9*</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4.2*</w:t>
            </w:r>
          </w:p>
        </w:tc>
      </w:tr>
      <w:tr w:rsidR="00E269B0" w:rsidRPr="0040504B" w:rsidTr="006368A2">
        <w:trPr>
          <w:cantSplit/>
          <w:jc w:val="center"/>
        </w:trPr>
        <w:tc>
          <w:tcPr>
            <w:tcW w:w="1188" w:type="dxa"/>
            <w:vMerge/>
            <w:vAlign w:val="center"/>
          </w:tcPr>
          <w:p w:rsidR="00E269B0" w:rsidRPr="0040504B" w:rsidRDefault="00E269B0" w:rsidP="006368A2">
            <w:pPr>
              <w:ind w:left="270"/>
              <w:rPr>
                <w:sz w:val="20"/>
              </w:rPr>
            </w:pPr>
          </w:p>
        </w:tc>
        <w:tc>
          <w:tcPr>
            <w:tcW w:w="1170" w:type="dxa"/>
            <w:tcBorders>
              <w:top w:val="nil"/>
              <w:bottom w:val="nil"/>
            </w:tcBorders>
            <w:vAlign w:val="center"/>
          </w:tcPr>
          <w:p w:rsidR="00E269B0" w:rsidRPr="0040504B" w:rsidRDefault="00E269B0" w:rsidP="006368A2">
            <w:pPr>
              <w:rPr>
                <w:sz w:val="20"/>
              </w:rPr>
            </w:pPr>
            <w:r w:rsidRPr="0040504B">
              <w:rPr>
                <w:sz w:val="20"/>
              </w:rPr>
              <w:t>Plaquemines</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2.4</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2.3</w:t>
            </w:r>
            <w:r>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2.7</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8.4</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5.2</w:t>
            </w:r>
            <w:r w:rsidRPr="000457A6">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7.1</w:t>
            </w:r>
          </w:p>
        </w:tc>
      </w:tr>
      <w:tr w:rsidR="00E269B0" w:rsidRPr="0040504B" w:rsidTr="006368A2">
        <w:trPr>
          <w:cantSplit/>
          <w:jc w:val="center"/>
        </w:trPr>
        <w:tc>
          <w:tcPr>
            <w:tcW w:w="1188" w:type="dxa"/>
            <w:vMerge/>
            <w:vAlign w:val="center"/>
          </w:tcPr>
          <w:p w:rsidR="00E269B0" w:rsidRPr="0040504B" w:rsidRDefault="00E269B0" w:rsidP="006368A2">
            <w:pPr>
              <w:ind w:left="270"/>
              <w:rPr>
                <w:sz w:val="20"/>
              </w:rPr>
            </w:pPr>
          </w:p>
        </w:tc>
        <w:tc>
          <w:tcPr>
            <w:tcW w:w="1170" w:type="dxa"/>
            <w:tcBorders>
              <w:top w:val="nil"/>
              <w:bottom w:val="nil"/>
            </w:tcBorders>
            <w:vAlign w:val="center"/>
          </w:tcPr>
          <w:p w:rsidR="00E269B0" w:rsidRPr="0040504B" w:rsidRDefault="00E269B0" w:rsidP="006368A2">
            <w:pPr>
              <w:rPr>
                <w:sz w:val="20"/>
              </w:rPr>
            </w:pPr>
            <w:r w:rsidRPr="0040504B">
              <w:rPr>
                <w:sz w:val="20"/>
              </w:rPr>
              <w:t>St. Bernard</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r>
      <w:tr w:rsidR="00E269B0" w:rsidRPr="0040504B" w:rsidTr="006368A2">
        <w:trPr>
          <w:cantSplit/>
          <w:jc w:val="center"/>
        </w:trPr>
        <w:tc>
          <w:tcPr>
            <w:tcW w:w="1188" w:type="dxa"/>
            <w:vMerge/>
            <w:vAlign w:val="center"/>
          </w:tcPr>
          <w:p w:rsidR="00E269B0" w:rsidRPr="0040504B" w:rsidRDefault="00E269B0" w:rsidP="006368A2">
            <w:pPr>
              <w:ind w:left="270"/>
              <w:rPr>
                <w:sz w:val="20"/>
              </w:rPr>
            </w:pPr>
          </w:p>
        </w:tc>
        <w:tc>
          <w:tcPr>
            <w:tcW w:w="1170" w:type="dxa"/>
            <w:tcBorders>
              <w:top w:val="nil"/>
              <w:bottom w:val="single" w:sz="4" w:space="0" w:color="auto"/>
            </w:tcBorders>
            <w:vAlign w:val="center"/>
          </w:tcPr>
          <w:p w:rsidR="00E269B0" w:rsidRPr="0040504B" w:rsidRDefault="00E269B0" w:rsidP="006368A2">
            <w:pPr>
              <w:rPr>
                <w:sz w:val="20"/>
              </w:rPr>
            </w:pPr>
            <w:r w:rsidRPr="0040504B">
              <w:rPr>
                <w:sz w:val="20"/>
              </w:rPr>
              <w:t>Statewide</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3.6</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3.0</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2.2</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8.2</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7.0</w:t>
            </w:r>
            <w:r w:rsidRPr="000457A6">
              <w:rPr>
                <w:sz w:val="20"/>
              </w:rPr>
              <w:t>*</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6.3</w:t>
            </w:r>
          </w:p>
        </w:tc>
      </w:tr>
      <w:tr w:rsidR="00E269B0" w:rsidRPr="0040504B" w:rsidTr="006368A2">
        <w:trPr>
          <w:cantSplit/>
          <w:jc w:val="center"/>
        </w:trPr>
        <w:tc>
          <w:tcPr>
            <w:tcW w:w="1188" w:type="dxa"/>
            <w:vMerge w:val="restart"/>
            <w:vAlign w:val="center"/>
          </w:tcPr>
          <w:p w:rsidR="00E269B0" w:rsidRPr="0040504B" w:rsidRDefault="00E269B0" w:rsidP="009D3BD3">
            <w:pPr>
              <w:rPr>
                <w:sz w:val="20"/>
              </w:rPr>
            </w:pPr>
            <w:r>
              <w:rPr>
                <w:sz w:val="20"/>
              </w:rPr>
              <w:t>Other</w:t>
            </w:r>
            <w:r w:rsidR="003D6AD8">
              <w:rPr>
                <w:sz w:val="20"/>
              </w:rPr>
              <w:t xml:space="preserve"> Drug </w:t>
            </w:r>
            <w:r w:rsidR="009D3BD3">
              <w:rPr>
                <w:sz w:val="20"/>
              </w:rPr>
              <w:t>Treatment</w:t>
            </w:r>
          </w:p>
        </w:tc>
        <w:tc>
          <w:tcPr>
            <w:tcW w:w="1170" w:type="dxa"/>
            <w:tcBorders>
              <w:bottom w:val="nil"/>
            </w:tcBorders>
            <w:vAlign w:val="center"/>
          </w:tcPr>
          <w:p w:rsidR="00E269B0" w:rsidRPr="0040504B" w:rsidRDefault="00E269B0" w:rsidP="006368A2">
            <w:pPr>
              <w:rPr>
                <w:sz w:val="20"/>
              </w:rPr>
            </w:pPr>
            <w:r w:rsidRPr="0040504B">
              <w:rPr>
                <w:sz w:val="20"/>
              </w:rPr>
              <w:t>Orleans</w:t>
            </w:r>
          </w:p>
        </w:tc>
        <w:tc>
          <w:tcPr>
            <w:tcW w:w="918" w:type="dxa"/>
            <w:tcBorders>
              <w:bottom w:val="nil"/>
            </w:tcBorders>
            <w:vAlign w:val="center"/>
          </w:tcPr>
          <w:p w:rsidR="00E269B0" w:rsidRPr="00572057" w:rsidRDefault="00E269B0" w:rsidP="006368A2">
            <w:pPr>
              <w:jc w:val="center"/>
              <w:rPr>
                <w:sz w:val="20"/>
              </w:rPr>
            </w:pPr>
            <w:r w:rsidRPr="00572057">
              <w:rPr>
                <w:sz w:val="20"/>
              </w:rPr>
              <w:t>1.1#</w:t>
            </w:r>
          </w:p>
        </w:tc>
        <w:tc>
          <w:tcPr>
            <w:tcW w:w="918" w:type="dxa"/>
            <w:tcBorders>
              <w:bottom w:val="nil"/>
            </w:tcBorders>
            <w:vAlign w:val="center"/>
          </w:tcPr>
          <w:p w:rsidR="00E269B0" w:rsidRPr="00572057" w:rsidRDefault="00E269B0" w:rsidP="006368A2">
            <w:pPr>
              <w:jc w:val="center"/>
              <w:rPr>
                <w:sz w:val="20"/>
              </w:rPr>
            </w:pPr>
            <w:r w:rsidRPr="00572057">
              <w:rPr>
                <w:sz w:val="20"/>
              </w:rPr>
              <w:t>1.3#</w:t>
            </w:r>
          </w:p>
        </w:tc>
        <w:tc>
          <w:tcPr>
            <w:tcW w:w="918" w:type="dxa"/>
            <w:tcBorders>
              <w:bottom w:val="nil"/>
            </w:tcBorders>
            <w:vAlign w:val="center"/>
          </w:tcPr>
          <w:p w:rsidR="00E269B0" w:rsidRPr="00572057" w:rsidRDefault="00E269B0" w:rsidP="006368A2">
            <w:pPr>
              <w:jc w:val="center"/>
              <w:rPr>
                <w:sz w:val="20"/>
              </w:rPr>
            </w:pPr>
            <w:r w:rsidRPr="00572057">
              <w:rPr>
                <w:sz w:val="20"/>
              </w:rPr>
              <w:t>1.7#</w:t>
            </w:r>
          </w:p>
        </w:tc>
        <w:tc>
          <w:tcPr>
            <w:tcW w:w="918" w:type="dxa"/>
            <w:tcBorders>
              <w:bottom w:val="nil"/>
            </w:tcBorders>
            <w:vAlign w:val="center"/>
          </w:tcPr>
          <w:p w:rsidR="00E269B0" w:rsidRPr="00572057" w:rsidRDefault="00E269B0" w:rsidP="006368A2">
            <w:pPr>
              <w:jc w:val="center"/>
              <w:rPr>
                <w:sz w:val="20"/>
              </w:rPr>
            </w:pPr>
            <w:r w:rsidRPr="00572057">
              <w:rPr>
                <w:sz w:val="20"/>
              </w:rPr>
              <w:t>1.7#</w:t>
            </w:r>
          </w:p>
        </w:tc>
        <w:tc>
          <w:tcPr>
            <w:tcW w:w="918" w:type="dxa"/>
            <w:tcBorders>
              <w:bottom w:val="nil"/>
            </w:tcBorders>
            <w:vAlign w:val="center"/>
          </w:tcPr>
          <w:p w:rsidR="00E269B0" w:rsidRPr="00572057" w:rsidRDefault="00E269B0" w:rsidP="006368A2">
            <w:pPr>
              <w:jc w:val="center"/>
              <w:rPr>
                <w:sz w:val="20"/>
              </w:rPr>
            </w:pPr>
            <w:r w:rsidRPr="00572057">
              <w:rPr>
                <w:sz w:val="20"/>
              </w:rPr>
              <w:t>1.9#</w:t>
            </w:r>
          </w:p>
        </w:tc>
        <w:tc>
          <w:tcPr>
            <w:tcW w:w="918" w:type="dxa"/>
            <w:tcBorders>
              <w:bottom w:val="nil"/>
            </w:tcBorders>
            <w:vAlign w:val="center"/>
          </w:tcPr>
          <w:p w:rsidR="00E269B0" w:rsidRPr="00572057" w:rsidRDefault="00E269B0" w:rsidP="006368A2">
            <w:pPr>
              <w:jc w:val="center"/>
              <w:rPr>
                <w:sz w:val="20"/>
              </w:rPr>
            </w:pPr>
            <w:r w:rsidRPr="00572057">
              <w:rPr>
                <w:sz w:val="20"/>
              </w:rPr>
              <w:t>4.5#</w:t>
            </w:r>
          </w:p>
        </w:tc>
      </w:tr>
      <w:tr w:rsidR="00E269B0" w:rsidRPr="0040504B" w:rsidTr="006368A2">
        <w:trPr>
          <w:cantSplit/>
          <w:jc w:val="center"/>
        </w:trPr>
        <w:tc>
          <w:tcPr>
            <w:tcW w:w="1188" w:type="dxa"/>
            <w:vMerge/>
            <w:vAlign w:val="center"/>
          </w:tcPr>
          <w:p w:rsidR="00E269B0" w:rsidRPr="0040504B" w:rsidRDefault="00E269B0" w:rsidP="006368A2">
            <w:pPr>
              <w:ind w:left="270"/>
              <w:rPr>
                <w:sz w:val="20"/>
              </w:rPr>
            </w:pPr>
          </w:p>
        </w:tc>
        <w:tc>
          <w:tcPr>
            <w:tcW w:w="1170" w:type="dxa"/>
            <w:tcBorders>
              <w:top w:val="nil"/>
              <w:bottom w:val="nil"/>
            </w:tcBorders>
            <w:vAlign w:val="center"/>
          </w:tcPr>
          <w:p w:rsidR="00E269B0" w:rsidRPr="0040504B" w:rsidRDefault="00E269B0" w:rsidP="006368A2">
            <w:pPr>
              <w:rPr>
                <w:sz w:val="20"/>
              </w:rPr>
            </w:pPr>
            <w:r w:rsidRPr="0040504B">
              <w:rPr>
                <w:sz w:val="20"/>
              </w:rPr>
              <w:t>Jefferson</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1.6</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3.0</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2.8</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3.8*</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6.8*</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4.6*</w:t>
            </w:r>
          </w:p>
        </w:tc>
      </w:tr>
      <w:tr w:rsidR="00E269B0" w:rsidRPr="0040504B" w:rsidTr="006368A2">
        <w:trPr>
          <w:cantSplit/>
          <w:jc w:val="center"/>
        </w:trPr>
        <w:tc>
          <w:tcPr>
            <w:tcW w:w="1188" w:type="dxa"/>
            <w:vMerge/>
            <w:vAlign w:val="center"/>
          </w:tcPr>
          <w:p w:rsidR="00E269B0" w:rsidRPr="0040504B" w:rsidRDefault="00E269B0" w:rsidP="006368A2">
            <w:pPr>
              <w:ind w:left="270"/>
              <w:rPr>
                <w:sz w:val="20"/>
              </w:rPr>
            </w:pPr>
          </w:p>
        </w:tc>
        <w:tc>
          <w:tcPr>
            <w:tcW w:w="1170" w:type="dxa"/>
            <w:tcBorders>
              <w:top w:val="nil"/>
              <w:bottom w:val="nil"/>
            </w:tcBorders>
            <w:vAlign w:val="center"/>
          </w:tcPr>
          <w:p w:rsidR="00E269B0" w:rsidRPr="0040504B" w:rsidRDefault="00E269B0" w:rsidP="006368A2">
            <w:pPr>
              <w:rPr>
                <w:sz w:val="20"/>
              </w:rPr>
            </w:pPr>
            <w:r w:rsidRPr="0040504B">
              <w:rPr>
                <w:sz w:val="20"/>
              </w:rPr>
              <w:t>Plaquemines</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2.6</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0.8</w:t>
            </w:r>
            <w:r w:rsidRPr="000457A6">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1.8</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4.5</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3.7</w:t>
            </w:r>
            <w:r w:rsidRPr="000457A6">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6.3</w:t>
            </w:r>
          </w:p>
        </w:tc>
      </w:tr>
      <w:tr w:rsidR="00E269B0" w:rsidRPr="0040504B" w:rsidTr="006368A2">
        <w:trPr>
          <w:cantSplit/>
          <w:jc w:val="center"/>
        </w:trPr>
        <w:tc>
          <w:tcPr>
            <w:tcW w:w="1188" w:type="dxa"/>
            <w:vMerge/>
            <w:vAlign w:val="center"/>
          </w:tcPr>
          <w:p w:rsidR="00E269B0" w:rsidRPr="0040504B" w:rsidRDefault="00E269B0" w:rsidP="006368A2">
            <w:pPr>
              <w:ind w:left="270"/>
              <w:rPr>
                <w:sz w:val="20"/>
              </w:rPr>
            </w:pPr>
          </w:p>
        </w:tc>
        <w:tc>
          <w:tcPr>
            <w:tcW w:w="1170" w:type="dxa"/>
            <w:tcBorders>
              <w:top w:val="nil"/>
              <w:bottom w:val="nil"/>
            </w:tcBorders>
            <w:vAlign w:val="center"/>
          </w:tcPr>
          <w:p w:rsidR="00E269B0" w:rsidRPr="0040504B" w:rsidRDefault="00E269B0" w:rsidP="006368A2">
            <w:pPr>
              <w:rPr>
                <w:sz w:val="20"/>
              </w:rPr>
            </w:pPr>
            <w:r w:rsidRPr="0040504B">
              <w:rPr>
                <w:sz w:val="20"/>
              </w:rPr>
              <w:t>St. Bernard</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r>
      <w:tr w:rsidR="00E269B0" w:rsidRPr="0040504B" w:rsidTr="006368A2">
        <w:trPr>
          <w:cantSplit/>
          <w:jc w:val="center"/>
        </w:trPr>
        <w:tc>
          <w:tcPr>
            <w:tcW w:w="1188" w:type="dxa"/>
            <w:vMerge/>
            <w:vAlign w:val="center"/>
          </w:tcPr>
          <w:p w:rsidR="00E269B0" w:rsidRPr="0040504B" w:rsidRDefault="00E269B0" w:rsidP="006368A2">
            <w:pPr>
              <w:ind w:left="270"/>
              <w:rPr>
                <w:sz w:val="20"/>
              </w:rPr>
            </w:pPr>
          </w:p>
        </w:tc>
        <w:tc>
          <w:tcPr>
            <w:tcW w:w="1170" w:type="dxa"/>
            <w:tcBorders>
              <w:top w:val="nil"/>
              <w:bottom w:val="single" w:sz="4" w:space="0" w:color="auto"/>
            </w:tcBorders>
            <w:vAlign w:val="center"/>
          </w:tcPr>
          <w:p w:rsidR="00E269B0" w:rsidRPr="0040504B" w:rsidRDefault="00E269B0" w:rsidP="006368A2">
            <w:pPr>
              <w:rPr>
                <w:sz w:val="20"/>
              </w:rPr>
            </w:pPr>
            <w:r w:rsidRPr="0040504B">
              <w:rPr>
                <w:sz w:val="20"/>
              </w:rPr>
              <w:t>Statewide</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2.0</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2.0</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1.8</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4.6</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5.1</w:t>
            </w:r>
            <w:r w:rsidRPr="000457A6">
              <w:rPr>
                <w:sz w:val="20"/>
              </w:rPr>
              <w:t>*</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4.8</w:t>
            </w:r>
          </w:p>
        </w:tc>
      </w:tr>
      <w:tr w:rsidR="00E269B0" w:rsidRPr="0040504B" w:rsidTr="006368A2">
        <w:trPr>
          <w:cantSplit/>
          <w:jc w:val="center"/>
        </w:trPr>
        <w:tc>
          <w:tcPr>
            <w:tcW w:w="1188" w:type="dxa"/>
            <w:vMerge w:val="restart"/>
            <w:vAlign w:val="center"/>
          </w:tcPr>
          <w:p w:rsidR="00E269B0" w:rsidRPr="0040504B" w:rsidRDefault="003D6AD8" w:rsidP="006368A2">
            <w:pPr>
              <w:rPr>
                <w:sz w:val="20"/>
              </w:rPr>
            </w:pPr>
            <w:r>
              <w:rPr>
                <w:sz w:val="20"/>
              </w:rPr>
              <w:t>Alcohol or Other Drug Dependence</w:t>
            </w:r>
          </w:p>
        </w:tc>
        <w:tc>
          <w:tcPr>
            <w:tcW w:w="1170" w:type="dxa"/>
            <w:tcBorders>
              <w:bottom w:val="nil"/>
            </w:tcBorders>
            <w:vAlign w:val="center"/>
          </w:tcPr>
          <w:p w:rsidR="00E269B0" w:rsidRPr="0040504B" w:rsidRDefault="00E269B0" w:rsidP="006368A2">
            <w:pPr>
              <w:rPr>
                <w:sz w:val="20"/>
              </w:rPr>
            </w:pPr>
            <w:r w:rsidRPr="0040504B">
              <w:rPr>
                <w:sz w:val="20"/>
              </w:rPr>
              <w:t>Orleans</w:t>
            </w:r>
          </w:p>
        </w:tc>
        <w:tc>
          <w:tcPr>
            <w:tcW w:w="918" w:type="dxa"/>
            <w:tcBorders>
              <w:bottom w:val="nil"/>
            </w:tcBorders>
            <w:vAlign w:val="center"/>
          </w:tcPr>
          <w:p w:rsidR="00E269B0" w:rsidRPr="00572057" w:rsidRDefault="00E269B0" w:rsidP="006368A2">
            <w:pPr>
              <w:jc w:val="center"/>
              <w:rPr>
                <w:sz w:val="20"/>
              </w:rPr>
            </w:pPr>
            <w:r w:rsidRPr="00572057">
              <w:rPr>
                <w:sz w:val="20"/>
              </w:rPr>
              <w:t>2.8#</w:t>
            </w:r>
          </w:p>
        </w:tc>
        <w:tc>
          <w:tcPr>
            <w:tcW w:w="918" w:type="dxa"/>
            <w:tcBorders>
              <w:bottom w:val="nil"/>
            </w:tcBorders>
            <w:vAlign w:val="center"/>
          </w:tcPr>
          <w:p w:rsidR="00E269B0" w:rsidRPr="00572057" w:rsidRDefault="00E269B0" w:rsidP="006368A2">
            <w:pPr>
              <w:jc w:val="center"/>
              <w:rPr>
                <w:sz w:val="20"/>
              </w:rPr>
            </w:pPr>
            <w:r w:rsidRPr="00572057">
              <w:rPr>
                <w:sz w:val="20"/>
              </w:rPr>
              <w:t>2.5#</w:t>
            </w:r>
          </w:p>
        </w:tc>
        <w:tc>
          <w:tcPr>
            <w:tcW w:w="918" w:type="dxa"/>
            <w:tcBorders>
              <w:bottom w:val="nil"/>
            </w:tcBorders>
            <w:vAlign w:val="center"/>
          </w:tcPr>
          <w:p w:rsidR="00E269B0" w:rsidRPr="00572057" w:rsidRDefault="00E269B0" w:rsidP="006368A2">
            <w:pPr>
              <w:jc w:val="center"/>
              <w:rPr>
                <w:sz w:val="20"/>
              </w:rPr>
            </w:pPr>
            <w:r w:rsidRPr="00572057">
              <w:rPr>
                <w:sz w:val="20"/>
              </w:rPr>
              <w:t>2.3#</w:t>
            </w:r>
          </w:p>
        </w:tc>
        <w:tc>
          <w:tcPr>
            <w:tcW w:w="918" w:type="dxa"/>
            <w:tcBorders>
              <w:bottom w:val="nil"/>
            </w:tcBorders>
            <w:vAlign w:val="center"/>
          </w:tcPr>
          <w:p w:rsidR="00E269B0" w:rsidRPr="00572057" w:rsidRDefault="00E269B0" w:rsidP="006368A2">
            <w:pPr>
              <w:jc w:val="center"/>
              <w:rPr>
                <w:sz w:val="20"/>
              </w:rPr>
            </w:pPr>
            <w:r w:rsidRPr="00572057">
              <w:rPr>
                <w:sz w:val="20"/>
              </w:rPr>
              <w:t>6.5#</w:t>
            </w:r>
          </w:p>
        </w:tc>
        <w:tc>
          <w:tcPr>
            <w:tcW w:w="918" w:type="dxa"/>
            <w:tcBorders>
              <w:bottom w:val="nil"/>
            </w:tcBorders>
            <w:vAlign w:val="center"/>
          </w:tcPr>
          <w:p w:rsidR="00E269B0" w:rsidRPr="00572057" w:rsidRDefault="00E269B0" w:rsidP="006368A2">
            <w:pPr>
              <w:jc w:val="center"/>
              <w:rPr>
                <w:sz w:val="20"/>
              </w:rPr>
            </w:pPr>
            <w:r w:rsidRPr="00572057">
              <w:rPr>
                <w:sz w:val="20"/>
              </w:rPr>
              <w:t>5.3#</w:t>
            </w:r>
          </w:p>
        </w:tc>
        <w:tc>
          <w:tcPr>
            <w:tcW w:w="918" w:type="dxa"/>
            <w:tcBorders>
              <w:bottom w:val="nil"/>
            </w:tcBorders>
            <w:vAlign w:val="center"/>
          </w:tcPr>
          <w:p w:rsidR="00E269B0" w:rsidRPr="00572057" w:rsidRDefault="00E269B0" w:rsidP="006368A2">
            <w:pPr>
              <w:jc w:val="center"/>
              <w:rPr>
                <w:sz w:val="20"/>
              </w:rPr>
            </w:pPr>
            <w:r w:rsidRPr="00572057">
              <w:rPr>
                <w:sz w:val="20"/>
              </w:rPr>
              <w:t>4.9#</w:t>
            </w:r>
          </w:p>
        </w:tc>
      </w:tr>
      <w:tr w:rsidR="00E269B0" w:rsidRPr="0040504B" w:rsidTr="006368A2">
        <w:trPr>
          <w:cantSplit/>
          <w:jc w:val="center"/>
        </w:trPr>
        <w:tc>
          <w:tcPr>
            <w:tcW w:w="1188" w:type="dxa"/>
            <w:vMerge/>
            <w:vAlign w:val="center"/>
          </w:tcPr>
          <w:p w:rsidR="00E269B0" w:rsidRPr="0040504B" w:rsidRDefault="00E269B0" w:rsidP="006368A2">
            <w:pPr>
              <w:ind w:left="270"/>
              <w:rPr>
                <w:sz w:val="20"/>
              </w:rPr>
            </w:pPr>
          </w:p>
        </w:tc>
        <w:tc>
          <w:tcPr>
            <w:tcW w:w="1170" w:type="dxa"/>
            <w:tcBorders>
              <w:top w:val="nil"/>
              <w:bottom w:val="nil"/>
            </w:tcBorders>
            <w:vAlign w:val="center"/>
          </w:tcPr>
          <w:p w:rsidR="00E269B0" w:rsidRPr="0040504B" w:rsidRDefault="00E269B0" w:rsidP="006368A2">
            <w:pPr>
              <w:rPr>
                <w:sz w:val="20"/>
              </w:rPr>
            </w:pPr>
            <w:r w:rsidRPr="0040504B">
              <w:rPr>
                <w:sz w:val="20"/>
              </w:rPr>
              <w:t>Jefferson</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3.8</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4.6</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4.8</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10.0</w:t>
            </w:r>
            <w:r w:rsidRPr="000457A6">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11.5</w:t>
            </w:r>
            <w:r w:rsidRPr="000457A6">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7.4</w:t>
            </w:r>
            <w:r w:rsidRPr="000457A6">
              <w:rPr>
                <w:sz w:val="20"/>
              </w:rPr>
              <w:t>*</w:t>
            </w:r>
          </w:p>
        </w:tc>
      </w:tr>
      <w:tr w:rsidR="00E269B0" w:rsidRPr="0040504B" w:rsidTr="006368A2">
        <w:trPr>
          <w:cantSplit/>
          <w:jc w:val="center"/>
        </w:trPr>
        <w:tc>
          <w:tcPr>
            <w:tcW w:w="1188" w:type="dxa"/>
            <w:vMerge/>
            <w:vAlign w:val="center"/>
          </w:tcPr>
          <w:p w:rsidR="00E269B0" w:rsidRPr="0040504B" w:rsidRDefault="00E269B0" w:rsidP="006368A2">
            <w:pPr>
              <w:ind w:left="270"/>
              <w:rPr>
                <w:sz w:val="20"/>
              </w:rPr>
            </w:pPr>
          </w:p>
        </w:tc>
        <w:tc>
          <w:tcPr>
            <w:tcW w:w="1170" w:type="dxa"/>
            <w:tcBorders>
              <w:top w:val="nil"/>
              <w:bottom w:val="nil"/>
            </w:tcBorders>
            <w:vAlign w:val="center"/>
          </w:tcPr>
          <w:p w:rsidR="00E269B0" w:rsidRPr="0040504B" w:rsidRDefault="00E269B0" w:rsidP="006368A2">
            <w:pPr>
              <w:rPr>
                <w:sz w:val="20"/>
              </w:rPr>
            </w:pPr>
            <w:r w:rsidRPr="0040504B">
              <w:rPr>
                <w:sz w:val="20"/>
              </w:rPr>
              <w:t>Plaquemines</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4.7</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2.5</w:t>
            </w:r>
            <w:r w:rsidRPr="000457A6">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3.0</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10.6</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8.4</w:t>
            </w:r>
            <w:r w:rsidRPr="000457A6">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11.4</w:t>
            </w:r>
          </w:p>
        </w:tc>
      </w:tr>
      <w:tr w:rsidR="00E269B0" w:rsidRPr="0040504B" w:rsidTr="006368A2">
        <w:trPr>
          <w:cantSplit/>
          <w:jc w:val="center"/>
        </w:trPr>
        <w:tc>
          <w:tcPr>
            <w:tcW w:w="1188" w:type="dxa"/>
            <w:vMerge/>
            <w:vAlign w:val="center"/>
          </w:tcPr>
          <w:p w:rsidR="00E269B0" w:rsidRPr="0040504B" w:rsidRDefault="00E269B0" w:rsidP="006368A2">
            <w:pPr>
              <w:ind w:left="270"/>
              <w:rPr>
                <w:sz w:val="20"/>
              </w:rPr>
            </w:pPr>
          </w:p>
        </w:tc>
        <w:tc>
          <w:tcPr>
            <w:tcW w:w="1170" w:type="dxa"/>
            <w:tcBorders>
              <w:top w:val="nil"/>
              <w:bottom w:val="nil"/>
            </w:tcBorders>
            <w:vAlign w:val="center"/>
          </w:tcPr>
          <w:p w:rsidR="00E269B0" w:rsidRPr="0040504B" w:rsidRDefault="00E269B0" w:rsidP="006368A2">
            <w:pPr>
              <w:rPr>
                <w:sz w:val="20"/>
              </w:rPr>
            </w:pPr>
            <w:r w:rsidRPr="0040504B">
              <w:rPr>
                <w:sz w:val="20"/>
              </w:rPr>
              <w:t>St. Bernard</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c>
          <w:tcPr>
            <w:tcW w:w="918" w:type="dxa"/>
            <w:tcBorders>
              <w:top w:val="nil"/>
              <w:bottom w:val="nil"/>
            </w:tcBorders>
            <w:vAlign w:val="center"/>
          </w:tcPr>
          <w:p w:rsidR="00E269B0" w:rsidRPr="00572057" w:rsidRDefault="00E269B0" w:rsidP="006368A2">
            <w:pPr>
              <w:jc w:val="center"/>
              <w:rPr>
                <w:sz w:val="20"/>
              </w:rPr>
            </w:pPr>
            <w:r w:rsidRPr="00572057">
              <w:rPr>
                <w:sz w:val="20"/>
              </w:rPr>
              <w:t>--</w:t>
            </w:r>
          </w:p>
        </w:tc>
      </w:tr>
      <w:tr w:rsidR="00E269B0" w:rsidRPr="0040504B" w:rsidTr="006368A2">
        <w:trPr>
          <w:cantSplit/>
          <w:jc w:val="center"/>
        </w:trPr>
        <w:tc>
          <w:tcPr>
            <w:tcW w:w="1188" w:type="dxa"/>
            <w:vMerge/>
            <w:vAlign w:val="center"/>
          </w:tcPr>
          <w:p w:rsidR="00E269B0" w:rsidRPr="0040504B" w:rsidRDefault="00E269B0" w:rsidP="006368A2">
            <w:pPr>
              <w:ind w:left="270"/>
              <w:rPr>
                <w:sz w:val="20"/>
              </w:rPr>
            </w:pPr>
          </w:p>
        </w:tc>
        <w:tc>
          <w:tcPr>
            <w:tcW w:w="1170" w:type="dxa"/>
            <w:tcBorders>
              <w:top w:val="nil"/>
              <w:bottom w:val="single" w:sz="4" w:space="0" w:color="auto"/>
            </w:tcBorders>
            <w:vAlign w:val="center"/>
          </w:tcPr>
          <w:p w:rsidR="00E269B0" w:rsidRPr="0040504B" w:rsidRDefault="00E269B0" w:rsidP="006368A2">
            <w:pPr>
              <w:rPr>
                <w:sz w:val="20"/>
              </w:rPr>
            </w:pPr>
            <w:r w:rsidRPr="0040504B">
              <w:rPr>
                <w:sz w:val="20"/>
              </w:rPr>
              <w:t>Statewide</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5.1</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4.5</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3.6</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11.1</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10.4</w:t>
            </w:r>
            <w:r w:rsidRPr="000457A6">
              <w:rPr>
                <w:sz w:val="20"/>
              </w:rPr>
              <w:t>*</w:t>
            </w:r>
          </w:p>
        </w:tc>
        <w:tc>
          <w:tcPr>
            <w:tcW w:w="918" w:type="dxa"/>
            <w:tcBorders>
              <w:top w:val="nil"/>
              <w:bottom w:val="single" w:sz="4" w:space="0" w:color="auto"/>
            </w:tcBorders>
            <w:vAlign w:val="center"/>
          </w:tcPr>
          <w:p w:rsidR="00E269B0" w:rsidRPr="00572057" w:rsidRDefault="00E269B0" w:rsidP="006368A2">
            <w:pPr>
              <w:jc w:val="center"/>
              <w:rPr>
                <w:sz w:val="20"/>
              </w:rPr>
            </w:pPr>
            <w:r w:rsidRPr="00572057">
              <w:rPr>
                <w:sz w:val="20"/>
              </w:rPr>
              <w:t>9.5</w:t>
            </w:r>
          </w:p>
        </w:tc>
      </w:tr>
      <w:tr w:rsidR="00E269B0" w:rsidRPr="0040504B" w:rsidTr="006368A2">
        <w:trPr>
          <w:cantSplit/>
          <w:jc w:val="center"/>
        </w:trPr>
        <w:tc>
          <w:tcPr>
            <w:tcW w:w="7866" w:type="dxa"/>
            <w:gridSpan w:val="8"/>
            <w:tcBorders>
              <w:top w:val="single" w:sz="4" w:space="0" w:color="auto"/>
            </w:tcBorders>
            <w:vAlign w:val="center"/>
          </w:tcPr>
          <w:p w:rsidR="00E269B0" w:rsidRPr="00071C00" w:rsidRDefault="00E269B0" w:rsidP="006368A2">
            <w:pPr>
              <w:rPr>
                <w:sz w:val="18"/>
                <w:szCs w:val="18"/>
              </w:rPr>
            </w:pPr>
            <w:r w:rsidRPr="00071C00">
              <w:rPr>
                <w:b/>
                <w:sz w:val="18"/>
                <w:szCs w:val="18"/>
                <w:u w:val="single"/>
              </w:rPr>
              <w:t>Caution</w:t>
            </w:r>
            <w:r w:rsidRPr="00071C00">
              <w:rPr>
                <w:sz w:val="18"/>
                <w:szCs w:val="18"/>
              </w:rPr>
              <w:t>: Figures based on less than a 30% completion rate cannot be considered representative; figures based on completion between 30% and 50% should be interpreted with caution. The completion rate is defined as the percent of enrolled students who complete a valid survey.</w:t>
            </w:r>
          </w:p>
          <w:p w:rsidR="00E269B0" w:rsidRPr="00071C00" w:rsidRDefault="00E269B0" w:rsidP="006368A2">
            <w:pPr>
              <w:rPr>
                <w:sz w:val="18"/>
                <w:szCs w:val="18"/>
              </w:rPr>
            </w:pPr>
            <w:proofErr w:type="gramStart"/>
            <w:r w:rsidRPr="00071C00">
              <w:rPr>
                <w:b/>
                <w:sz w:val="18"/>
                <w:szCs w:val="18"/>
              </w:rPr>
              <w:t xml:space="preserve"># </w:t>
            </w:r>
            <w:r w:rsidRPr="00071C00">
              <w:rPr>
                <w:sz w:val="18"/>
                <w:szCs w:val="18"/>
              </w:rPr>
              <w:t xml:space="preserve"> Completion</w:t>
            </w:r>
            <w:proofErr w:type="gramEnd"/>
            <w:r w:rsidRPr="00071C00">
              <w:rPr>
                <w:sz w:val="18"/>
                <w:szCs w:val="18"/>
              </w:rPr>
              <w:t xml:space="preserve"> rate is less than 30%</w:t>
            </w:r>
            <w:r>
              <w:rPr>
                <w:sz w:val="18"/>
                <w:szCs w:val="18"/>
              </w:rPr>
              <w:t>;</w:t>
            </w:r>
            <w:r w:rsidRPr="00071C00">
              <w:rPr>
                <w:sz w:val="18"/>
                <w:szCs w:val="18"/>
              </w:rPr>
              <w:t xml:space="preserve">     </w:t>
            </w:r>
            <w:r w:rsidRPr="00071C00">
              <w:rPr>
                <w:b/>
                <w:sz w:val="18"/>
                <w:szCs w:val="18"/>
              </w:rPr>
              <w:t>*</w:t>
            </w:r>
            <w:r w:rsidRPr="00071C00">
              <w:rPr>
                <w:sz w:val="18"/>
                <w:szCs w:val="18"/>
              </w:rPr>
              <w:t xml:space="preserve"> Completion rate is less than 50%, but 30% or greater.</w:t>
            </w:r>
          </w:p>
          <w:p w:rsidR="00E269B0" w:rsidRPr="00071C00" w:rsidRDefault="00E269B0" w:rsidP="006368A2">
            <w:pPr>
              <w:rPr>
                <w:sz w:val="18"/>
                <w:szCs w:val="18"/>
              </w:rPr>
            </w:pPr>
            <w:r w:rsidRPr="00071C00">
              <w:rPr>
                <w:sz w:val="18"/>
                <w:szCs w:val="18"/>
              </w:rPr>
              <w:t>No statistics are available for St. Bernard Parish.</w:t>
            </w:r>
          </w:p>
          <w:p w:rsidR="00E269B0" w:rsidRPr="00384D67" w:rsidRDefault="00E269B0" w:rsidP="006368A2">
            <w:pPr>
              <w:rPr>
                <w:sz w:val="18"/>
                <w:szCs w:val="18"/>
                <w:highlight w:val="yellow"/>
              </w:rPr>
            </w:pPr>
            <w:r w:rsidRPr="00071C00">
              <w:rPr>
                <w:sz w:val="18"/>
                <w:szCs w:val="18"/>
              </w:rPr>
              <w:t xml:space="preserve">Data Source: Louisiana Social Indicators - </w:t>
            </w:r>
            <w:hyperlink r:id="rId8" w:history="1">
              <w:r w:rsidRPr="00071C00">
                <w:rPr>
                  <w:rStyle w:val="Hyperlink"/>
                  <w:sz w:val="18"/>
                  <w:szCs w:val="18"/>
                </w:rPr>
                <w:t>http://www.bach-harrison.com/lasocialindicators</w:t>
              </w:r>
            </w:hyperlink>
            <w:r w:rsidRPr="00071C00">
              <w:rPr>
                <w:sz w:val="18"/>
                <w:szCs w:val="18"/>
              </w:rPr>
              <w:t xml:space="preserve"> (7/5/2013).</w:t>
            </w:r>
          </w:p>
        </w:tc>
      </w:tr>
    </w:tbl>
    <w:p w:rsidR="002E23BC" w:rsidRDefault="002E23BC" w:rsidP="002E23BC">
      <w:r>
        <w:lastRenderedPageBreak/>
        <w:t>In Greater New Orleans, about 4.0 percent of 8</w:t>
      </w:r>
      <w:r w:rsidRPr="002E23BC">
        <w:rPr>
          <w:vertAlign w:val="superscript"/>
        </w:rPr>
        <w:t>th</w:t>
      </w:r>
      <w:r>
        <w:t xml:space="preserve"> grade students need clinical intervention or treatment services for an alcohol or drug problem, based on the 2012 CCYS survey. </w:t>
      </w:r>
      <w:r w:rsidRPr="002E23BC">
        <w:t>Among 10</w:t>
      </w:r>
      <w:r w:rsidRPr="002E23BC">
        <w:rPr>
          <w:vertAlign w:val="superscript"/>
        </w:rPr>
        <w:t>th</w:t>
      </w:r>
      <w:r w:rsidRPr="002E23BC">
        <w:t xml:space="preserve"> grade students, </w:t>
      </w:r>
      <w:r w:rsidR="00170590">
        <w:t xml:space="preserve">about </w:t>
      </w:r>
      <w:r>
        <w:t>7.4</w:t>
      </w:r>
      <w:r w:rsidRPr="002E23BC">
        <w:t xml:space="preserve"> percent need clinical intervention or treatment services, </w:t>
      </w:r>
      <w:r w:rsidR="00170590">
        <w:t xml:space="preserve">about </w:t>
      </w:r>
      <w:r>
        <w:t>4.2</w:t>
      </w:r>
      <w:r w:rsidRPr="002E23BC">
        <w:t xml:space="preserve"> percent for alcohol and </w:t>
      </w:r>
      <w:r w:rsidR="00170590">
        <w:t xml:space="preserve">about </w:t>
      </w:r>
      <w:r>
        <w:t>4.6</w:t>
      </w:r>
      <w:r w:rsidRPr="002E23BC">
        <w:t xml:space="preserve"> percent for other drug problems.</w:t>
      </w:r>
    </w:p>
    <w:tbl>
      <w:tblPr>
        <w:tblStyle w:val="TableGrid"/>
        <w:tblpPr w:leftFromText="180" w:rightFromText="180" w:vertAnchor="text" w:horzAnchor="margin" w:tblpXSpec="right" w:tblpY="306"/>
        <w:tblOverlap w:val="never"/>
        <w:tblW w:w="0" w:type="auto"/>
        <w:tblLook w:val="04A0" w:firstRow="1" w:lastRow="0" w:firstColumn="1" w:lastColumn="0" w:noHBand="0" w:noVBand="1"/>
      </w:tblPr>
      <w:tblGrid>
        <w:gridCol w:w="1998"/>
        <w:gridCol w:w="1386"/>
        <w:gridCol w:w="633"/>
        <w:gridCol w:w="1314"/>
      </w:tblGrid>
      <w:tr w:rsidR="00DE38EF" w:rsidRPr="00DE38EF" w:rsidTr="009358E6">
        <w:trPr>
          <w:trHeight w:val="796"/>
        </w:trPr>
        <w:tc>
          <w:tcPr>
            <w:tcW w:w="5331" w:type="dxa"/>
            <w:gridSpan w:val="4"/>
            <w:vAlign w:val="center"/>
          </w:tcPr>
          <w:p w:rsidR="009358E6" w:rsidRDefault="00447DD0" w:rsidP="005C4393">
            <w:pPr>
              <w:jc w:val="center"/>
              <w:rPr>
                <w:b/>
                <w:sz w:val="20"/>
              </w:rPr>
            </w:pPr>
            <w:r>
              <w:rPr>
                <w:b/>
                <w:sz w:val="20"/>
              </w:rPr>
              <w:t xml:space="preserve">Estimated </w:t>
            </w:r>
            <w:r w:rsidR="00DE38EF" w:rsidRPr="00F21CD7">
              <w:rPr>
                <w:b/>
                <w:sz w:val="20"/>
              </w:rPr>
              <w:t xml:space="preserve">Adolescent Population in Need of </w:t>
            </w:r>
          </w:p>
          <w:p w:rsidR="009358E6" w:rsidRDefault="00DE38EF" w:rsidP="005C4393">
            <w:pPr>
              <w:jc w:val="center"/>
              <w:rPr>
                <w:b/>
                <w:sz w:val="20"/>
              </w:rPr>
            </w:pPr>
            <w:r w:rsidRPr="00F21CD7">
              <w:rPr>
                <w:b/>
                <w:sz w:val="20"/>
              </w:rPr>
              <w:t>Clinical Intervention or Treatment Services</w:t>
            </w:r>
          </w:p>
          <w:p w:rsidR="00DE38EF" w:rsidRPr="00DE38EF" w:rsidRDefault="00DE38EF" w:rsidP="005C4393">
            <w:pPr>
              <w:jc w:val="center"/>
              <w:rPr>
                <w:sz w:val="20"/>
              </w:rPr>
            </w:pPr>
            <w:r>
              <w:rPr>
                <w:b/>
                <w:sz w:val="20"/>
              </w:rPr>
              <w:t xml:space="preserve"> based on the 2012 CCYS Survey</w:t>
            </w:r>
          </w:p>
        </w:tc>
      </w:tr>
      <w:tr w:rsidR="009358E6" w:rsidRPr="00DE38EF" w:rsidTr="009358E6">
        <w:trPr>
          <w:trHeight w:val="379"/>
        </w:trPr>
        <w:tc>
          <w:tcPr>
            <w:tcW w:w="1998" w:type="dxa"/>
            <w:vMerge w:val="restart"/>
            <w:tcMar>
              <w:left w:w="43" w:type="dxa"/>
              <w:right w:w="43" w:type="dxa"/>
            </w:tcMar>
            <w:vAlign w:val="center"/>
          </w:tcPr>
          <w:p w:rsidR="00DE38EF" w:rsidRPr="00DE38EF" w:rsidRDefault="00DE38EF" w:rsidP="005C4393">
            <w:pPr>
              <w:jc w:val="center"/>
              <w:rPr>
                <w:sz w:val="20"/>
              </w:rPr>
            </w:pPr>
          </w:p>
        </w:tc>
        <w:tc>
          <w:tcPr>
            <w:tcW w:w="1386" w:type="dxa"/>
            <w:vMerge w:val="restart"/>
            <w:tcMar>
              <w:left w:w="43" w:type="dxa"/>
              <w:right w:w="43" w:type="dxa"/>
            </w:tcMar>
            <w:vAlign w:val="center"/>
          </w:tcPr>
          <w:p w:rsidR="00DE38EF" w:rsidRPr="00DE38EF" w:rsidRDefault="00DE38EF" w:rsidP="005C4393">
            <w:pPr>
              <w:jc w:val="center"/>
              <w:rPr>
                <w:sz w:val="20"/>
              </w:rPr>
            </w:pPr>
            <w:r w:rsidRPr="00DE38EF">
              <w:rPr>
                <w:sz w:val="20"/>
              </w:rPr>
              <w:t xml:space="preserve">2010 </w:t>
            </w:r>
            <w:proofErr w:type="spellStart"/>
            <w:r w:rsidRPr="00DE38EF">
              <w:rPr>
                <w:sz w:val="20"/>
              </w:rPr>
              <w:t>Adoles</w:t>
            </w:r>
            <w:proofErr w:type="spellEnd"/>
            <w:r>
              <w:rPr>
                <w:sz w:val="20"/>
              </w:rPr>
              <w:t>-</w:t>
            </w:r>
            <w:r w:rsidRPr="00DE38EF">
              <w:rPr>
                <w:sz w:val="20"/>
              </w:rPr>
              <w:t>cent Population</w:t>
            </w:r>
          </w:p>
          <w:p w:rsidR="00DE38EF" w:rsidRPr="00DE38EF" w:rsidRDefault="00DE38EF" w:rsidP="005C4393">
            <w:pPr>
              <w:jc w:val="center"/>
              <w:rPr>
                <w:sz w:val="20"/>
              </w:rPr>
            </w:pPr>
            <w:r w:rsidRPr="00DE38EF">
              <w:rPr>
                <w:sz w:val="20"/>
              </w:rPr>
              <w:t>(Aged 12-17)</w:t>
            </w:r>
            <w:r w:rsidRPr="00DE38EF">
              <w:rPr>
                <w:sz w:val="20"/>
                <w:vertAlign w:val="superscript"/>
              </w:rPr>
              <w:t>1</w:t>
            </w:r>
          </w:p>
        </w:tc>
        <w:tc>
          <w:tcPr>
            <w:tcW w:w="1947" w:type="dxa"/>
            <w:gridSpan w:val="2"/>
            <w:tcMar>
              <w:left w:w="43" w:type="dxa"/>
              <w:right w:w="43" w:type="dxa"/>
            </w:tcMar>
            <w:vAlign w:val="center"/>
          </w:tcPr>
          <w:p w:rsidR="00DE38EF" w:rsidRPr="00DE38EF" w:rsidRDefault="00DE38EF" w:rsidP="005C4393">
            <w:pPr>
              <w:jc w:val="center"/>
              <w:rPr>
                <w:sz w:val="20"/>
              </w:rPr>
            </w:pPr>
            <w:r w:rsidRPr="00DE38EF">
              <w:rPr>
                <w:sz w:val="20"/>
              </w:rPr>
              <w:t>Treatment Need</w:t>
            </w:r>
          </w:p>
        </w:tc>
      </w:tr>
      <w:tr w:rsidR="005C4393" w:rsidRPr="00DE38EF" w:rsidTr="009358E6">
        <w:trPr>
          <w:trHeight w:val="409"/>
        </w:trPr>
        <w:tc>
          <w:tcPr>
            <w:tcW w:w="1998" w:type="dxa"/>
            <w:vMerge/>
            <w:tcMar>
              <w:left w:w="43" w:type="dxa"/>
              <w:right w:w="43" w:type="dxa"/>
            </w:tcMar>
            <w:vAlign w:val="center"/>
          </w:tcPr>
          <w:p w:rsidR="00DE38EF" w:rsidRPr="00DE38EF" w:rsidRDefault="00DE38EF" w:rsidP="005C4393">
            <w:pPr>
              <w:jc w:val="center"/>
              <w:rPr>
                <w:sz w:val="20"/>
              </w:rPr>
            </w:pPr>
          </w:p>
        </w:tc>
        <w:tc>
          <w:tcPr>
            <w:tcW w:w="1386" w:type="dxa"/>
            <w:vMerge/>
            <w:tcMar>
              <w:left w:w="43" w:type="dxa"/>
              <w:right w:w="43" w:type="dxa"/>
            </w:tcMar>
            <w:vAlign w:val="center"/>
          </w:tcPr>
          <w:p w:rsidR="00DE38EF" w:rsidRPr="00DE38EF" w:rsidRDefault="00DE38EF" w:rsidP="005C4393">
            <w:pPr>
              <w:jc w:val="center"/>
              <w:rPr>
                <w:sz w:val="20"/>
              </w:rPr>
            </w:pPr>
          </w:p>
        </w:tc>
        <w:tc>
          <w:tcPr>
            <w:tcW w:w="633" w:type="dxa"/>
            <w:tcMar>
              <w:left w:w="43" w:type="dxa"/>
              <w:right w:w="43" w:type="dxa"/>
            </w:tcMar>
            <w:vAlign w:val="center"/>
          </w:tcPr>
          <w:p w:rsidR="00DE38EF" w:rsidRPr="00DE38EF" w:rsidRDefault="00DE38EF" w:rsidP="005C4393">
            <w:pPr>
              <w:jc w:val="center"/>
              <w:rPr>
                <w:sz w:val="20"/>
              </w:rPr>
            </w:pPr>
            <w:r w:rsidRPr="00DE38EF">
              <w:rPr>
                <w:sz w:val="20"/>
              </w:rPr>
              <w:t>Rate</w:t>
            </w:r>
          </w:p>
        </w:tc>
        <w:tc>
          <w:tcPr>
            <w:tcW w:w="1314" w:type="dxa"/>
            <w:tcMar>
              <w:left w:w="43" w:type="dxa"/>
              <w:right w:w="43" w:type="dxa"/>
            </w:tcMar>
            <w:vAlign w:val="center"/>
          </w:tcPr>
          <w:p w:rsidR="00DE38EF" w:rsidRPr="00DE38EF" w:rsidRDefault="00DE38EF" w:rsidP="005C4393">
            <w:pPr>
              <w:jc w:val="center"/>
              <w:rPr>
                <w:sz w:val="20"/>
              </w:rPr>
            </w:pPr>
            <w:r w:rsidRPr="00DE38EF">
              <w:rPr>
                <w:sz w:val="20"/>
              </w:rPr>
              <w:t>Number</w:t>
            </w:r>
          </w:p>
        </w:tc>
      </w:tr>
      <w:tr w:rsidR="005C4393" w:rsidRPr="00DE38EF" w:rsidTr="009358E6">
        <w:trPr>
          <w:trHeight w:val="300"/>
        </w:trPr>
        <w:tc>
          <w:tcPr>
            <w:tcW w:w="1998" w:type="dxa"/>
            <w:vAlign w:val="center"/>
          </w:tcPr>
          <w:p w:rsidR="005C4393" w:rsidRPr="00DE38EF" w:rsidRDefault="005C4393" w:rsidP="00DE38EF">
            <w:pPr>
              <w:rPr>
                <w:sz w:val="20"/>
              </w:rPr>
            </w:pPr>
            <w:r w:rsidRPr="00DE38EF">
              <w:rPr>
                <w:sz w:val="20"/>
              </w:rPr>
              <w:t>Orleans Parish</w:t>
            </w:r>
          </w:p>
        </w:tc>
        <w:tc>
          <w:tcPr>
            <w:tcW w:w="1386" w:type="dxa"/>
            <w:vAlign w:val="center"/>
          </w:tcPr>
          <w:p w:rsidR="005C4393" w:rsidRPr="00DE38EF" w:rsidRDefault="005C4393" w:rsidP="00DE38EF">
            <w:pPr>
              <w:jc w:val="center"/>
              <w:rPr>
                <w:color w:val="000000"/>
                <w:sz w:val="20"/>
              </w:rPr>
            </w:pPr>
            <w:r w:rsidRPr="00DE38EF">
              <w:rPr>
                <w:color w:val="000000"/>
                <w:sz w:val="20"/>
              </w:rPr>
              <w:t>23,848</w:t>
            </w:r>
          </w:p>
        </w:tc>
        <w:tc>
          <w:tcPr>
            <w:tcW w:w="633" w:type="dxa"/>
            <w:vAlign w:val="center"/>
          </w:tcPr>
          <w:p w:rsidR="005C4393" w:rsidRPr="00DE38EF" w:rsidRDefault="005C4393" w:rsidP="00DE38EF">
            <w:pPr>
              <w:jc w:val="center"/>
              <w:rPr>
                <w:sz w:val="20"/>
              </w:rPr>
            </w:pPr>
            <w:r w:rsidRPr="00DE38EF">
              <w:rPr>
                <w:sz w:val="20"/>
              </w:rPr>
              <w:t>7.4%</w:t>
            </w:r>
          </w:p>
        </w:tc>
        <w:tc>
          <w:tcPr>
            <w:tcW w:w="1314" w:type="dxa"/>
            <w:vAlign w:val="center"/>
          </w:tcPr>
          <w:p w:rsidR="005C4393" w:rsidRDefault="005C4393" w:rsidP="005C4393">
            <w:pPr>
              <w:jc w:val="center"/>
              <w:rPr>
                <w:color w:val="000000"/>
                <w:sz w:val="20"/>
              </w:rPr>
            </w:pPr>
            <w:r>
              <w:rPr>
                <w:color w:val="000000"/>
                <w:sz w:val="20"/>
              </w:rPr>
              <w:t>1,765</w:t>
            </w:r>
          </w:p>
        </w:tc>
      </w:tr>
      <w:tr w:rsidR="005C4393" w:rsidRPr="00DE38EF" w:rsidTr="009358E6">
        <w:trPr>
          <w:trHeight w:val="300"/>
        </w:trPr>
        <w:tc>
          <w:tcPr>
            <w:tcW w:w="1998" w:type="dxa"/>
            <w:vAlign w:val="center"/>
          </w:tcPr>
          <w:p w:rsidR="005C4393" w:rsidRPr="00DE38EF" w:rsidRDefault="005C4393" w:rsidP="00DE38EF">
            <w:pPr>
              <w:rPr>
                <w:sz w:val="20"/>
              </w:rPr>
            </w:pPr>
            <w:r w:rsidRPr="00DE38EF">
              <w:rPr>
                <w:sz w:val="20"/>
              </w:rPr>
              <w:t>Jefferson Parish</w:t>
            </w:r>
          </w:p>
        </w:tc>
        <w:tc>
          <w:tcPr>
            <w:tcW w:w="1386" w:type="dxa"/>
            <w:vAlign w:val="center"/>
          </w:tcPr>
          <w:p w:rsidR="005C4393" w:rsidRPr="00DE38EF" w:rsidRDefault="005C4393" w:rsidP="00DE38EF">
            <w:pPr>
              <w:jc w:val="center"/>
              <w:rPr>
                <w:color w:val="000000"/>
                <w:sz w:val="20"/>
              </w:rPr>
            </w:pPr>
            <w:r w:rsidRPr="00DE38EF">
              <w:rPr>
                <w:color w:val="000000"/>
                <w:sz w:val="20"/>
              </w:rPr>
              <w:t>32,094</w:t>
            </w:r>
          </w:p>
        </w:tc>
        <w:tc>
          <w:tcPr>
            <w:tcW w:w="633" w:type="dxa"/>
            <w:vAlign w:val="center"/>
          </w:tcPr>
          <w:p w:rsidR="005C4393" w:rsidRPr="00DE38EF" w:rsidRDefault="005C4393" w:rsidP="00DE38EF">
            <w:pPr>
              <w:jc w:val="center"/>
              <w:rPr>
                <w:sz w:val="20"/>
              </w:rPr>
            </w:pPr>
            <w:r w:rsidRPr="00DE38EF">
              <w:rPr>
                <w:sz w:val="20"/>
              </w:rPr>
              <w:t>7.4%</w:t>
            </w:r>
          </w:p>
        </w:tc>
        <w:tc>
          <w:tcPr>
            <w:tcW w:w="1314" w:type="dxa"/>
            <w:vAlign w:val="center"/>
          </w:tcPr>
          <w:p w:rsidR="005C4393" w:rsidRDefault="005C4393" w:rsidP="005C4393">
            <w:pPr>
              <w:jc w:val="center"/>
              <w:rPr>
                <w:color w:val="000000"/>
                <w:sz w:val="20"/>
              </w:rPr>
            </w:pPr>
            <w:r>
              <w:rPr>
                <w:color w:val="000000"/>
                <w:sz w:val="20"/>
              </w:rPr>
              <w:t>2,375</w:t>
            </w:r>
          </w:p>
        </w:tc>
      </w:tr>
      <w:tr w:rsidR="005C4393" w:rsidRPr="00DE38EF" w:rsidTr="009358E6">
        <w:trPr>
          <w:trHeight w:val="300"/>
        </w:trPr>
        <w:tc>
          <w:tcPr>
            <w:tcW w:w="1998" w:type="dxa"/>
            <w:vAlign w:val="center"/>
          </w:tcPr>
          <w:p w:rsidR="005C4393" w:rsidRPr="00DE38EF" w:rsidRDefault="005C4393" w:rsidP="00DE38EF">
            <w:pPr>
              <w:rPr>
                <w:sz w:val="20"/>
              </w:rPr>
            </w:pPr>
            <w:r w:rsidRPr="00DE38EF">
              <w:rPr>
                <w:sz w:val="20"/>
              </w:rPr>
              <w:t>Plaquemines Parish</w:t>
            </w:r>
          </w:p>
        </w:tc>
        <w:tc>
          <w:tcPr>
            <w:tcW w:w="1386" w:type="dxa"/>
            <w:vAlign w:val="center"/>
          </w:tcPr>
          <w:p w:rsidR="005C4393" w:rsidRPr="00DE38EF" w:rsidRDefault="005C4393" w:rsidP="00DE38EF">
            <w:pPr>
              <w:jc w:val="center"/>
              <w:rPr>
                <w:color w:val="000000"/>
                <w:sz w:val="20"/>
              </w:rPr>
            </w:pPr>
            <w:r w:rsidRPr="00DE38EF">
              <w:rPr>
                <w:color w:val="000000"/>
                <w:sz w:val="20"/>
              </w:rPr>
              <w:t>2,206</w:t>
            </w:r>
          </w:p>
        </w:tc>
        <w:tc>
          <w:tcPr>
            <w:tcW w:w="633" w:type="dxa"/>
            <w:vAlign w:val="center"/>
          </w:tcPr>
          <w:p w:rsidR="005C4393" w:rsidRPr="00DE38EF" w:rsidRDefault="005C4393" w:rsidP="00DE38EF">
            <w:pPr>
              <w:jc w:val="center"/>
              <w:rPr>
                <w:sz w:val="20"/>
              </w:rPr>
            </w:pPr>
            <w:r w:rsidRPr="00DE38EF">
              <w:rPr>
                <w:sz w:val="20"/>
              </w:rPr>
              <w:t>7.4%</w:t>
            </w:r>
          </w:p>
        </w:tc>
        <w:tc>
          <w:tcPr>
            <w:tcW w:w="1314" w:type="dxa"/>
            <w:vAlign w:val="center"/>
          </w:tcPr>
          <w:p w:rsidR="005C4393" w:rsidRDefault="005C4393" w:rsidP="005C4393">
            <w:pPr>
              <w:jc w:val="center"/>
              <w:rPr>
                <w:color w:val="000000"/>
                <w:sz w:val="20"/>
              </w:rPr>
            </w:pPr>
            <w:r>
              <w:rPr>
                <w:color w:val="000000"/>
                <w:sz w:val="20"/>
              </w:rPr>
              <w:t>163</w:t>
            </w:r>
          </w:p>
        </w:tc>
      </w:tr>
      <w:tr w:rsidR="005C4393" w:rsidRPr="00DE38EF" w:rsidTr="009358E6">
        <w:trPr>
          <w:trHeight w:val="300"/>
        </w:trPr>
        <w:tc>
          <w:tcPr>
            <w:tcW w:w="1998" w:type="dxa"/>
            <w:vAlign w:val="center"/>
          </w:tcPr>
          <w:p w:rsidR="005C4393" w:rsidRPr="00DE38EF" w:rsidRDefault="005C4393" w:rsidP="00DE38EF">
            <w:pPr>
              <w:rPr>
                <w:sz w:val="20"/>
              </w:rPr>
            </w:pPr>
            <w:r w:rsidRPr="00DE38EF">
              <w:rPr>
                <w:sz w:val="20"/>
              </w:rPr>
              <w:t>St. Bernard Parish</w:t>
            </w:r>
          </w:p>
        </w:tc>
        <w:tc>
          <w:tcPr>
            <w:tcW w:w="1386" w:type="dxa"/>
            <w:vAlign w:val="center"/>
          </w:tcPr>
          <w:p w:rsidR="005C4393" w:rsidRPr="00DE38EF" w:rsidRDefault="005C4393" w:rsidP="00DE38EF">
            <w:pPr>
              <w:jc w:val="center"/>
              <w:rPr>
                <w:color w:val="000000"/>
                <w:sz w:val="20"/>
              </w:rPr>
            </w:pPr>
            <w:r w:rsidRPr="00DE38EF">
              <w:rPr>
                <w:color w:val="000000"/>
                <w:sz w:val="20"/>
              </w:rPr>
              <w:t>2,946</w:t>
            </w:r>
          </w:p>
        </w:tc>
        <w:tc>
          <w:tcPr>
            <w:tcW w:w="633" w:type="dxa"/>
            <w:vAlign w:val="center"/>
          </w:tcPr>
          <w:p w:rsidR="005C4393" w:rsidRPr="00DE38EF" w:rsidRDefault="005C4393" w:rsidP="00DE38EF">
            <w:pPr>
              <w:jc w:val="center"/>
              <w:rPr>
                <w:sz w:val="20"/>
              </w:rPr>
            </w:pPr>
            <w:r w:rsidRPr="00DE38EF">
              <w:rPr>
                <w:sz w:val="20"/>
              </w:rPr>
              <w:t>7.4%</w:t>
            </w:r>
          </w:p>
        </w:tc>
        <w:tc>
          <w:tcPr>
            <w:tcW w:w="1314" w:type="dxa"/>
            <w:vAlign w:val="center"/>
          </w:tcPr>
          <w:p w:rsidR="005C4393" w:rsidRDefault="005C4393" w:rsidP="005C4393">
            <w:pPr>
              <w:jc w:val="center"/>
              <w:rPr>
                <w:color w:val="000000"/>
                <w:sz w:val="20"/>
              </w:rPr>
            </w:pPr>
            <w:r>
              <w:rPr>
                <w:color w:val="000000"/>
                <w:sz w:val="20"/>
              </w:rPr>
              <w:t>218</w:t>
            </w:r>
          </w:p>
        </w:tc>
      </w:tr>
      <w:tr w:rsidR="005C4393" w:rsidRPr="00DE38EF" w:rsidTr="009358E6">
        <w:trPr>
          <w:trHeight w:val="300"/>
        </w:trPr>
        <w:tc>
          <w:tcPr>
            <w:tcW w:w="1998" w:type="dxa"/>
            <w:vAlign w:val="center"/>
          </w:tcPr>
          <w:p w:rsidR="005C4393" w:rsidRPr="00DE38EF" w:rsidRDefault="005C4393" w:rsidP="00DE38EF">
            <w:pPr>
              <w:rPr>
                <w:bCs/>
                <w:sz w:val="20"/>
              </w:rPr>
            </w:pPr>
            <w:r w:rsidRPr="00DE38EF">
              <w:rPr>
                <w:bCs/>
                <w:sz w:val="20"/>
              </w:rPr>
              <w:t>Greater New Orleans</w:t>
            </w:r>
          </w:p>
        </w:tc>
        <w:tc>
          <w:tcPr>
            <w:tcW w:w="1386" w:type="dxa"/>
            <w:vAlign w:val="center"/>
          </w:tcPr>
          <w:p w:rsidR="005C4393" w:rsidRPr="00DE38EF" w:rsidRDefault="005C4393" w:rsidP="00DE38EF">
            <w:pPr>
              <w:jc w:val="center"/>
              <w:rPr>
                <w:color w:val="000000"/>
                <w:sz w:val="20"/>
              </w:rPr>
            </w:pPr>
            <w:r w:rsidRPr="00DE38EF">
              <w:rPr>
                <w:color w:val="000000"/>
                <w:sz w:val="20"/>
              </w:rPr>
              <w:t>61,094</w:t>
            </w:r>
          </w:p>
        </w:tc>
        <w:tc>
          <w:tcPr>
            <w:tcW w:w="633" w:type="dxa"/>
            <w:vAlign w:val="center"/>
          </w:tcPr>
          <w:p w:rsidR="005C4393" w:rsidRPr="00DE38EF" w:rsidRDefault="005C4393" w:rsidP="00DE38EF">
            <w:pPr>
              <w:jc w:val="center"/>
              <w:rPr>
                <w:sz w:val="20"/>
              </w:rPr>
            </w:pPr>
            <w:r w:rsidRPr="00DE38EF">
              <w:rPr>
                <w:sz w:val="20"/>
              </w:rPr>
              <w:t>7.4%</w:t>
            </w:r>
          </w:p>
        </w:tc>
        <w:tc>
          <w:tcPr>
            <w:tcW w:w="1314" w:type="dxa"/>
            <w:vAlign w:val="center"/>
          </w:tcPr>
          <w:p w:rsidR="005C4393" w:rsidRDefault="005C4393" w:rsidP="005C4393">
            <w:pPr>
              <w:jc w:val="center"/>
              <w:rPr>
                <w:color w:val="000000"/>
                <w:sz w:val="20"/>
              </w:rPr>
            </w:pPr>
            <w:r>
              <w:rPr>
                <w:color w:val="000000"/>
                <w:sz w:val="20"/>
              </w:rPr>
              <w:t>4,521</w:t>
            </w:r>
          </w:p>
        </w:tc>
      </w:tr>
      <w:tr w:rsidR="00DE38EF" w:rsidRPr="00DE38EF" w:rsidTr="009358E6">
        <w:trPr>
          <w:trHeight w:val="517"/>
        </w:trPr>
        <w:tc>
          <w:tcPr>
            <w:tcW w:w="5331" w:type="dxa"/>
            <w:gridSpan w:val="4"/>
            <w:vAlign w:val="center"/>
          </w:tcPr>
          <w:p w:rsidR="00DE38EF" w:rsidRPr="00DE38EF" w:rsidRDefault="00DE38EF" w:rsidP="005C4393">
            <w:pPr>
              <w:rPr>
                <w:sz w:val="18"/>
                <w:szCs w:val="18"/>
              </w:rPr>
            </w:pPr>
            <w:r w:rsidRPr="00DE38EF">
              <w:rPr>
                <w:sz w:val="18"/>
                <w:szCs w:val="18"/>
                <w:vertAlign w:val="superscript"/>
              </w:rPr>
              <w:t>1</w:t>
            </w:r>
            <w:r w:rsidRPr="00DE38EF">
              <w:rPr>
                <w:sz w:val="18"/>
                <w:szCs w:val="18"/>
              </w:rPr>
              <w:t>U.S. Census Bureau, 2010 Census and Census 2000, released September 2011.</w:t>
            </w:r>
          </w:p>
        </w:tc>
      </w:tr>
    </w:tbl>
    <w:p w:rsidR="00F21CD7" w:rsidRDefault="00F21CD7" w:rsidP="002E23BC"/>
    <w:p w:rsidR="00F21CD7" w:rsidRDefault="00B849F1" w:rsidP="002E23BC">
      <w:r>
        <w:t>As suggested above, the fall semester of the 10</w:t>
      </w:r>
      <w:r w:rsidRPr="00B849F1">
        <w:rPr>
          <w:vertAlign w:val="superscript"/>
        </w:rPr>
        <w:t>th</w:t>
      </w:r>
      <w:r>
        <w:t xml:space="preserve"> grade can be considered a developmental midpoint for the adolescent population (ages 12 through 17)</w:t>
      </w:r>
      <w:r w:rsidR="002A5CD2">
        <w:t>.</w:t>
      </w:r>
      <w:r>
        <w:t xml:space="preserve"> </w:t>
      </w:r>
      <w:r w:rsidR="009358E6">
        <w:t>Using the 7.4% treatment need prevalence rate for 10</w:t>
      </w:r>
      <w:r w:rsidR="009358E6" w:rsidRPr="009358E6">
        <w:rPr>
          <w:vertAlign w:val="superscript"/>
        </w:rPr>
        <w:t>th</w:t>
      </w:r>
      <w:r w:rsidR="009358E6">
        <w:t xml:space="preserve"> grade students</w:t>
      </w:r>
      <w:r>
        <w:t xml:space="preserve"> in Greater New Orleans</w:t>
      </w:r>
      <w:r w:rsidR="002A5CD2">
        <w:t xml:space="preserve"> and applying it to the 2010 U.S. Census population figures yields the following</w:t>
      </w:r>
      <w:r w:rsidR="00EB7002">
        <w:t xml:space="preserve"> estimates</w:t>
      </w:r>
      <w:r w:rsidR="002A5CD2">
        <w:t>.</w:t>
      </w:r>
    </w:p>
    <w:p w:rsidR="002A5CD2" w:rsidRDefault="002A5CD2" w:rsidP="002E23BC"/>
    <w:p w:rsidR="002A5CD2" w:rsidRDefault="002A5CD2" w:rsidP="002E23BC">
      <w:r>
        <w:t>A</w:t>
      </w:r>
      <w:r w:rsidR="00EB7002">
        <w:t>n estimated</w:t>
      </w:r>
      <w:r>
        <w:t xml:space="preserve"> total of 4,521 adolescents (ages 12-17) in Greater New Orleans are in need of clinical intervention and/or treatment services</w:t>
      </w:r>
      <w:r w:rsidR="00EB7002">
        <w:t xml:space="preserve"> for an alcohol or drug problem, including 1,765 in Orleans Parish, 2,375 in Jefferson Parish, 163 in Plaquemines, and 218 in St. Bernard Parish.</w:t>
      </w:r>
    </w:p>
    <w:p w:rsidR="002A5CD2" w:rsidRDefault="002A5CD2" w:rsidP="002E23BC"/>
    <w:p w:rsidR="002E23BC" w:rsidRPr="000F7581" w:rsidRDefault="002E23BC" w:rsidP="000F7581"/>
    <w:p w:rsidR="000F7581" w:rsidRDefault="000F7581" w:rsidP="000F7581"/>
    <w:p w:rsidR="00E269B0" w:rsidRPr="000F7581" w:rsidRDefault="00E269B0" w:rsidP="00E269B0">
      <w:r w:rsidRPr="000F7581">
        <w:rPr>
          <w:b/>
        </w:rPr>
        <w:t>Contact for Further Information</w:t>
      </w:r>
    </w:p>
    <w:p w:rsidR="00E269B0" w:rsidRPr="00F91F8A" w:rsidRDefault="00E269B0" w:rsidP="00E269B0"/>
    <w:p w:rsidR="00E269B0" w:rsidRPr="00F91F8A" w:rsidRDefault="00A129A4" w:rsidP="00E269B0">
      <w:hyperlink r:id="rId9" w:history="1">
        <w:r w:rsidR="00E269B0" w:rsidRPr="00F91F8A">
          <w:rPr>
            <w:rStyle w:val="Hyperlink"/>
          </w:rPr>
          <w:t>http://picardcenter.org/ResearchAreas/QualityOfLife/CCYS/Pages/CCYS_default.aspx</w:t>
        </w:r>
      </w:hyperlink>
    </w:p>
    <w:p w:rsidR="00E269B0" w:rsidRPr="00F91F8A" w:rsidRDefault="00E269B0" w:rsidP="00E269B0"/>
    <w:p w:rsidR="00E269B0" w:rsidRPr="00F91F8A" w:rsidRDefault="00E269B0" w:rsidP="00E269B0">
      <w:pPr>
        <w:rPr>
          <w:sz w:val="20"/>
        </w:rPr>
      </w:pPr>
      <w:r w:rsidRPr="00F91F8A">
        <w:rPr>
          <w:sz w:val="20"/>
        </w:rPr>
        <w:t>Editor: Robert J Gallati (</w:t>
      </w:r>
      <w:hyperlink r:id="rId10" w:history="1">
        <w:r w:rsidRPr="00F91F8A">
          <w:rPr>
            <w:rStyle w:val="Hyperlink"/>
            <w:sz w:val="20"/>
          </w:rPr>
          <w:t>rjgallati@yahoo.com</w:t>
        </w:r>
      </w:hyperlink>
      <w:r w:rsidRPr="00F91F8A">
        <w:rPr>
          <w:sz w:val="20"/>
        </w:rPr>
        <w:t xml:space="preserve">), updated: </w:t>
      </w:r>
      <w:r w:rsidR="00B308ED">
        <w:rPr>
          <w:sz w:val="20"/>
        </w:rPr>
        <w:t>01/31/2014</w:t>
      </w:r>
    </w:p>
    <w:p w:rsidR="004F4264" w:rsidRPr="000F7581" w:rsidRDefault="004F4264" w:rsidP="00E269B0"/>
    <w:sectPr w:rsidR="004F4264" w:rsidRPr="000F7581" w:rsidSect="007214C6">
      <w:headerReference w:type="default"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9A4" w:rsidRDefault="00A129A4" w:rsidP="001B31CC">
      <w:r>
        <w:separator/>
      </w:r>
    </w:p>
  </w:endnote>
  <w:endnote w:type="continuationSeparator" w:id="0">
    <w:p w:rsidR="00A129A4" w:rsidRDefault="00A129A4" w:rsidP="001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1CC" w:rsidRDefault="00A129A4">
    <w:pPr>
      <w:pStyle w:val="Footer"/>
    </w:pPr>
    <w:r>
      <w:fldChar w:fldCharType="begin"/>
    </w:r>
    <w:r>
      <w:instrText xml:space="preserve"> FILENAME   \* MERGEFORMAT </w:instrText>
    </w:r>
    <w:r>
      <w:fldChar w:fldCharType="separate"/>
    </w:r>
    <w:r w:rsidR="007954EF" w:rsidRPr="007954EF">
      <w:rPr>
        <w:noProof/>
        <w:sz w:val="18"/>
        <w:szCs w:val="18"/>
      </w:rPr>
      <w:t>5-0103_SUDs-CCYS_200140131.docx</w:t>
    </w:r>
    <w:r>
      <w:rPr>
        <w:noProof/>
        <w:sz w:val="18"/>
        <w:szCs w:val="18"/>
      </w:rPr>
      <w:fldChar w:fldCharType="end"/>
    </w:r>
    <w:r w:rsidR="001B31CC">
      <w:tab/>
    </w:r>
    <w:r w:rsidR="007214C6">
      <w:fldChar w:fldCharType="begin"/>
    </w:r>
    <w:r w:rsidR="001B31CC">
      <w:instrText xml:space="preserve"> PAGE   \* MERGEFORMAT </w:instrText>
    </w:r>
    <w:r w:rsidR="007214C6">
      <w:fldChar w:fldCharType="separate"/>
    </w:r>
    <w:r w:rsidR="00042497">
      <w:rPr>
        <w:noProof/>
      </w:rPr>
      <w:t>1</w:t>
    </w:r>
    <w:r w:rsidR="007214C6">
      <w:fldChar w:fldCharType="end"/>
    </w:r>
    <w:r w:rsidR="001B31CC">
      <w:t xml:space="preserve"> of </w:t>
    </w:r>
    <w:r>
      <w:fldChar w:fldCharType="begin"/>
    </w:r>
    <w:r>
      <w:instrText xml:space="preserve"> NUMPAGES   \* MERGEFORMAT </w:instrText>
    </w:r>
    <w:r>
      <w:fldChar w:fldCharType="separate"/>
    </w:r>
    <w:r w:rsidR="00042497">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9A4" w:rsidRDefault="00A129A4" w:rsidP="001B31CC">
      <w:r>
        <w:separator/>
      </w:r>
    </w:p>
  </w:footnote>
  <w:footnote w:type="continuationSeparator" w:id="0">
    <w:p w:rsidR="00A129A4" w:rsidRDefault="00A129A4" w:rsidP="001B31CC">
      <w:r>
        <w:continuationSeparator/>
      </w:r>
    </w:p>
  </w:footnote>
  <w:footnote w:id="1">
    <w:p w:rsidR="003D6AD8" w:rsidRDefault="003D6AD8" w:rsidP="003D6AD8">
      <w:pPr>
        <w:pStyle w:val="FootnoteText"/>
      </w:pPr>
      <w:r>
        <w:rPr>
          <w:rStyle w:val="FootnoteReference"/>
        </w:rPr>
        <w:footnoteRef/>
      </w:r>
      <w:r>
        <w:t xml:space="preserve"> </w:t>
      </w:r>
      <w:proofErr w:type="gramStart"/>
      <w:r>
        <w:t>American Psychiatric Association.</w:t>
      </w:r>
      <w:proofErr w:type="gramEnd"/>
      <w:r>
        <w:t xml:space="preserve"> </w:t>
      </w:r>
      <w:proofErr w:type="gramStart"/>
      <w:r w:rsidRPr="007A1668">
        <w:rPr>
          <w:i/>
        </w:rPr>
        <w:t>Diagnostic and Statistical Manual of Mental Disorders, Fourth Edition</w:t>
      </w:r>
      <w:r>
        <w:t xml:space="preserve"> (DSM-IV).</w:t>
      </w:r>
      <w:proofErr w:type="gramEnd"/>
      <w:r>
        <w:t xml:space="preserve"> Washington DC, 1994, pp. 181-2. </w:t>
      </w:r>
      <w:r w:rsidRPr="001C2E89">
        <w:t xml:space="preserve">Separate criteria are provided for dependence and abuse. </w:t>
      </w:r>
      <w:r w:rsidRPr="00D2029D">
        <w:rPr>
          <w:i/>
        </w:rPr>
        <w:t>Dependence</w:t>
      </w:r>
      <w:r w:rsidRPr="001C2E89">
        <w:t xml:space="preserve"> criteria </w:t>
      </w:r>
      <w:r>
        <w:t>are the following (paraphrased)</w:t>
      </w:r>
      <w:r w:rsidRPr="001C2E89">
        <w:t>:</w:t>
      </w:r>
      <w:r>
        <w:t xml:space="preserve"> tolerance; withdrawal; loss of control; unsuccessful attempts to control use; preoccupation with obtaining or using; reduced social, occupational or recreational activities; continued use despite negative consequences. Presence of any 3 of these 7 criteria indicates dependence. (</w:t>
      </w:r>
      <w:r w:rsidRPr="00D2029D">
        <w:t>Phy</w:t>
      </w:r>
      <w:r>
        <w:t>siological dependence symptoms,</w:t>
      </w:r>
      <w:r w:rsidRPr="00D2029D">
        <w:t xml:space="preserve"> withdrawal and/or tolerance</w:t>
      </w:r>
      <w:r>
        <w:t>,</w:t>
      </w:r>
      <w:r w:rsidRPr="00D2029D">
        <w:t xml:space="preserve"> are neither necessary nor sufficient conditions for a dependence diagnosis since 3 of 7 criteria must be met.</w:t>
      </w:r>
      <w:r>
        <w:t xml:space="preserve">) </w:t>
      </w:r>
      <w:r w:rsidRPr="00D2029D">
        <w:rPr>
          <w:i/>
        </w:rPr>
        <w:t>Abuse</w:t>
      </w:r>
      <w:r w:rsidRPr="001C2E89">
        <w:t xml:space="preserve"> </w:t>
      </w:r>
      <w:r>
        <w:t>is the recurrent use despite: failure to fulfill important roles; hazardous situations; legal problems; social/interpersonal problems. Presence of any 1 of these 4 criteria is sufficient for an abuse diagnosis.</w:t>
      </w:r>
      <w:r w:rsidRPr="001C2E89">
        <w:t xml:space="preserve"> </w:t>
      </w:r>
      <w:r w:rsidRPr="00D2029D">
        <w:t>Thus dependence and abuse conditions have separate sets of criteria, although a diagnosis of dependence supersedes a diagnosis abuse.</w:t>
      </w:r>
      <w:r>
        <w:t xml:space="preserve"> Substance use disorders (</w:t>
      </w:r>
      <w:r w:rsidRPr="00C944DF">
        <w:t>SUDs</w:t>
      </w:r>
      <w:r>
        <w:t>)</w:t>
      </w:r>
      <w:r w:rsidRPr="00C944DF">
        <w:t xml:space="preserve"> are defined for different classes of substances </w:t>
      </w:r>
      <w:r>
        <w:t xml:space="preserve">using the same criteria. </w:t>
      </w:r>
    </w:p>
  </w:footnote>
  <w:footnote w:id="2">
    <w:p w:rsidR="00B22FFF" w:rsidRDefault="00B22FFF" w:rsidP="00B22FFF">
      <w:pPr>
        <w:pStyle w:val="FootnoteText"/>
      </w:pPr>
      <w:r>
        <w:rPr>
          <w:rStyle w:val="FootnoteReference"/>
        </w:rPr>
        <w:footnoteRef/>
      </w:r>
      <w:r>
        <w:t xml:space="preserve"> </w:t>
      </w:r>
      <w:r w:rsidRPr="00A9513A">
        <w:t>The CCYS uses a census survey method, attempting to survey all enrolled students.</w:t>
      </w:r>
      <w:r>
        <w:t xml:space="preserve"> Completion rate, as reporting in CCYS state and parish profiles, is the percent of enrolled students who complete a valid CCYS survey. This rate </w:t>
      </w:r>
      <w:r w:rsidRPr="006E5B17">
        <w:t xml:space="preserve">is affected by </w:t>
      </w:r>
      <w:r>
        <w:t>lack of school participation, student absences and inability to schedule all students to take the survey. See Appendix A for further information including grade and parish-specific completion rates by survey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C1" w:rsidRDefault="000E3853">
    <w:pPr>
      <w:pStyle w:val="Header"/>
      <w:rPr>
        <w:b/>
      </w:rPr>
    </w:pPr>
    <w:r>
      <w:rPr>
        <w:b/>
      </w:rPr>
      <w:t xml:space="preserve">Greater New Orleans </w:t>
    </w:r>
    <w:r w:rsidR="006E4BC1" w:rsidRPr="006E4BC1">
      <w:rPr>
        <w:b/>
      </w:rPr>
      <w:t xml:space="preserve">Community Substance </w:t>
    </w:r>
    <w:r w:rsidR="004F4264">
      <w:rPr>
        <w:b/>
      </w:rPr>
      <w:t>U</w:t>
    </w:r>
    <w:r w:rsidR="006E4BC1" w:rsidRPr="006E4BC1">
      <w:rPr>
        <w:b/>
      </w:rPr>
      <w:t>se Health Profile</w:t>
    </w:r>
  </w:p>
  <w:p w:rsidR="00DD1E24" w:rsidRPr="006E4BC1" w:rsidRDefault="00E269B0" w:rsidP="00E269B0">
    <w:pPr>
      <w:pStyle w:val="Header"/>
      <w:rPr>
        <w:b/>
      </w:rPr>
    </w:pPr>
    <w:r w:rsidRPr="00E269B0">
      <w:rPr>
        <w:b/>
      </w:rPr>
      <w:t xml:space="preserve">Consequences of Substance Use – </w:t>
    </w:r>
    <w:r>
      <w:rPr>
        <w:b/>
      </w:rPr>
      <w:t>Substance Use Disorders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21B"/>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7339B4"/>
    <w:multiLevelType w:val="hybridMultilevel"/>
    <w:tmpl w:val="FEC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26974"/>
    <w:multiLevelType w:val="hybridMultilevel"/>
    <w:tmpl w:val="AE22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4">
    <w:nsid w:val="25C408A7"/>
    <w:multiLevelType w:val="hybridMultilevel"/>
    <w:tmpl w:val="58A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46087E"/>
    <w:multiLevelType w:val="multilevel"/>
    <w:tmpl w:val="17DA4E82"/>
    <w:lvl w:ilvl="0">
      <w:start w:val="9"/>
      <w:numFmt w:val="decimal"/>
      <w:lvlText w:val="%1."/>
      <w:lvlJc w:val="left"/>
      <w:pPr>
        <w:tabs>
          <w:tab w:val="left" w:pos="288"/>
        </w:tabs>
        <w:ind w:left="720"/>
      </w:pPr>
      <w:rPr>
        <w:rFonts w:ascii="Times New Roman" w:eastAsia="Times New Roman" w:hAnsi="Times New Roman"/>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EC4815"/>
    <w:multiLevelType w:val="multilevel"/>
    <w:tmpl w:val="14D6A2CC"/>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12437A"/>
    <w:multiLevelType w:val="hybridMultilevel"/>
    <w:tmpl w:val="A7E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776534"/>
    <w:multiLevelType w:val="multilevel"/>
    <w:tmpl w:val="7788092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50728B"/>
    <w:multiLevelType w:val="hybridMultilevel"/>
    <w:tmpl w:val="14BA74DC"/>
    <w:lvl w:ilvl="0" w:tplc="D3644D9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721125"/>
    <w:multiLevelType w:val="hybridMultilevel"/>
    <w:tmpl w:val="BD3C3C60"/>
    <w:lvl w:ilvl="0" w:tplc="C21C2B54">
      <w:start w:val="1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6025D1"/>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9D1D32"/>
    <w:multiLevelType w:val="multilevel"/>
    <w:tmpl w:val="9E0E08C2"/>
    <w:lvl w:ilvl="0">
      <w:start w:val="7"/>
      <w:numFmt w:val="decimal"/>
      <w:lvlText w:val="%1."/>
      <w:lvlJc w:val="left"/>
      <w:pPr>
        <w:tabs>
          <w:tab w:val="left" w:pos="432"/>
        </w:tabs>
        <w:ind w:left="720"/>
      </w:pPr>
      <w:rPr>
        <w:rFonts w:ascii="Times New Roman" w:eastAsia="Times New Roman" w:hAnsi="Times New Roman"/>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0"/>
  </w:num>
  <w:num w:numId="3">
    <w:abstractNumId w:val="8"/>
  </w:num>
  <w:num w:numId="4">
    <w:abstractNumId w:val="6"/>
  </w:num>
  <w:num w:numId="5">
    <w:abstractNumId w:val="12"/>
  </w:num>
  <w:num w:numId="6">
    <w:abstractNumId w:val="0"/>
  </w:num>
  <w:num w:numId="7">
    <w:abstractNumId w:val="13"/>
  </w:num>
  <w:num w:numId="8">
    <w:abstractNumId w:val="5"/>
  </w:num>
  <w:num w:numId="9">
    <w:abstractNumId w:val="7"/>
  </w:num>
  <w:num w:numId="10">
    <w:abstractNumId w:val="4"/>
  </w:num>
  <w:num w:numId="11">
    <w:abstractNumId w:val="1"/>
  </w:num>
  <w:num w:numId="12">
    <w:abstractNumId w:val="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231AC"/>
    <w:rsid w:val="00034184"/>
    <w:rsid w:val="00042497"/>
    <w:rsid w:val="0004249E"/>
    <w:rsid w:val="00044FDD"/>
    <w:rsid w:val="00047859"/>
    <w:rsid w:val="0005363D"/>
    <w:rsid w:val="000726C0"/>
    <w:rsid w:val="000C092D"/>
    <w:rsid w:val="000D188F"/>
    <w:rsid w:val="000E3853"/>
    <w:rsid w:val="000F3280"/>
    <w:rsid w:val="000F7581"/>
    <w:rsid w:val="00124997"/>
    <w:rsid w:val="001440D4"/>
    <w:rsid w:val="00154A58"/>
    <w:rsid w:val="0015747A"/>
    <w:rsid w:val="00170590"/>
    <w:rsid w:val="001A52D7"/>
    <w:rsid w:val="001B312B"/>
    <w:rsid w:val="001B31CC"/>
    <w:rsid w:val="001E7474"/>
    <w:rsid w:val="00202AD8"/>
    <w:rsid w:val="00213B5A"/>
    <w:rsid w:val="002315F0"/>
    <w:rsid w:val="002318EB"/>
    <w:rsid w:val="0024791A"/>
    <w:rsid w:val="002517AA"/>
    <w:rsid w:val="002838EF"/>
    <w:rsid w:val="0028675C"/>
    <w:rsid w:val="002A5CD2"/>
    <w:rsid w:val="002B140C"/>
    <w:rsid w:val="002C5D2D"/>
    <w:rsid w:val="002C64B7"/>
    <w:rsid w:val="002E23BC"/>
    <w:rsid w:val="002E704F"/>
    <w:rsid w:val="00302423"/>
    <w:rsid w:val="003348D2"/>
    <w:rsid w:val="00361FB2"/>
    <w:rsid w:val="0036519E"/>
    <w:rsid w:val="00392126"/>
    <w:rsid w:val="0039218D"/>
    <w:rsid w:val="003C0EC7"/>
    <w:rsid w:val="003D6AD8"/>
    <w:rsid w:val="003D7190"/>
    <w:rsid w:val="00447DD0"/>
    <w:rsid w:val="004A474C"/>
    <w:rsid w:val="004B7C7D"/>
    <w:rsid w:val="004D57B2"/>
    <w:rsid w:val="004E7EF2"/>
    <w:rsid w:val="004F4264"/>
    <w:rsid w:val="00546230"/>
    <w:rsid w:val="00552976"/>
    <w:rsid w:val="00561875"/>
    <w:rsid w:val="00563573"/>
    <w:rsid w:val="005917EF"/>
    <w:rsid w:val="005A7FA3"/>
    <w:rsid w:val="005C4393"/>
    <w:rsid w:val="0060239C"/>
    <w:rsid w:val="00650C16"/>
    <w:rsid w:val="00684CF0"/>
    <w:rsid w:val="00693BBB"/>
    <w:rsid w:val="00694BCF"/>
    <w:rsid w:val="0069748D"/>
    <w:rsid w:val="006A65C8"/>
    <w:rsid w:val="006B22A9"/>
    <w:rsid w:val="006B2887"/>
    <w:rsid w:val="006C387F"/>
    <w:rsid w:val="006D4F96"/>
    <w:rsid w:val="006E4BC1"/>
    <w:rsid w:val="007214C6"/>
    <w:rsid w:val="00722A7F"/>
    <w:rsid w:val="007439F1"/>
    <w:rsid w:val="0075355D"/>
    <w:rsid w:val="007619DF"/>
    <w:rsid w:val="00762C2D"/>
    <w:rsid w:val="007954EF"/>
    <w:rsid w:val="007A023C"/>
    <w:rsid w:val="008020DA"/>
    <w:rsid w:val="00812E90"/>
    <w:rsid w:val="008302C3"/>
    <w:rsid w:val="008324A9"/>
    <w:rsid w:val="00843D1D"/>
    <w:rsid w:val="00862080"/>
    <w:rsid w:val="008D578E"/>
    <w:rsid w:val="008F74AA"/>
    <w:rsid w:val="009358E6"/>
    <w:rsid w:val="0094555E"/>
    <w:rsid w:val="00952A84"/>
    <w:rsid w:val="0096217B"/>
    <w:rsid w:val="00962F2E"/>
    <w:rsid w:val="00975E1E"/>
    <w:rsid w:val="00985016"/>
    <w:rsid w:val="009B010C"/>
    <w:rsid w:val="009C039F"/>
    <w:rsid w:val="009C534C"/>
    <w:rsid w:val="009D1DAB"/>
    <w:rsid w:val="009D3BD3"/>
    <w:rsid w:val="009E292F"/>
    <w:rsid w:val="00A02D06"/>
    <w:rsid w:val="00A06288"/>
    <w:rsid w:val="00A129A4"/>
    <w:rsid w:val="00A37AD2"/>
    <w:rsid w:val="00A4227B"/>
    <w:rsid w:val="00A85D4E"/>
    <w:rsid w:val="00A8644E"/>
    <w:rsid w:val="00AB44E8"/>
    <w:rsid w:val="00AC3FD1"/>
    <w:rsid w:val="00AD6173"/>
    <w:rsid w:val="00AE54C2"/>
    <w:rsid w:val="00AF5A02"/>
    <w:rsid w:val="00B03D3C"/>
    <w:rsid w:val="00B22FFF"/>
    <w:rsid w:val="00B308ED"/>
    <w:rsid w:val="00B849F1"/>
    <w:rsid w:val="00B964DB"/>
    <w:rsid w:val="00BB36AD"/>
    <w:rsid w:val="00BC0572"/>
    <w:rsid w:val="00BD41FF"/>
    <w:rsid w:val="00C13A65"/>
    <w:rsid w:val="00C17E6A"/>
    <w:rsid w:val="00C266F3"/>
    <w:rsid w:val="00C26DD8"/>
    <w:rsid w:val="00C33589"/>
    <w:rsid w:val="00C338CA"/>
    <w:rsid w:val="00C42104"/>
    <w:rsid w:val="00C64A71"/>
    <w:rsid w:val="00C81ED2"/>
    <w:rsid w:val="00C86066"/>
    <w:rsid w:val="00C91943"/>
    <w:rsid w:val="00CB19AA"/>
    <w:rsid w:val="00CC58D0"/>
    <w:rsid w:val="00CF5D44"/>
    <w:rsid w:val="00D146B2"/>
    <w:rsid w:val="00D66870"/>
    <w:rsid w:val="00DC0DE1"/>
    <w:rsid w:val="00DD1E24"/>
    <w:rsid w:val="00DE38EF"/>
    <w:rsid w:val="00DF1139"/>
    <w:rsid w:val="00E22DA2"/>
    <w:rsid w:val="00E269B0"/>
    <w:rsid w:val="00E77285"/>
    <w:rsid w:val="00E81BD9"/>
    <w:rsid w:val="00E82620"/>
    <w:rsid w:val="00E8405F"/>
    <w:rsid w:val="00E95D8C"/>
    <w:rsid w:val="00EA430E"/>
    <w:rsid w:val="00EB2A9A"/>
    <w:rsid w:val="00EB7002"/>
    <w:rsid w:val="00EB71B1"/>
    <w:rsid w:val="00EC04F1"/>
    <w:rsid w:val="00EC5CFD"/>
    <w:rsid w:val="00EE6935"/>
    <w:rsid w:val="00EF0510"/>
    <w:rsid w:val="00F16218"/>
    <w:rsid w:val="00F21CD7"/>
    <w:rsid w:val="00F7602E"/>
    <w:rsid w:val="00F77D5B"/>
    <w:rsid w:val="00F84B08"/>
    <w:rsid w:val="00F94B0C"/>
    <w:rsid w:val="00FA1B45"/>
    <w:rsid w:val="00FA1C4F"/>
    <w:rsid w:val="00FB20B9"/>
    <w:rsid w:val="00FB48D1"/>
    <w:rsid w:val="00FB615F"/>
    <w:rsid w:val="00FE43A9"/>
    <w:rsid w:val="00FF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ch-harrison.com/lasocialindicator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jgallati@yahoo.com" TargetMode="External"/><Relationship Id="rId4" Type="http://schemas.openxmlformats.org/officeDocument/2006/relationships/settings" Target="settings.xml"/><Relationship Id="rId9" Type="http://schemas.openxmlformats.org/officeDocument/2006/relationships/hyperlink" Target="http://picardcenter.org/ResearchAreas/QualityOfLife/CCYS/Pages/CCYS_default.asp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369</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7</cp:revision>
  <cp:lastPrinted>2014-02-11T13:00:00Z</cp:lastPrinted>
  <dcterms:created xsi:type="dcterms:W3CDTF">2014-02-11T06:55:00Z</dcterms:created>
  <dcterms:modified xsi:type="dcterms:W3CDTF">2014-02-13T14:31:00Z</dcterms:modified>
</cp:coreProperties>
</file>