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BC1" w:rsidRDefault="006E4BC1" w:rsidP="00034184">
      <w:pPr>
        <w:jc w:val="center"/>
        <w:rPr>
          <w:b/>
          <w:sz w:val="28"/>
          <w:szCs w:val="28"/>
        </w:rPr>
      </w:pPr>
    </w:p>
    <w:p w:rsidR="00034184" w:rsidRPr="00C33589" w:rsidRDefault="004024EC" w:rsidP="00034184">
      <w:pPr>
        <w:jc w:val="center"/>
        <w:rPr>
          <w:b/>
          <w:sz w:val="28"/>
          <w:szCs w:val="28"/>
        </w:rPr>
      </w:pPr>
      <w:r>
        <w:rPr>
          <w:b/>
          <w:sz w:val="28"/>
          <w:szCs w:val="28"/>
        </w:rPr>
        <w:t>Drinking Driving and Drug Selling Among High School Students</w:t>
      </w:r>
    </w:p>
    <w:p w:rsidR="000F7581" w:rsidRDefault="000F7581" w:rsidP="000F7581"/>
    <w:p w:rsidR="00815BB8" w:rsidRDefault="00815BB8" w:rsidP="00815BB8">
      <w:r>
        <w:t xml:space="preserve">The </w:t>
      </w:r>
      <w:r w:rsidR="00FC1B61">
        <w:t>Caring Communities Youth Survey (</w:t>
      </w:r>
      <w:r>
        <w:t>CCYS</w:t>
      </w:r>
      <w:r w:rsidR="00FC1B61">
        <w:t>)</w:t>
      </w:r>
      <w:bookmarkStart w:id="0" w:name="_GoBack"/>
      <w:bookmarkEnd w:id="0"/>
      <w:r>
        <w:t xml:space="preserve"> includes many questions about behaviors and experiences known to be closely associated with substance use, such as those concerning emotional problems, poor academic performance and violence. However, in general, the CCYS presents these items independently and does not ask the student to attribute them to, or associate them with, substance use. However some behaviors and experiences by their nature are direct consequences of substance use. Consequences relating to public safety and </w:t>
      </w:r>
      <w:r w:rsidR="00773E3F">
        <w:t>enforcement include</w:t>
      </w:r>
      <w:r>
        <w:t xml:space="preserve"> driving under the influence and selling of illegal drugs.</w:t>
      </w:r>
    </w:p>
    <w:p w:rsidR="001D37F8" w:rsidRDefault="001D37F8" w:rsidP="001D37F8"/>
    <w:p w:rsidR="001D37F8" w:rsidRDefault="001D37F8" w:rsidP="001D37F8">
      <w:r>
        <w:t>The CCYS is conducted statewide in November of even numbered calendar years for grades 6, 8, 10 and 12. Statistics are presented for the 8</w:t>
      </w:r>
      <w:r w:rsidRPr="006801C6">
        <w:rPr>
          <w:vertAlign w:val="superscript"/>
        </w:rPr>
        <w:t>th</w:t>
      </w:r>
      <w:r>
        <w:t xml:space="preserve"> grade and the 10</w:t>
      </w:r>
      <w:r w:rsidRPr="006801C6">
        <w:rPr>
          <w:vertAlign w:val="superscript"/>
        </w:rPr>
        <w:t>th</w:t>
      </w:r>
      <w:r>
        <w:t xml:space="preserve"> grade. Eighth grade students are typically 13 years old and substance use and other behaviors by 8</w:t>
      </w:r>
      <w:r w:rsidRPr="00430DC9">
        <w:rPr>
          <w:vertAlign w:val="superscript"/>
        </w:rPr>
        <w:t>th</w:t>
      </w:r>
      <w:r>
        <w:t xml:space="preserve"> graders represent early initiation. The fall semester of the 10</w:t>
      </w:r>
      <w:r w:rsidRPr="00430DC9">
        <w:rPr>
          <w:vertAlign w:val="superscript"/>
        </w:rPr>
        <w:t>th</w:t>
      </w:r>
      <w:r>
        <w:t xml:space="preserve"> grade represents a mid-point for the adolescent ages 12-to-17 while high school drop-out is a relatively small factor for 10</w:t>
      </w:r>
      <w:r w:rsidRPr="00011D83">
        <w:rPr>
          <w:vertAlign w:val="superscript"/>
        </w:rPr>
        <w:t>th</w:t>
      </w:r>
      <w:r>
        <w:t xml:space="preserve"> graders. Thus 10</w:t>
      </w:r>
      <w:r w:rsidRPr="00011D83">
        <w:rPr>
          <w:vertAlign w:val="superscript"/>
        </w:rPr>
        <w:t>th</w:t>
      </w:r>
      <w:r>
        <w:t xml:space="preserve"> graders can approximately represent 12-to-17 year-olds as a whole for many indicators.  Similarly, the 8</w:t>
      </w:r>
      <w:r w:rsidRPr="00F87091">
        <w:rPr>
          <w:vertAlign w:val="superscript"/>
        </w:rPr>
        <w:t>th</w:t>
      </w:r>
      <w:r>
        <w:t xml:space="preserve"> grade can represent the later years of middle school while the 10</w:t>
      </w:r>
      <w:r w:rsidRPr="00F87091">
        <w:rPr>
          <w:vertAlign w:val="superscript"/>
        </w:rPr>
        <w:t>th</w:t>
      </w:r>
      <w:r>
        <w:t xml:space="preserve"> grade represents the early years of high school.</w:t>
      </w:r>
    </w:p>
    <w:p w:rsidR="001D37F8" w:rsidRDefault="001D37F8" w:rsidP="001D37F8"/>
    <w:p w:rsidR="001D37F8" w:rsidRPr="00E14B1C" w:rsidRDefault="001D37F8" w:rsidP="001D37F8">
      <w:r>
        <w:t>Interpretation of CCYS statistics at the parish level is often difficult due to low completion rates, especially in Orleans Parish.</w:t>
      </w:r>
      <w:r>
        <w:rPr>
          <w:rStyle w:val="FootnoteReference"/>
        </w:rPr>
        <w:footnoteReference w:id="1"/>
      </w:r>
      <w:r>
        <w:t xml:space="preserve"> Given these low completion rates, the strategy for interpretation used here is, first, to observe statewide levels and trends, then whether the levels and trends appear similar for the Greater New Orleans parishes. Finally, greater weight is given to Jefferson Parish because its completion rates are 2 to 5 times greater than Orleans’ while its adolescent population (ages 12-17) is 30 percent greater than Orleans’ and 15 times greater than Plaquemines’. </w:t>
      </w:r>
      <w:r w:rsidRPr="00265CD5">
        <w:rPr>
          <w:i/>
        </w:rPr>
        <w:t xml:space="preserve">Estimates provided for Greater New Orleans are approximations useful for planning purposes, but </w:t>
      </w:r>
      <w:r>
        <w:rPr>
          <w:i/>
        </w:rPr>
        <w:t xml:space="preserve">not adequate for tracking change </w:t>
      </w:r>
      <w:r>
        <w:t>and</w:t>
      </w:r>
      <w:r w:rsidRPr="00E14B1C">
        <w:t xml:space="preserve"> are prefaced with</w:t>
      </w:r>
      <w:r>
        <w:t xml:space="preserve"> the qualifier,</w:t>
      </w:r>
      <w:r w:rsidRPr="00E14B1C">
        <w:t xml:space="preserve"> “</w:t>
      </w:r>
      <w:r w:rsidRPr="00E14B1C">
        <w:rPr>
          <w:i/>
        </w:rPr>
        <w:t>about</w:t>
      </w:r>
      <w:r w:rsidRPr="00E14B1C">
        <w:t>.”</w:t>
      </w:r>
    </w:p>
    <w:p w:rsidR="001D37F8" w:rsidRPr="00935FA7" w:rsidRDefault="001D37F8" w:rsidP="001D37F8"/>
    <w:p w:rsidR="00815BB8" w:rsidRPr="00B8754B" w:rsidRDefault="00815BB8" w:rsidP="00815BB8">
      <w:pPr>
        <w:rPr>
          <w:u w:val="single"/>
        </w:rPr>
      </w:pPr>
      <w:r w:rsidRPr="00B8754B">
        <w:rPr>
          <w:u w:val="single"/>
        </w:rPr>
        <w:t>Legal Consequences</w:t>
      </w:r>
    </w:p>
    <w:p w:rsidR="00815BB8" w:rsidRDefault="00815BB8" w:rsidP="00815BB8"/>
    <w:p w:rsidR="00815BB8" w:rsidRDefault="00815BB8" w:rsidP="00815BB8">
      <w:r>
        <w:t>Tenth grade students generally attain their 15</w:t>
      </w:r>
      <w:r w:rsidRPr="00DE2F3C">
        <w:rPr>
          <w:vertAlign w:val="superscript"/>
        </w:rPr>
        <w:t>th</w:t>
      </w:r>
      <w:r>
        <w:t xml:space="preserve"> birthday during the school year. It is therefore remarkable that, statewide, 5 percent of 10</w:t>
      </w:r>
      <w:r w:rsidRPr="00815BB8">
        <w:rPr>
          <w:vertAlign w:val="superscript"/>
        </w:rPr>
        <w:t>th</w:t>
      </w:r>
      <w:r>
        <w:t xml:space="preserve"> </w:t>
      </w:r>
      <w:r w:rsidR="00FF3697">
        <w:t xml:space="preserve">grade students indicated that in the past 30 days they </w:t>
      </w:r>
      <w:r w:rsidR="00FF3697" w:rsidRPr="00FF3697">
        <w:rPr>
          <w:b/>
        </w:rPr>
        <w:t>drove a vehicle when they had been drinking alcohol</w:t>
      </w:r>
      <w:r w:rsidR="007B66FD" w:rsidRPr="007B66FD">
        <w:t xml:space="preserve">, </w:t>
      </w:r>
      <w:r w:rsidR="007B66FD">
        <w:t>based on the 2013 CCYS survey</w:t>
      </w:r>
      <w:r w:rsidR="00FF3697" w:rsidRPr="00FF3697">
        <w:t>. Among 12</w:t>
      </w:r>
      <w:r w:rsidR="00FF3697" w:rsidRPr="00FF3697">
        <w:rPr>
          <w:vertAlign w:val="superscript"/>
        </w:rPr>
        <w:t>th</w:t>
      </w:r>
      <w:r w:rsidR="00FF3697" w:rsidRPr="00FF3697">
        <w:t xml:space="preserve"> grade students, </w:t>
      </w:r>
      <w:r w:rsidR="00FF3697">
        <w:t>12</w:t>
      </w:r>
      <w:r w:rsidR="00FF3697" w:rsidRPr="00FF3697">
        <w:t xml:space="preserve"> percent had driven after drinking</w:t>
      </w:r>
      <w:r w:rsidR="00FF3697">
        <w:t>. These rates have declined since 2008.</w:t>
      </w:r>
    </w:p>
    <w:p w:rsidR="00FF3697" w:rsidRDefault="00FF3697" w:rsidP="00815BB8"/>
    <w:p w:rsidR="00437FAA" w:rsidRPr="00437FAA" w:rsidRDefault="00815BB8" w:rsidP="00437FAA">
      <w:r w:rsidRPr="00FF3697">
        <w:t>In Greater New Orleans</w:t>
      </w:r>
      <w:r w:rsidR="00BA3878">
        <w:t>,</w:t>
      </w:r>
      <w:r w:rsidRPr="00FF3697">
        <w:t xml:space="preserve"> about 4 percent of 10</w:t>
      </w:r>
      <w:r w:rsidRPr="00FF3697">
        <w:rPr>
          <w:vertAlign w:val="superscript"/>
        </w:rPr>
        <w:t>th</w:t>
      </w:r>
      <w:r w:rsidRPr="00FF3697">
        <w:t xml:space="preserve"> graders indicated that in the past 30 days they drove a vehicle when they had been drinking alcohol. Among 12</w:t>
      </w:r>
      <w:r w:rsidRPr="00FF3697">
        <w:rPr>
          <w:vertAlign w:val="superscript"/>
        </w:rPr>
        <w:t>th</w:t>
      </w:r>
      <w:r w:rsidRPr="00FF3697">
        <w:t xml:space="preserve"> grade students, about 8 percent had driven after drinking. </w:t>
      </w:r>
      <w:r w:rsidR="00437FAA" w:rsidRPr="00437FAA">
        <w:t>These rates have declined since 2008.</w:t>
      </w:r>
      <w:r w:rsidR="00437FAA">
        <w:t xml:space="preserve"> The rates in Greater </w:t>
      </w:r>
      <w:r w:rsidR="00437FAA">
        <w:lastRenderedPageBreak/>
        <w:t xml:space="preserve">New Orleans are lower than </w:t>
      </w:r>
      <w:r w:rsidR="005F5F2E">
        <w:t xml:space="preserve">statewide rates as would be expected given </w:t>
      </w:r>
      <w:r w:rsidR="005F5F2E" w:rsidRPr="005F5F2E">
        <w:t>the density of the population and availability of public transportation.</w:t>
      </w:r>
    </w:p>
    <w:p w:rsidR="00815BB8" w:rsidRDefault="00815BB8" w:rsidP="00815BB8"/>
    <w:p w:rsidR="005F5F2E" w:rsidRPr="005F5F2E" w:rsidRDefault="00437FAA" w:rsidP="005F5F2E">
      <w:r w:rsidRPr="00437FAA">
        <w:t xml:space="preserve">Riding in a car with a driver, whether a peer or an adult, who has been drinking puts the student at risk as well as promoting a harmful social norm. </w:t>
      </w:r>
      <w:r w:rsidR="005F5F2E">
        <w:t>Statewide</w:t>
      </w:r>
      <w:r w:rsidR="005F5F2E" w:rsidRPr="005F5F2E">
        <w:t xml:space="preserve">, </w:t>
      </w:r>
      <w:r w:rsidR="005F5F2E">
        <w:t>29</w:t>
      </w:r>
      <w:r w:rsidR="005F5F2E" w:rsidRPr="005F5F2E">
        <w:t xml:space="preserve"> percent of 8</w:t>
      </w:r>
      <w:r w:rsidR="005F5F2E" w:rsidRPr="005F5F2E">
        <w:rPr>
          <w:vertAlign w:val="superscript"/>
        </w:rPr>
        <w:t>th</w:t>
      </w:r>
      <w:r w:rsidR="005F5F2E" w:rsidRPr="005F5F2E">
        <w:t xml:space="preserve"> grade students </w:t>
      </w:r>
      <w:r w:rsidR="005F5F2E" w:rsidRPr="005F5F2E">
        <w:rPr>
          <w:b/>
        </w:rPr>
        <w:t>rode in a car with a drinking driver</w:t>
      </w:r>
      <w:r w:rsidR="005F5F2E" w:rsidRPr="005F5F2E">
        <w:t xml:space="preserve"> in the past 30 days,</w:t>
      </w:r>
      <w:r w:rsidR="007B66FD">
        <w:t xml:space="preserve"> based on the 2012 CCYS survey.</w:t>
      </w:r>
      <w:r w:rsidR="005F5F2E" w:rsidRPr="005F5F2E">
        <w:t xml:space="preserve"> </w:t>
      </w:r>
      <w:r w:rsidR="007B66FD" w:rsidRPr="007B66FD">
        <w:t>Among 12</w:t>
      </w:r>
      <w:r w:rsidR="007B66FD" w:rsidRPr="007B66FD">
        <w:rPr>
          <w:vertAlign w:val="superscript"/>
        </w:rPr>
        <w:t>th</w:t>
      </w:r>
      <w:r w:rsidR="007B66FD" w:rsidRPr="007B66FD">
        <w:t xml:space="preserve"> grade students, </w:t>
      </w:r>
      <w:r w:rsidR="005F5F2E" w:rsidRPr="005F5F2E">
        <w:t>2</w:t>
      </w:r>
      <w:r w:rsidR="005F5F2E">
        <w:t>8</w:t>
      </w:r>
      <w:r w:rsidR="005F5F2E" w:rsidRPr="005F5F2E">
        <w:t xml:space="preserve"> percent</w:t>
      </w:r>
      <w:r w:rsidR="00BA3878" w:rsidRPr="00BA3878">
        <w:rPr>
          <w:vertAlign w:val="superscript"/>
        </w:rPr>
        <w:footnoteReference w:id="2"/>
      </w:r>
      <w:r w:rsidR="005F5F2E" w:rsidRPr="005F5F2E">
        <w:t xml:space="preserve"> </w:t>
      </w:r>
      <w:r w:rsidR="00BA3878" w:rsidRPr="00BA3878">
        <w:t>rode in a car with a drinking driver in the past 30 days</w:t>
      </w:r>
      <w:r w:rsidR="005F5F2E" w:rsidRPr="005F5F2E">
        <w:t>.</w:t>
      </w:r>
      <w:r w:rsidR="0042293D" w:rsidRPr="0042293D">
        <w:t xml:space="preserve"> These rates have declined since 2008.</w:t>
      </w:r>
    </w:p>
    <w:p w:rsidR="00437FAA" w:rsidRDefault="00437FAA" w:rsidP="00437FAA"/>
    <w:p w:rsidR="00437FAA" w:rsidRPr="005F5F2E" w:rsidRDefault="00437FAA" w:rsidP="00437FAA">
      <w:r w:rsidRPr="005F5F2E">
        <w:t>In Greater New Orleans, about 24 percent of 8</w:t>
      </w:r>
      <w:r w:rsidRPr="005F5F2E">
        <w:rPr>
          <w:vertAlign w:val="superscript"/>
        </w:rPr>
        <w:t>th</w:t>
      </w:r>
      <w:r w:rsidRPr="005F5F2E">
        <w:t xml:space="preserve"> grade students rode in a car with a drinking driver in the past 30 days</w:t>
      </w:r>
      <w:r w:rsidR="00BA3878">
        <w:t>.</w:t>
      </w:r>
      <w:r w:rsidRPr="005F5F2E">
        <w:t xml:space="preserve"> </w:t>
      </w:r>
      <w:r w:rsidR="00BA3878" w:rsidRPr="00BA3878">
        <w:t>Among 12</w:t>
      </w:r>
      <w:r w:rsidR="00BA3878" w:rsidRPr="00BA3878">
        <w:rPr>
          <w:vertAlign w:val="superscript"/>
        </w:rPr>
        <w:t>th</w:t>
      </w:r>
      <w:r w:rsidR="00BA3878" w:rsidRPr="00BA3878">
        <w:t xml:space="preserve"> grade students, </w:t>
      </w:r>
      <w:r w:rsidRPr="005F5F2E">
        <w:t>about 23 percent</w:t>
      </w:r>
      <w:r w:rsidR="00EB46AE" w:rsidRPr="00EB46AE">
        <w:t xml:space="preserve"> rode in a car with a drinking driver in the past 30 days</w:t>
      </w:r>
      <w:r w:rsidRPr="005F5F2E">
        <w:t>.</w:t>
      </w:r>
      <w:r w:rsidR="0042293D" w:rsidRPr="0042293D">
        <w:t xml:space="preserve"> These rates have declined since 2008.</w:t>
      </w:r>
    </w:p>
    <w:p w:rsidR="001D37F8" w:rsidRPr="00B159B2" w:rsidRDefault="001D37F8" w:rsidP="001D37F8"/>
    <w:tbl>
      <w:tblPr>
        <w:tblStyle w:val="TableGrid"/>
        <w:tblW w:w="0" w:type="auto"/>
        <w:jc w:val="center"/>
        <w:tblLayout w:type="fixed"/>
        <w:tblCellMar>
          <w:left w:w="72" w:type="dxa"/>
          <w:right w:w="43" w:type="dxa"/>
        </w:tblCellMar>
        <w:tblLook w:val="04A0" w:firstRow="1" w:lastRow="0" w:firstColumn="1" w:lastColumn="0" w:noHBand="0" w:noVBand="1"/>
      </w:tblPr>
      <w:tblGrid>
        <w:gridCol w:w="1188"/>
        <w:gridCol w:w="1170"/>
        <w:gridCol w:w="918"/>
        <w:gridCol w:w="918"/>
        <w:gridCol w:w="918"/>
        <w:gridCol w:w="918"/>
        <w:gridCol w:w="918"/>
        <w:gridCol w:w="918"/>
      </w:tblGrid>
      <w:tr w:rsidR="004024EC" w:rsidRPr="00790B52" w:rsidTr="006368A2">
        <w:trPr>
          <w:cantSplit/>
          <w:trHeight w:val="260"/>
          <w:jc w:val="center"/>
        </w:trPr>
        <w:tc>
          <w:tcPr>
            <w:tcW w:w="7866" w:type="dxa"/>
            <w:gridSpan w:val="8"/>
            <w:vAlign w:val="center"/>
          </w:tcPr>
          <w:p w:rsidR="004024EC" w:rsidRDefault="004024EC" w:rsidP="006368A2">
            <w:pPr>
              <w:jc w:val="center"/>
              <w:rPr>
                <w:b/>
                <w:sz w:val="20"/>
              </w:rPr>
            </w:pPr>
            <w:r>
              <w:rPr>
                <w:b/>
                <w:sz w:val="20"/>
              </w:rPr>
              <w:t xml:space="preserve">Percentage of 10th and </w:t>
            </w:r>
            <w:r w:rsidRPr="00307839">
              <w:rPr>
                <w:b/>
                <w:sz w:val="20"/>
                <w:highlight w:val="yellow"/>
              </w:rPr>
              <w:t>12th</w:t>
            </w:r>
            <w:r w:rsidRPr="00935877">
              <w:rPr>
                <w:b/>
                <w:sz w:val="20"/>
              </w:rPr>
              <w:t xml:space="preserve"> Grade Students </w:t>
            </w:r>
            <w:r>
              <w:rPr>
                <w:b/>
                <w:sz w:val="20"/>
              </w:rPr>
              <w:t xml:space="preserve">Involved in </w:t>
            </w:r>
          </w:p>
          <w:p w:rsidR="004024EC" w:rsidRDefault="004024EC" w:rsidP="006368A2">
            <w:pPr>
              <w:jc w:val="center"/>
              <w:rPr>
                <w:b/>
                <w:sz w:val="20"/>
              </w:rPr>
            </w:pPr>
            <w:r>
              <w:rPr>
                <w:b/>
                <w:sz w:val="20"/>
              </w:rPr>
              <w:t xml:space="preserve">Drinking Driving, Selling Drugs or Contemplating Suicide  </w:t>
            </w:r>
            <w:r w:rsidRPr="00935877">
              <w:rPr>
                <w:b/>
                <w:sz w:val="20"/>
              </w:rPr>
              <w:t xml:space="preserve">by Parish, </w:t>
            </w:r>
          </w:p>
          <w:p w:rsidR="004024EC" w:rsidRPr="00790B52" w:rsidRDefault="004024EC" w:rsidP="006368A2">
            <w:pPr>
              <w:jc w:val="center"/>
              <w:rPr>
                <w:b/>
                <w:sz w:val="20"/>
                <w:highlight w:val="yellow"/>
              </w:rPr>
            </w:pPr>
            <w:r w:rsidRPr="00935877">
              <w:rPr>
                <w:b/>
                <w:sz w:val="20"/>
              </w:rPr>
              <w:t>Caring Communities</w:t>
            </w:r>
            <w:r>
              <w:rPr>
                <w:b/>
                <w:sz w:val="20"/>
              </w:rPr>
              <w:t xml:space="preserve"> </w:t>
            </w:r>
            <w:r w:rsidRPr="00935877">
              <w:rPr>
                <w:b/>
                <w:sz w:val="20"/>
              </w:rPr>
              <w:t>Youth Survey, 2008, 2010 and 2012</w:t>
            </w:r>
          </w:p>
        </w:tc>
      </w:tr>
      <w:tr w:rsidR="004024EC" w:rsidRPr="00790B52" w:rsidTr="006368A2">
        <w:trPr>
          <w:cantSplit/>
          <w:trHeight w:val="260"/>
          <w:jc w:val="center"/>
        </w:trPr>
        <w:tc>
          <w:tcPr>
            <w:tcW w:w="1188" w:type="dxa"/>
            <w:vMerge w:val="restart"/>
            <w:vAlign w:val="center"/>
          </w:tcPr>
          <w:p w:rsidR="004024EC" w:rsidRPr="00790B52" w:rsidRDefault="004024EC" w:rsidP="006368A2">
            <w:pPr>
              <w:jc w:val="center"/>
              <w:rPr>
                <w:b/>
                <w:sz w:val="20"/>
              </w:rPr>
            </w:pPr>
            <w:r>
              <w:rPr>
                <w:b/>
                <w:sz w:val="20"/>
              </w:rPr>
              <w:t>Activity</w:t>
            </w:r>
          </w:p>
        </w:tc>
        <w:tc>
          <w:tcPr>
            <w:tcW w:w="1170" w:type="dxa"/>
            <w:vMerge w:val="restart"/>
            <w:vAlign w:val="center"/>
          </w:tcPr>
          <w:p w:rsidR="004024EC" w:rsidRPr="00790B52" w:rsidRDefault="004024EC" w:rsidP="006368A2">
            <w:pPr>
              <w:jc w:val="center"/>
              <w:rPr>
                <w:b/>
                <w:sz w:val="20"/>
              </w:rPr>
            </w:pPr>
            <w:r w:rsidRPr="00790B52">
              <w:rPr>
                <w:b/>
                <w:sz w:val="20"/>
              </w:rPr>
              <w:t>Parish</w:t>
            </w:r>
          </w:p>
        </w:tc>
        <w:tc>
          <w:tcPr>
            <w:tcW w:w="2754" w:type="dxa"/>
            <w:gridSpan w:val="3"/>
            <w:vAlign w:val="center"/>
          </w:tcPr>
          <w:p w:rsidR="004024EC" w:rsidRPr="00790B52" w:rsidRDefault="004024EC" w:rsidP="006368A2">
            <w:pPr>
              <w:jc w:val="center"/>
              <w:rPr>
                <w:b/>
                <w:sz w:val="20"/>
              </w:rPr>
            </w:pPr>
            <w:r w:rsidRPr="00307839">
              <w:rPr>
                <w:b/>
                <w:sz w:val="20"/>
                <w:highlight w:val="yellow"/>
              </w:rPr>
              <w:t>10</w:t>
            </w:r>
            <w:r w:rsidRPr="00307839">
              <w:rPr>
                <w:b/>
                <w:sz w:val="20"/>
                <w:highlight w:val="yellow"/>
                <w:vertAlign w:val="superscript"/>
              </w:rPr>
              <w:t>th</w:t>
            </w:r>
            <w:r w:rsidRPr="00307839">
              <w:rPr>
                <w:b/>
                <w:sz w:val="20"/>
                <w:highlight w:val="yellow"/>
              </w:rPr>
              <w:t xml:space="preserve"> Grade</w:t>
            </w:r>
          </w:p>
        </w:tc>
        <w:tc>
          <w:tcPr>
            <w:tcW w:w="2754" w:type="dxa"/>
            <w:gridSpan w:val="3"/>
          </w:tcPr>
          <w:p w:rsidR="004024EC" w:rsidRPr="00790B52" w:rsidRDefault="004024EC" w:rsidP="006368A2">
            <w:pPr>
              <w:jc w:val="center"/>
              <w:rPr>
                <w:b/>
                <w:sz w:val="20"/>
                <w:highlight w:val="yellow"/>
              </w:rPr>
            </w:pPr>
            <w:r w:rsidRPr="00307839">
              <w:rPr>
                <w:b/>
                <w:sz w:val="20"/>
                <w:highlight w:val="yellow"/>
              </w:rPr>
              <w:t>12</w:t>
            </w:r>
            <w:r w:rsidRPr="00307839">
              <w:rPr>
                <w:b/>
                <w:sz w:val="20"/>
                <w:highlight w:val="yellow"/>
                <w:vertAlign w:val="superscript"/>
              </w:rPr>
              <w:t>th</w:t>
            </w:r>
            <w:r w:rsidRPr="00307839">
              <w:rPr>
                <w:b/>
                <w:sz w:val="20"/>
                <w:highlight w:val="yellow"/>
              </w:rPr>
              <w:t xml:space="preserve"> Grade</w:t>
            </w:r>
          </w:p>
        </w:tc>
      </w:tr>
      <w:tr w:rsidR="004024EC" w:rsidRPr="00790B52" w:rsidTr="006368A2">
        <w:trPr>
          <w:cantSplit/>
          <w:trHeight w:val="296"/>
          <w:jc w:val="center"/>
        </w:trPr>
        <w:tc>
          <w:tcPr>
            <w:tcW w:w="1188" w:type="dxa"/>
            <w:vMerge/>
            <w:vAlign w:val="center"/>
          </w:tcPr>
          <w:p w:rsidR="004024EC" w:rsidRPr="00790B52" w:rsidRDefault="004024EC" w:rsidP="006368A2">
            <w:pPr>
              <w:jc w:val="center"/>
              <w:rPr>
                <w:b/>
                <w:sz w:val="20"/>
              </w:rPr>
            </w:pPr>
          </w:p>
        </w:tc>
        <w:tc>
          <w:tcPr>
            <w:tcW w:w="1170" w:type="dxa"/>
            <w:vMerge/>
            <w:tcBorders>
              <w:bottom w:val="single" w:sz="4" w:space="0" w:color="auto"/>
            </w:tcBorders>
            <w:vAlign w:val="center"/>
          </w:tcPr>
          <w:p w:rsidR="004024EC" w:rsidRPr="00790B52" w:rsidRDefault="004024EC" w:rsidP="006368A2">
            <w:pPr>
              <w:jc w:val="center"/>
              <w:rPr>
                <w:b/>
                <w:sz w:val="20"/>
              </w:rPr>
            </w:pPr>
          </w:p>
        </w:tc>
        <w:tc>
          <w:tcPr>
            <w:tcW w:w="918" w:type="dxa"/>
            <w:tcBorders>
              <w:bottom w:val="single" w:sz="4" w:space="0" w:color="auto"/>
            </w:tcBorders>
            <w:vAlign w:val="center"/>
          </w:tcPr>
          <w:p w:rsidR="004024EC" w:rsidRPr="00790B52" w:rsidRDefault="004024EC" w:rsidP="006368A2">
            <w:pPr>
              <w:jc w:val="center"/>
              <w:rPr>
                <w:b/>
                <w:sz w:val="20"/>
              </w:rPr>
            </w:pPr>
            <w:r w:rsidRPr="00790B52">
              <w:rPr>
                <w:b/>
                <w:sz w:val="20"/>
              </w:rPr>
              <w:t>2008</w:t>
            </w:r>
          </w:p>
        </w:tc>
        <w:tc>
          <w:tcPr>
            <w:tcW w:w="918" w:type="dxa"/>
            <w:tcBorders>
              <w:bottom w:val="single" w:sz="4" w:space="0" w:color="auto"/>
            </w:tcBorders>
            <w:vAlign w:val="center"/>
          </w:tcPr>
          <w:p w:rsidR="004024EC" w:rsidRPr="00790B52" w:rsidRDefault="004024EC" w:rsidP="006368A2">
            <w:pPr>
              <w:jc w:val="center"/>
              <w:rPr>
                <w:b/>
                <w:sz w:val="20"/>
              </w:rPr>
            </w:pPr>
            <w:r w:rsidRPr="00790B52">
              <w:rPr>
                <w:b/>
                <w:sz w:val="20"/>
              </w:rPr>
              <w:t>2010</w:t>
            </w:r>
          </w:p>
        </w:tc>
        <w:tc>
          <w:tcPr>
            <w:tcW w:w="918" w:type="dxa"/>
            <w:tcBorders>
              <w:bottom w:val="single" w:sz="4" w:space="0" w:color="auto"/>
            </w:tcBorders>
            <w:vAlign w:val="center"/>
          </w:tcPr>
          <w:p w:rsidR="004024EC" w:rsidRPr="00790B52" w:rsidRDefault="004024EC" w:rsidP="006368A2">
            <w:pPr>
              <w:jc w:val="center"/>
              <w:rPr>
                <w:b/>
                <w:sz w:val="20"/>
              </w:rPr>
            </w:pPr>
            <w:r w:rsidRPr="00790B52">
              <w:rPr>
                <w:b/>
                <w:sz w:val="20"/>
              </w:rPr>
              <w:t>2012</w:t>
            </w:r>
          </w:p>
        </w:tc>
        <w:tc>
          <w:tcPr>
            <w:tcW w:w="918" w:type="dxa"/>
            <w:tcBorders>
              <w:bottom w:val="single" w:sz="4" w:space="0" w:color="auto"/>
            </w:tcBorders>
            <w:vAlign w:val="center"/>
          </w:tcPr>
          <w:p w:rsidR="004024EC" w:rsidRPr="00790B52" w:rsidRDefault="004024EC" w:rsidP="006368A2">
            <w:pPr>
              <w:jc w:val="center"/>
              <w:rPr>
                <w:b/>
                <w:sz w:val="20"/>
              </w:rPr>
            </w:pPr>
            <w:r w:rsidRPr="00790B52">
              <w:rPr>
                <w:b/>
                <w:sz w:val="20"/>
              </w:rPr>
              <w:t>2008</w:t>
            </w:r>
          </w:p>
        </w:tc>
        <w:tc>
          <w:tcPr>
            <w:tcW w:w="918" w:type="dxa"/>
            <w:tcBorders>
              <w:bottom w:val="single" w:sz="4" w:space="0" w:color="auto"/>
            </w:tcBorders>
            <w:vAlign w:val="center"/>
          </w:tcPr>
          <w:p w:rsidR="004024EC" w:rsidRPr="00790B52" w:rsidRDefault="004024EC" w:rsidP="006368A2">
            <w:pPr>
              <w:jc w:val="center"/>
              <w:rPr>
                <w:b/>
                <w:sz w:val="20"/>
              </w:rPr>
            </w:pPr>
            <w:r w:rsidRPr="00790B52">
              <w:rPr>
                <w:b/>
                <w:sz w:val="20"/>
              </w:rPr>
              <w:t>2010</w:t>
            </w:r>
          </w:p>
        </w:tc>
        <w:tc>
          <w:tcPr>
            <w:tcW w:w="918" w:type="dxa"/>
            <w:tcBorders>
              <w:bottom w:val="single" w:sz="4" w:space="0" w:color="auto"/>
            </w:tcBorders>
            <w:vAlign w:val="center"/>
          </w:tcPr>
          <w:p w:rsidR="004024EC" w:rsidRPr="00790B52" w:rsidRDefault="004024EC" w:rsidP="006368A2">
            <w:pPr>
              <w:jc w:val="center"/>
              <w:rPr>
                <w:b/>
                <w:sz w:val="20"/>
              </w:rPr>
            </w:pPr>
            <w:r w:rsidRPr="00790B52">
              <w:rPr>
                <w:b/>
                <w:sz w:val="20"/>
              </w:rPr>
              <w:t>2012</w:t>
            </w:r>
          </w:p>
        </w:tc>
      </w:tr>
      <w:tr w:rsidR="004024EC" w:rsidRPr="00790B52" w:rsidTr="006368A2">
        <w:trPr>
          <w:cantSplit/>
          <w:jc w:val="center"/>
        </w:trPr>
        <w:tc>
          <w:tcPr>
            <w:tcW w:w="1188" w:type="dxa"/>
            <w:vMerge w:val="restart"/>
            <w:vAlign w:val="center"/>
          </w:tcPr>
          <w:p w:rsidR="004024EC" w:rsidRDefault="004024EC" w:rsidP="006368A2">
            <w:pPr>
              <w:rPr>
                <w:sz w:val="20"/>
              </w:rPr>
            </w:pPr>
            <w:r>
              <w:rPr>
                <w:sz w:val="20"/>
              </w:rPr>
              <w:t xml:space="preserve">Drinking and Driving </w:t>
            </w:r>
          </w:p>
          <w:p w:rsidR="004024EC" w:rsidRPr="003A4160" w:rsidRDefault="004024EC" w:rsidP="006368A2">
            <w:pPr>
              <w:rPr>
                <w:sz w:val="18"/>
                <w:szCs w:val="18"/>
              </w:rPr>
            </w:pPr>
            <w:r w:rsidRPr="003A4160">
              <w:rPr>
                <w:sz w:val="18"/>
                <w:szCs w:val="18"/>
              </w:rPr>
              <w:t>(past 30 days)</w:t>
            </w:r>
          </w:p>
        </w:tc>
        <w:tc>
          <w:tcPr>
            <w:tcW w:w="1170" w:type="dxa"/>
            <w:tcBorders>
              <w:bottom w:val="nil"/>
            </w:tcBorders>
            <w:vAlign w:val="center"/>
          </w:tcPr>
          <w:p w:rsidR="004024EC" w:rsidRPr="00790B52" w:rsidRDefault="004024EC" w:rsidP="006368A2">
            <w:pPr>
              <w:rPr>
                <w:sz w:val="20"/>
              </w:rPr>
            </w:pPr>
            <w:r w:rsidRPr="00790B52">
              <w:rPr>
                <w:sz w:val="20"/>
              </w:rPr>
              <w:t>Orleans</w:t>
            </w:r>
          </w:p>
        </w:tc>
        <w:tc>
          <w:tcPr>
            <w:tcW w:w="918" w:type="dxa"/>
            <w:tcBorders>
              <w:bottom w:val="nil"/>
            </w:tcBorders>
            <w:vAlign w:val="center"/>
          </w:tcPr>
          <w:p w:rsidR="004024EC" w:rsidRPr="009958AF" w:rsidRDefault="004024EC" w:rsidP="006368A2">
            <w:pPr>
              <w:jc w:val="center"/>
              <w:rPr>
                <w:sz w:val="20"/>
              </w:rPr>
            </w:pPr>
            <w:r w:rsidRPr="009958AF">
              <w:rPr>
                <w:sz w:val="20"/>
              </w:rPr>
              <w:t>4.6</w:t>
            </w:r>
            <w:r>
              <w:rPr>
                <w:sz w:val="20"/>
              </w:rPr>
              <w:t>#</w:t>
            </w:r>
          </w:p>
        </w:tc>
        <w:tc>
          <w:tcPr>
            <w:tcW w:w="918" w:type="dxa"/>
            <w:tcBorders>
              <w:bottom w:val="nil"/>
            </w:tcBorders>
            <w:vAlign w:val="center"/>
          </w:tcPr>
          <w:p w:rsidR="004024EC" w:rsidRPr="009958AF" w:rsidRDefault="004024EC" w:rsidP="006368A2">
            <w:pPr>
              <w:jc w:val="center"/>
              <w:rPr>
                <w:sz w:val="20"/>
              </w:rPr>
            </w:pPr>
            <w:r w:rsidRPr="009958AF">
              <w:rPr>
                <w:sz w:val="20"/>
              </w:rPr>
              <w:t>2.2</w:t>
            </w:r>
            <w:r w:rsidRPr="00D37974">
              <w:rPr>
                <w:sz w:val="20"/>
              </w:rPr>
              <w:t>#</w:t>
            </w:r>
          </w:p>
        </w:tc>
        <w:tc>
          <w:tcPr>
            <w:tcW w:w="918" w:type="dxa"/>
            <w:tcBorders>
              <w:bottom w:val="nil"/>
            </w:tcBorders>
            <w:vAlign w:val="center"/>
          </w:tcPr>
          <w:p w:rsidR="004024EC" w:rsidRPr="009958AF" w:rsidRDefault="004024EC" w:rsidP="006368A2">
            <w:pPr>
              <w:jc w:val="center"/>
              <w:rPr>
                <w:sz w:val="20"/>
              </w:rPr>
            </w:pPr>
            <w:r w:rsidRPr="009958AF">
              <w:rPr>
                <w:sz w:val="20"/>
              </w:rPr>
              <w:t>3.7</w:t>
            </w:r>
            <w:r w:rsidRPr="00D37974">
              <w:rPr>
                <w:sz w:val="20"/>
              </w:rPr>
              <w:t>#</w:t>
            </w:r>
          </w:p>
        </w:tc>
        <w:tc>
          <w:tcPr>
            <w:tcW w:w="918" w:type="dxa"/>
            <w:tcBorders>
              <w:bottom w:val="nil"/>
            </w:tcBorders>
            <w:vAlign w:val="center"/>
          </w:tcPr>
          <w:p w:rsidR="004024EC" w:rsidRPr="009958AF" w:rsidRDefault="004024EC" w:rsidP="006368A2">
            <w:pPr>
              <w:jc w:val="center"/>
              <w:rPr>
                <w:sz w:val="20"/>
              </w:rPr>
            </w:pPr>
            <w:r w:rsidRPr="009958AF">
              <w:rPr>
                <w:sz w:val="20"/>
              </w:rPr>
              <w:t>15.9</w:t>
            </w:r>
            <w:r w:rsidRPr="00B9783E">
              <w:rPr>
                <w:sz w:val="20"/>
              </w:rPr>
              <w:t>#</w:t>
            </w:r>
          </w:p>
        </w:tc>
        <w:tc>
          <w:tcPr>
            <w:tcW w:w="918" w:type="dxa"/>
            <w:tcBorders>
              <w:bottom w:val="nil"/>
            </w:tcBorders>
            <w:vAlign w:val="center"/>
          </w:tcPr>
          <w:p w:rsidR="004024EC" w:rsidRPr="009958AF" w:rsidRDefault="004024EC" w:rsidP="006368A2">
            <w:pPr>
              <w:jc w:val="center"/>
              <w:rPr>
                <w:sz w:val="20"/>
              </w:rPr>
            </w:pPr>
            <w:r w:rsidRPr="009958AF">
              <w:rPr>
                <w:sz w:val="20"/>
              </w:rPr>
              <w:t>3.2</w:t>
            </w:r>
            <w:r w:rsidRPr="00B9783E">
              <w:rPr>
                <w:sz w:val="20"/>
              </w:rPr>
              <w:t>#</w:t>
            </w:r>
          </w:p>
        </w:tc>
        <w:tc>
          <w:tcPr>
            <w:tcW w:w="918" w:type="dxa"/>
            <w:tcBorders>
              <w:bottom w:val="nil"/>
            </w:tcBorders>
            <w:vAlign w:val="center"/>
          </w:tcPr>
          <w:p w:rsidR="004024EC" w:rsidRPr="009958AF" w:rsidRDefault="004024EC" w:rsidP="006368A2">
            <w:pPr>
              <w:jc w:val="center"/>
              <w:rPr>
                <w:sz w:val="20"/>
              </w:rPr>
            </w:pPr>
            <w:r w:rsidRPr="009958AF">
              <w:rPr>
                <w:sz w:val="20"/>
              </w:rPr>
              <w:t>7.2</w:t>
            </w:r>
            <w:r w:rsidRPr="00B9783E">
              <w:rPr>
                <w:sz w:val="20"/>
              </w:rPr>
              <w:t>#</w:t>
            </w:r>
          </w:p>
        </w:tc>
      </w:tr>
      <w:tr w:rsidR="004024EC" w:rsidRPr="00790B52" w:rsidTr="006368A2">
        <w:trPr>
          <w:cantSplit/>
          <w:jc w:val="center"/>
        </w:trPr>
        <w:tc>
          <w:tcPr>
            <w:tcW w:w="1188" w:type="dxa"/>
            <w:vMerge/>
            <w:vAlign w:val="center"/>
          </w:tcPr>
          <w:p w:rsidR="004024EC" w:rsidRPr="00790B52" w:rsidRDefault="004024EC" w:rsidP="006368A2">
            <w:pPr>
              <w:ind w:left="270"/>
              <w:rPr>
                <w:sz w:val="20"/>
              </w:rPr>
            </w:pPr>
          </w:p>
        </w:tc>
        <w:tc>
          <w:tcPr>
            <w:tcW w:w="1170" w:type="dxa"/>
            <w:tcBorders>
              <w:top w:val="nil"/>
              <w:bottom w:val="nil"/>
            </w:tcBorders>
            <w:vAlign w:val="center"/>
          </w:tcPr>
          <w:p w:rsidR="004024EC" w:rsidRPr="00790B52" w:rsidRDefault="004024EC" w:rsidP="006368A2">
            <w:pPr>
              <w:rPr>
                <w:sz w:val="20"/>
              </w:rPr>
            </w:pPr>
            <w:r w:rsidRPr="00790B52">
              <w:rPr>
                <w:sz w:val="20"/>
              </w:rPr>
              <w:t>Jefferson</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6.0</w:t>
            </w:r>
            <w:r w:rsidRPr="00B9783E">
              <w:rPr>
                <w:sz w:val="20"/>
              </w:rPr>
              <w:t>*</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4.7</w:t>
            </w:r>
            <w:r w:rsidRPr="00B9783E">
              <w:rPr>
                <w:sz w:val="20"/>
              </w:rPr>
              <w:t>*</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3.7</w:t>
            </w:r>
            <w:r w:rsidRPr="00B9783E">
              <w:rPr>
                <w:sz w:val="20"/>
              </w:rPr>
              <w:t>*</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14.8</w:t>
            </w:r>
            <w:r w:rsidRPr="00B9783E">
              <w:rPr>
                <w:sz w:val="20"/>
              </w:rPr>
              <w:t>*</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11.6</w:t>
            </w:r>
            <w:r w:rsidRPr="00B9783E">
              <w:rPr>
                <w:sz w:val="20"/>
              </w:rPr>
              <w:t>*</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8.4</w:t>
            </w:r>
            <w:r w:rsidRPr="00B9783E">
              <w:rPr>
                <w:sz w:val="20"/>
              </w:rPr>
              <w:t>*</w:t>
            </w:r>
          </w:p>
        </w:tc>
      </w:tr>
      <w:tr w:rsidR="004024EC" w:rsidRPr="00790B52" w:rsidTr="006368A2">
        <w:trPr>
          <w:cantSplit/>
          <w:jc w:val="center"/>
        </w:trPr>
        <w:tc>
          <w:tcPr>
            <w:tcW w:w="1188" w:type="dxa"/>
            <w:vMerge/>
            <w:vAlign w:val="center"/>
          </w:tcPr>
          <w:p w:rsidR="004024EC" w:rsidRPr="00790B52" w:rsidRDefault="004024EC" w:rsidP="006368A2">
            <w:pPr>
              <w:ind w:left="270"/>
              <w:rPr>
                <w:sz w:val="20"/>
              </w:rPr>
            </w:pPr>
          </w:p>
        </w:tc>
        <w:tc>
          <w:tcPr>
            <w:tcW w:w="1170" w:type="dxa"/>
            <w:tcBorders>
              <w:top w:val="nil"/>
              <w:bottom w:val="nil"/>
            </w:tcBorders>
            <w:vAlign w:val="center"/>
          </w:tcPr>
          <w:p w:rsidR="004024EC" w:rsidRPr="00790B52" w:rsidRDefault="004024EC" w:rsidP="006368A2">
            <w:pPr>
              <w:rPr>
                <w:sz w:val="20"/>
              </w:rPr>
            </w:pPr>
            <w:r w:rsidRPr="00790B52">
              <w:rPr>
                <w:sz w:val="20"/>
              </w:rPr>
              <w:t>Plaquemines</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6.2</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7.4</w:t>
            </w:r>
            <w:r w:rsidRPr="00B9783E">
              <w:rPr>
                <w:sz w:val="20"/>
              </w:rPr>
              <w:t>*</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1.9</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29.6</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19.6</w:t>
            </w:r>
            <w:r w:rsidRPr="00B9783E">
              <w:rPr>
                <w:sz w:val="20"/>
              </w:rPr>
              <w:t>*</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12.8</w:t>
            </w:r>
          </w:p>
        </w:tc>
      </w:tr>
      <w:tr w:rsidR="004024EC" w:rsidRPr="00790B52" w:rsidTr="006368A2">
        <w:trPr>
          <w:cantSplit/>
          <w:jc w:val="center"/>
        </w:trPr>
        <w:tc>
          <w:tcPr>
            <w:tcW w:w="1188" w:type="dxa"/>
            <w:vMerge/>
            <w:vAlign w:val="center"/>
          </w:tcPr>
          <w:p w:rsidR="004024EC" w:rsidRPr="00790B52" w:rsidRDefault="004024EC" w:rsidP="006368A2">
            <w:pPr>
              <w:ind w:left="270"/>
              <w:rPr>
                <w:sz w:val="20"/>
              </w:rPr>
            </w:pPr>
          </w:p>
        </w:tc>
        <w:tc>
          <w:tcPr>
            <w:tcW w:w="1170" w:type="dxa"/>
            <w:tcBorders>
              <w:top w:val="nil"/>
              <w:bottom w:val="nil"/>
            </w:tcBorders>
            <w:vAlign w:val="center"/>
          </w:tcPr>
          <w:p w:rsidR="004024EC" w:rsidRPr="00790B52" w:rsidRDefault="004024EC" w:rsidP="006368A2">
            <w:pPr>
              <w:rPr>
                <w:sz w:val="20"/>
              </w:rPr>
            </w:pPr>
            <w:r w:rsidRPr="00790B52">
              <w:rPr>
                <w:sz w:val="20"/>
              </w:rPr>
              <w:t>St. Bernard</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w:t>
            </w:r>
          </w:p>
        </w:tc>
        <w:tc>
          <w:tcPr>
            <w:tcW w:w="918" w:type="dxa"/>
            <w:tcBorders>
              <w:top w:val="nil"/>
              <w:bottom w:val="nil"/>
            </w:tcBorders>
            <w:vAlign w:val="center"/>
          </w:tcPr>
          <w:p w:rsidR="004024EC" w:rsidRPr="009958AF" w:rsidRDefault="004024EC" w:rsidP="006368A2">
            <w:pPr>
              <w:jc w:val="center"/>
              <w:rPr>
                <w:sz w:val="20"/>
              </w:rPr>
            </w:pPr>
            <w:r w:rsidRPr="009958AF">
              <w:rPr>
                <w:sz w:val="20"/>
              </w:rPr>
              <w:t>--</w:t>
            </w:r>
          </w:p>
        </w:tc>
      </w:tr>
      <w:tr w:rsidR="004024EC" w:rsidRPr="00790B52" w:rsidTr="006368A2">
        <w:trPr>
          <w:cantSplit/>
          <w:jc w:val="center"/>
        </w:trPr>
        <w:tc>
          <w:tcPr>
            <w:tcW w:w="1188" w:type="dxa"/>
            <w:vMerge/>
            <w:vAlign w:val="center"/>
          </w:tcPr>
          <w:p w:rsidR="004024EC" w:rsidRPr="00790B52" w:rsidRDefault="004024EC" w:rsidP="006368A2">
            <w:pPr>
              <w:ind w:left="270"/>
              <w:rPr>
                <w:sz w:val="20"/>
              </w:rPr>
            </w:pPr>
          </w:p>
        </w:tc>
        <w:tc>
          <w:tcPr>
            <w:tcW w:w="1170" w:type="dxa"/>
            <w:tcBorders>
              <w:top w:val="nil"/>
              <w:bottom w:val="single" w:sz="4" w:space="0" w:color="auto"/>
            </w:tcBorders>
            <w:vAlign w:val="center"/>
          </w:tcPr>
          <w:p w:rsidR="004024EC" w:rsidRPr="00790B52" w:rsidRDefault="004024EC" w:rsidP="006368A2">
            <w:pPr>
              <w:rPr>
                <w:sz w:val="20"/>
              </w:rPr>
            </w:pPr>
            <w:r w:rsidRPr="00790B52">
              <w:rPr>
                <w:sz w:val="20"/>
              </w:rPr>
              <w:t>Statewide</w:t>
            </w:r>
          </w:p>
        </w:tc>
        <w:tc>
          <w:tcPr>
            <w:tcW w:w="918" w:type="dxa"/>
            <w:tcBorders>
              <w:top w:val="nil"/>
              <w:bottom w:val="single" w:sz="4" w:space="0" w:color="auto"/>
            </w:tcBorders>
            <w:vAlign w:val="center"/>
          </w:tcPr>
          <w:p w:rsidR="004024EC" w:rsidRPr="009958AF" w:rsidRDefault="004024EC" w:rsidP="006368A2">
            <w:pPr>
              <w:jc w:val="center"/>
              <w:rPr>
                <w:sz w:val="20"/>
              </w:rPr>
            </w:pPr>
            <w:r w:rsidRPr="009958AF">
              <w:rPr>
                <w:sz w:val="20"/>
              </w:rPr>
              <w:t>6.7</w:t>
            </w:r>
          </w:p>
        </w:tc>
        <w:tc>
          <w:tcPr>
            <w:tcW w:w="918" w:type="dxa"/>
            <w:tcBorders>
              <w:top w:val="nil"/>
              <w:bottom w:val="single" w:sz="4" w:space="0" w:color="auto"/>
            </w:tcBorders>
            <w:vAlign w:val="center"/>
          </w:tcPr>
          <w:p w:rsidR="004024EC" w:rsidRPr="009958AF" w:rsidRDefault="004024EC" w:rsidP="006368A2">
            <w:pPr>
              <w:jc w:val="center"/>
              <w:rPr>
                <w:sz w:val="20"/>
              </w:rPr>
            </w:pPr>
            <w:r w:rsidRPr="009958AF">
              <w:rPr>
                <w:sz w:val="20"/>
              </w:rPr>
              <w:t>6.1</w:t>
            </w:r>
            <w:r>
              <w:rPr>
                <w:sz w:val="20"/>
              </w:rPr>
              <w:t>*</w:t>
            </w:r>
          </w:p>
        </w:tc>
        <w:tc>
          <w:tcPr>
            <w:tcW w:w="918" w:type="dxa"/>
            <w:tcBorders>
              <w:top w:val="nil"/>
              <w:bottom w:val="single" w:sz="4" w:space="0" w:color="auto"/>
            </w:tcBorders>
            <w:vAlign w:val="center"/>
          </w:tcPr>
          <w:p w:rsidR="004024EC" w:rsidRPr="009958AF" w:rsidRDefault="004024EC" w:rsidP="006368A2">
            <w:pPr>
              <w:jc w:val="center"/>
              <w:rPr>
                <w:sz w:val="20"/>
              </w:rPr>
            </w:pPr>
            <w:r w:rsidRPr="009958AF">
              <w:rPr>
                <w:sz w:val="20"/>
              </w:rPr>
              <w:t>4.6</w:t>
            </w:r>
          </w:p>
        </w:tc>
        <w:tc>
          <w:tcPr>
            <w:tcW w:w="918" w:type="dxa"/>
            <w:tcBorders>
              <w:top w:val="nil"/>
              <w:bottom w:val="single" w:sz="4" w:space="0" w:color="auto"/>
            </w:tcBorders>
            <w:vAlign w:val="center"/>
          </w:tcPr>
          <w:p w:rsidR="004024EC" w:rsidRPr="009958AF" w:rsidRDefault="004024EC" w:rsidP="006368A2">
            <w:pPr>
              <w:jc w:val="center"/>
              <w:rPr>
                <w:sz w:val="20"/>
              </w:rPr>
            </w:pPr>
            <w:r w:rsidRPr="009958AF">
              <w:rPr>
                <w:sz w:val="20"/>
              </w:rPr>
              <w:t>17.2</w:t>
            </w:r>
            <w:r w:rsidRPr="00B9783E">
              <w:rPr>
                <w:sz w:val="20"/>
              </w:rPr>
              <w:t>*</w:t>
            </w:r>
          </w:p>
        </w:tc>
        <w:tc>
          <w:tcPr>
            <w:tcW w:w="918" w:type="dxa"/>
            <w:tcBorders>
              <w:top w:val="nil"/>
              <w:bottom w:val="single" w:sz="4" w:space="0" w:color="auto"/>
            </w:tcBorders>
            <w:vAlign w:val="center"/>
          </w:tcPr>
          <w:p w:rsidR="004024EC" w:rsidRPr="009958AF" w:rsidRDefault="004024EC" w:rsidP="006368A2">
            <w:pPr>
              <w:jc w:val="center"/>
              <w:rPr>
                <w:sz w:val="20"/>
              </w:rPr>
            </w:pPr>
            <w:r w:rsidRPr="009958AF">
              <w:rPr>
                <w:sz w:val="20"/>
              </w:rPr>
              <w:t>15.3</w:t>
            </w:r>
            <w:r w:rsidRPr="00B9783E">
              <w:rPr>
                <w:sz w:val="20"/>
              </w:rPr>
              <w:t>*</w:t>
            </w:r>
          </w:p>
        </w:tc>
        <w:tc>
          <w:tcPr>
            <w:tcW w:w="918" w:type="dxa"/>
            <w:tcBorders>
              <w:top w:val="nil"/>
              <w:bottom w:val="single" w:sz="4" w:space="0" w:color="auto"/>
            </w:tcBorders>
            <w:vAlign w:val="center"/>
          </w:tcPr>
          <w:p w:rsidR="004024EC" w:rsidRPr="009958AF" w:rsidRDefault="004024EC" w:rsidP="006368A2">
            <w:pPr>
              <w:jc w:val="center"/>
              <w:rPr>
                <w:sz w:val="20"/>
              </w:rPr>
            </w:pPr>
            <w:r w:rsidRPr="009958AF">
              <w:rPr>
                <w:sz w:val="20"/>
              </w:rPr>
              <w:t>11.8</w:t>
            </w:r>
            <w:r w:rsidRPr="00B9783E">
              <w:rPr>
                <w:sz w:val="20"/>
              </w:rPr>
              <w:t>*</w:t>
            </w:r>
          </w:p>
        </w:tc>
      </w:tr>
      <w:tr w:rsidR="004024EC" w:rsidRPr="00790B52" w:rsidTr="006368A2">
        <w:trPr>
          <w:cantSplit/>
          <w:jc w:val="center"/>
        </w:trPr>
        <w:tc>
          <w:tcPr>
            <w:tcW w:w="1188" w:type="dxa"/>
            <w:vMerge w:val="restart"/>
            <w:vAlign w:val="center"/>
          </w:tcPr>
          <w:p w:rsidR="004024EC" w:rsidRDefault="004024EC" w:rsidP="006368A2">
            <w:pPr>
              <w:rPr>
                <w:sz w:val="20"/>
              </w:rPr>
            </w:pPr>
            <w:r>
              <w:rPr>
                <w:sz w:val="20"/>
              </w:rPr>
              <w:t xml:space="preserve">Riding with a Drinking Driver </w:t>
            </w:r>
          </w:p>
          <w:p w:rsidR="004024EC" w:rsidRPr="00790B52" w:rsidRDefault="004024EC" w:rsidP="006368A2">
            <w:pPr>
              <w:rPr>
                <w:sz w:val="20"/>
              </w:rPr>
            </w:pPr>
            <w:r w:rsidRPr="003A4160">
              <w:rPr>
                <w:sz w:val="18"/>
                <w:szCs w:val="18"/>
              </w:rPr>
              <w:t>(past 30 days)</w:t>
            </w:r>
          </w:p>
        </w:tc>
        <w:tc>
          <w:tcPr>
            <w:tcW w:w="1170" w:type="dxa"/>
            <w:tcBorders>
              <w:bottom w:val="nil"/>
            </w:tcBorders>
            <w:vAlign w:val="center"/>
          </w:tcPr>
          <w:p w:rsidR="004024EC" w:rsidRPr="00790B52" w:rsidRDefault="004024EC" w:rsidP="006368A2">
            <w:pPr>
              <w:rPr>
                <w:sz w:val="20"/>
              </w:rPr>
            </w:pPr>
            <w:r w:rsidRPr="00790B52">
              <w:rPr>
                <w:sz w:val="20"/>
              </w:rPr>
              <w:t>Orleans</w:t>
            </w:r>
          </w:p>
        </w:tc>
        <w:tc>
          <w:tcPr>
            <w:tcW w:w="918" w:type="dxa"/>
            <w:tcBorders>
              <w:bottom w:val="nil"/>
            </w:tcBorders>
            <w:vAlign w:val="center"/>
          </w:tcPr>
          <w:p w:rsidR="004024EC" w:rsidRPr="0068545A" w:rsidRDefault="004024EC" w:rsidP="006368A2">
            <w:pPr>
              <w:jc w:val="center"/>
              <w:rPr>
                <w:sz w:val="20"/>
              </w:rPr>
            </w:pPr>
            <w:r w:rsidRPr="0068545A">
              <w:rPr>
                <w:sz w:val="20"/>
              </w:rPr>
              <w:t>31.2</w:t>
            </w:r>
            <w:r w:rsidRPr="00B9783E">
              <w:rPr>
                <w:sz w:val="20"/>
              </w:rPr>
              <w:t>#</w:t>
            </w:r>
          </w:p>
        </w:tc>
        <w:tc>
          <w:tcPr>
            <w:tcW w:w="918" w:type="dxa"/>
            <w:tcBorders>
              <w:bottom w:val="nil"/>
            </w:tcBorders>
            <w:vAlign w:val="center"/>
          </w:tcPr>
          <w:p w:rsidR="004024EC" w:rsidRPr="0068545A" w:rsidRDefault="004024EC" w:rsidP="006368A2">
            <w:pPr>
              <w:jc w:val="center"/>
              <w:rPr>
                <w:sz w:val="20"/>
              </w:rPr>
            </w:pPr>
            <w:r w:rsidRPr="0068545A">
              <w:rPr>
                <w:sz w:val="20"/>
              </w:rPr>
              <w:t>24.7</w:t>
            </w:r>
            <w:r w:rsidRPr="00B9783E">
              <w:rPr>
                <w:sz w:val="20"/>
              </w:rPr>
              <w:t>#</w:t>
            </w:r>
          </w:p>
        </w:tc>
        <w:tc>
          <w:tcPr>
            <w:tcW w:w="918" w:type="dxa"/>
            <w:tcBorders>
              <w:bottom w:val="nil"/>
            </w:tcBorders>
            <w:vAlign w:val="center"/>
          </w:tcPr>
          <w:p w:rsidR="004024EC" w:rsidRPr="0068545A" w:rsidRDefault="004024EC" w:rsidP="006368A2">
            <w:pPr>
              <w:jc w:val="center"/>
              <w:rPr>
                <w:sz w:val="20"/>
              </w:rPr>
            </w:pPr>
            <w:r w:rsidRPr="0068545A">
              <w:rPr>
                <w:sz w:val="20"/>
              </w:rPr>
              <w:t>25.6</w:t>
            </w:r>
            <w:r w:rsidRPr="00B9783E">
              <w:rPr>
                <w:sz w:val="20"/>
              </w:rPr>
              <w:t>#</w:t>
            </w:r>
          </w:p>
        </w:tc>
        <w:tc>
          <w:tcPr>
            <w:tcW w:w="918" w:type="dxa"/>
            <w:tcBorders>
              <w:bottom w:val="nil"/>
            </w:tcBorders>
            <w:vAlign w:val="center"/>
          </w:tcPr>
          <w:p w:rsidR="004024EC" w:rsidRPr="0068545A" w:rsidRDefault="004024EC" w:rsidP="006368A2">
            <w:pPr>
              <w:jc w:val="center"/>
              <w:rPr>
                <w:sz w:val="20"/>
              </w:rPr>
            </w:pPr>
            <w:r w:rsidRPr="0068545A">
              <w:rPr>
                <w:sz w:val="20"/>
              </w:rPr>
              <w:t>31.2</w:t>
            </w:r>
            <w:r w:rsidRPr="00B9783E">
              <w:rPr>
                <w:sz w:val="20"/>
              </w:rPr>
              <w:t>#</w:t>
            </w:r>
          </w:p>
        </w:tc>
        <w:tc>
          <w:tcPr>
            <w:tcW w:w="918" w:type="dxa"/>
            <w:tcBorders>
              <w:bottom w:val="nil"/>
            </w:tcBorders>
            <w:vAlign w:val="center"/>
          </w:tcPr>
          <w:p w:rsidR="004024EC" w:rsidRPr="0068545A" w:rsidRDefault="004024EC" w:rsidP="006368A2">
            <w:pPr>
              <w:jc w:val="center"/>
              <w:rPr>
                <w:sz w:val="20"/>
              </w:rPr>
            </w:pPr>
            <w:r w:rsidRPr="0068545A">
              <w:rPr>
                <w:sz w:val="20"/>
              </w:rPr>
              <w:t>24.7</w:t>
            </w:r>
            <w:r w:rsidRPr="00B9783E">
              <w:rPr>
                <w:sz w:val="20"/>
              </w:rPr>
              <w:t>#</w:t>
            </w:r>
          </w:p>
        </w:tc>
        <w:tc>
          <w:tcPr>
            <w:tcW w:w="918" w:type="dxa"/>
            <w:tcBorders>
              <w:bottom w:val="nil"/>
            </w:tcBorders>
            <w:vAlign w:val="center"/>
          </w:tcPr>
          <w:p w:rsidR="004024EC" w:rsidRPr="0068545A" w:rsidRDefault="004024EC" w:rsidP="006368A2">
            <w:pPr>
              <w:jc w:val="center"/>
              <w:rPr>
                <w:sz w:val="20"/>
              </w:rPr>
            </w:pPr>
            <w:r w:rsidRPr="0068545A">
              <w:rPr>
                <w:sz w:val="20"/>
              </w:rPr>
              <w:t>25.6</w:t>
            </w:r>
            <w:r w:rsidRPr="00B9783E">
              <w:rPr>
                <w:sz w:val="20"/>
              </w:rPr>
              <w:t>#</w:t>
            </w:r>
          </w:p>
        </w:tc>
      </w:tr>
      <w:tr w:rsidR="004024EC" w:rsidRPr="00790B52" w:rsidTr="006368A2">
        <w:trPr>
          <w:cantSplit/>
          <w:jc w:val="center"/>
        </w:trPr>
        <w:tc>
          <w:tcPr>
            <w:tcW w:w="1188" w:type="dxa"/>
            <w:vMerge/>
            <w:vAlign w:val="center"/>
          </w:tcPr>
          <w:p w:rsidR="004024EC" w:rsidRPr="00790B52" w:rsidRDefault="004024EC" w:rsidP="006368A2">
            <w:pPr>
              <w:ind w:left="270"/>
              <w:rPr>
                <w:sz w:val="20"/>
              </w:rPr>
            </w:pPr>
          </w:p>
        </w:tc>
        <w:tc>
          <w:tcPr>
            <w:tcW w:w="1170" w:type="dxa"/>
            <w:tcBorders>
              <w:top w:val="nil"/>
              <w:bottom w:val="nil"/>
            </w:tcBorders>
            <w:vAlign w:val="center"/>
          </w:tcPr>
          <w:p w:rsidR="004024EC" w:rsidRPr="00790B52" w:rsidRDefault="004024EC" w:rsidP="006368A2">
            <w:pPr>
              <w:rPr>
                <w:sz w:val="20"/>
              </w:rPr>
            </w:pPr>
            <w:r w:rsidRPr="00790B52">
              <w:rPr>
                <w:sz w:val="20"/>
              </w:rPr>
              <w:t>Jefferson</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33.9</w:t>
            </w:r>
            <w:r w:rsidRPr="00B9783E">
              <w:rPr>
                <w:sz w:val="20"/>
              </w:rPr>
              <w:t>*</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26.7</w:t>
            </w:r>
            <w:r w:rsidRPr="00B9783E">
              <w:rPr>
                <w:sz w:val="20"/>
              </w:rPr>
              <w:t>*</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23.9</w:t>
            </w:r>
            <w:r w:rsidRPr="00B9783E">
              <w:rPr>
                <w:sz w:val="20"/>
              </w:rPr>
              <w:t>*</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29.1</w:t>
            </w:r>
            <w:r w:rsidRPr="00B9783E">
              <w:rPr>
                <w:sz w:val="20"/>
              </w:rPr>
              <w:t>*</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26.1</w:t>
            </w:r>
            <w:r w:rsidRPr="00B9783E">
              <w:rPr>
                <w:sz w:val="20"/>
              </w:rPr>
              <w:t>*</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22.3</w:t>
            </w:r>
            <w:r w:rsidRPr="00B9783E">
              <w:rPr>
                <w:sz w:val="20"/>
              </w:rPr>
              <w:t>*</w:t>
            </w:r>
          </w:p>
        </w:tc>
      </w:tr>
      <w:tr w:rsidR="004024EC" w:rsidRPr="00790B52" w:rsidTr="006368A2">
        <w:trPr>
          <w:cantSplit/>
          <w:jc w:val="center"/>
        </w:trPr>
        <w:tc>
          <w:tcPr>
            <w:tcW w:w="1188" w:type="dxa"/>
            <w:vMerge/>
            <w:vAlign w:val="center"/>
          </w:tcPr>
          <w:p w:rsidR="004024EC" w:rsidRPr="00790B52" w:rsidRDefault="004024EC" w:rsidP="006368A2">
            <w:pPr>
              <w:ind w:left="270"/>
              <w:rPr>
                <w:sz w:val="20"/>
              </w:rPr>
            </w:pPr>
          </w:p>
        </w:tc>
        <w:tc>
          <w:tcPr>
            <w:tcW w:w="1170" w:type="dxa"/>
            <w:tcBorders>
              <w:top w:val="nil"/>
              <w:bottom w:val="nil"/>
            </w:tcBorders>
            <w:vAlign w:val="center"/>
          </w:tcPr>
          <w:p w:rsidR="004024EC" w:rsidRPr="00790B52" w:rsidRDefault="004024EC" w:rsidP="006368A2">
            <w:pPr>
              <w:rPr>
                <w:sz w:val="20"/>
              </w:rPr>
            </w:pPr>
            <w:r w:rsidRPr="00790B52">
              <w:rPr>
                <w:sz w:val="20"/>
              </w:rPr>
              <w:t>Plaquemines</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37.5</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37.2</w:t>
            </w:r>
            <w:r w:rsidRPr="00B9783E">
              <w:rPr>
                <w:sz w:val="20"/>
              </w:rPr>
              <w:t>*</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31.6</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46.7</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37.0</w:t>
            </w:r>
            <w:r w:rsidRPr="00B9783E">
              <w:rPr>
                <w:sz w:val="20"/>
              </w:rPr>
              <w:t>*</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30.5</w:t>
            </w:r>
          </w:p>
        </w:tc>
      </w:tr>
      <w:tr w:rsidR="004024EC" w:rsidRPr="00790B52" w:rsidTr="006368A2">
        <w:trPr>
          <w:cantSplit/>
          <w:jc w:val="center"/>
        </w:trPr>
        <w:tc>
          <w:tcPr>
            <w:tcW w:w="1188" w:type="dxa"/>
            <w:vMerge/>
            <w:vAlign w:val="center"/>
          </w:tcPr>
          <w:p w:rsidR="004024EC" w:rsidRPr="00790B52" w:rsidRDefault="004024EC" w:rsidP="006368A2">
            <w:pPr>
              <w:ind w:left="270"/>
              <w:rPr>
                <w:sz w:val="20"/>
              </w:rPr>
            </w:pPr>
          </w:p>
        </w:tc>
        <w:tc>
          <w:tcPr>
            <w:tcW w:w="1170" w:type="dxa"/>
            <w:tcBorders>
              <w:top w:val="nil"/>
              <w:bottom w:val="nil"/>
            </w:tcBorders>
            <w:vAlign w:val="center"/>
          </w:tcPr>
          <w:p w:rsidR="004024EC" w:rsidRPr="00790B52" w:rsidRDefault="004024EC" w:rsidP="006368A2">
            <w:pPr>
              <w:rPr>
                <w:sz w:val="20"/>
              </w:rPr>
            </w:pPr>
            <w:r w:rsidRPr="00790B52">
              <w:rPr>
                <w:sz w:val="20"/>
              </w:rPr>
              <w:t>St. Bernard</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w:t>
            </w:r>
          </w:p>
        </w:tc>
        <w:tc>
          <w:tcPr>
            <w:tcW w:w="918" w:type="dxa"/>
            <w:tcBorders>
              <w:top w:val="nil"/>
              <w:bottom w:val="nil"/>
            </w:tcBorders>
            <w:vAlign w:val="center"/>
          </w:tcPr>
          <w:p w:rsidR="004024EC" w:rsidRPr="0068545A" w:rsidRDefault="004024EC" w:rsidP="006368A2">
            <w:pPr>
              <w:jc w:val="center"/>
              <w:rPr>
                <w:sz w:val="20"/>
              </w:rPr>
            </w:pPr>
            <w:r w:rsidRPr="0068545A">
              <w:rPr>
                <w:sz w:val="20"/>
              </w:rPr>
              <w:t>--</w:t>
            </w:r>
          </w:p>
        </w:tc>
      </w:tr>
      <w:tr w:rsidR="004024EC" w:rsidRPr="00790B52" w:rsidTr="006368A2">
        <w:trPr>
          <w:cantSplit/>
          <w:jc w:val="center"/>
        </w:trPr>
        <w:tc>
          <w:tcPr>
            <w:tcW w:w="1188" w:type="dxa"/>
            <w:vMerge/>
            <w:vAlign w:val="center"/>
          </w:tcPr>
          <w:p w:rsidR="004024EC" w:rsidRPr="00790B52" w:rsidRDefault="004024EC" w:rsidP="006368A2">
            <w:pPr>
              <w:ind w:left="270"/>
              <w:rPr>
                <w:sz w:val="20"/>
              </w:rPr>
            </w:pPr>
          </w:p>
        </w:tc>
        <w:tc>
          <w:tcPr>
            <w:tcW w:w="1170" w:type="dxa"/>
            <w:tcBorders>
              <w:top w:val="nil"/>
              <w:bottom w:val="single" w:sz="4" w:space="0" w:color="auto"/>
            </w:tcBorders>
            <w:vAlign w:val="center"/>
          </w:tcPr>
          <w:p w:rsidR="004024EC" w:rsidRPr="00790B52" w:rsidRDefault="004024EC" w:rsidP="006368A2">
            <w:pPr>
              <w:rPr>
                <w:sz w:val="20"/>
              </w:rPr>
            </w:pPr>
            <w:r w:rsidRPr="00790B52">
              <w:rPr>
                <w:sz w:val="20"/>
              </w:rPr>
              <w:t>Statewide</w:t>
            </w:r>
          </w:p>
        </w:tc>
        <w:tc>
          <w:tcPr>
            <w:tcW w:w="918" w:type="dxa"/>
            <w:tcBorders>
              <w:top w:val="nil"/>
              <w:bottom w:val="single" w:sz="4" w:space="0" w:color="auto"/>
            </w:tcBorders>
            <w:vAlign w:val="center"/>
          </w:tcPr>
          <w:p w:rsidR="004024EC" w:rsidRPr="0068545A" w:rsidRDefault="004024EC" w:rsidP="006368A2">
            <w:pPr>
              <w:jc w:val="center"/>
              <w:rPr>
                <w:sz w:val="20"/>
              </w:rPr>
            </w:pPr>
            <w:r w:rsidRPr="0068545A">
              <w:rPr>
                <w:sz w:val="20"/>
              </w:rPr>
              <w:t>34.1</w:t>
            </w:r>
          </w:p>
        </w:tc>
        <w:tc>
          <w:tcPr>
            <w:tcW w:w="918" w:type="dxa"/>
            <w:tcBorders>
              <w:top w:val="nil"/>
              <w:bottom w:val="single" w:sz="4" w:space="0" w:color="auto"/>
            </w:tcBorders>
            <w:vAlign w:val="center"/>
          </w:tcPr>
          <w:p w:rsidR="004024EC" w:rsidRPr="0068545A" w:rsidRDefault="004024EC" w:rsidP="006368A2">
            <w:pPr>
              <w:jc w:val="center"/>
              <w:rPr>
                <w:sz w:val="20"/>
              </w:rPr>
            </w:pPr>
            <w:r w:rsidRPr="0068545A">
              <w:rPr>
                <w:sz w:val="20"/>
              </w:rPr>
              <w:t>33.0</w:t>
            </w:r>
            <w:r w:rsidRPr="00B9783E">
              <w:rPr>
                <w:sz w:val="20"/>
              </w:rPr>
              <w:t>*</w:t>
            </w:r>
          </w:p>
        </w:tc>
        <w:tc>
          <w:tcPr>
            <w:tcW w:w="918" w:type="dxa"/>
            <w:tcBorders>
              <w:top w:val="nil"/>
              <w:bottom w:val="single" w:sz="4" w:space="0" w:color="auto"/>
            </w:tcBorders>
            <w:vAlign w:val="center"/>
          </w:tcPr>
          <w:p w:rsidR="004024EC" w:rsidRPr="0068545A" w:rsidRDefault="004024EC" w:rsidP="006368A2">
            <w:pPr>
              <w:jc w:val="center"/>
              <w:rPr>
                <w:sz w:val="20"/>
              </w:rPr>
            </w:pPr>
            <w:r w:rsidRPr="0068545A">
              <w:rPr>
                <w:sz w:val="20"/>
              </w:rPr>
              <w:t>29.3</w:t>
            </w:r>
          </w:p>
        </w:tc>
        <w:tc>
          <w:tcPr>
            <w:tcW w:w="918" w:type="dxa"/>
            <w:tcBorders>
              <w:top w:val="nil"/>
              <w:bottom w:val="single" w:sz="4" w:space="0" w:color="auto"/>
            </w:tcBorders>
            <w:vAlign w:val="center"/>
          </w:tcPr>
          <w:p w:rsidR="004024EC" w:rsidRPr="0068545A" w:rsidRDefault="004024EC" w:rsidP="006368A2">
            <w:pPr>
              <w:jc w:val="center"/>
              <w:rPr>
                <w:sz w:val="20"/>
              </w:rPr>
            </w:pPr>
            <w:r w:rsidRPr="0068545A">
              <w:rPr>
                <w:sz w:val="20"/>
              </w:rPr>
              <w:t>32.3</w:t>
            </w:r>
            <w:r w:rsidRPr="00B9783E">
              <w:rPr>
                <w:sz w:val="20"/>
              </w:rPr>
              <w:t>*</w:t>
            </w:r>
          </w:p>
        </w:tc>
        <w:tc>
          <w:tcPr>
            <w:tcW w:w="918" w:type="dxa"/>
            <w:tcBorders>
              <w:top w:val="nil"/>
              <w:bottom w:val="single" w:sz="4" w:space="0" w:color="auto"/>
            </w:tcBorders>
            <w:vAlign w:val="center"/>
          </w:tcPr>
          <w:p w:rsidR="004024EC" w:rsidRPr="0068545A" w:rsidRDefault="004024EC" w:rsidP="006368A2">
            <w:pPr>
              <w:jc w:val="center"/>
              <w:rPr>
                <w:sz w:val="20"/>
              </w:rPr>
            </w:pPr>
            <w:r w:rsidRPr="0068545A">
              <w:rPr>
                <w:sz w:val="20"/>
              </w:rPr>
              <w:t>29.9</w:t>
            </w:r>
            <w:r w:rsidRPr="00B9783E">
              <w:rPr>
                <w:sz w:val="20"/>
              </w:rPr>
              <w:t>*</w:t>
            </w:r>
          </w:p>
        </w:tc>
        <w:tc>
          <w:tcPr>
            <w:tcW w:w="918" w:type="dxa"/>
            <w:tcBorders>
              <w:top w:val="nil"/>
              <w:bottom w:val="single" w:sz="4" w:space="0" w:color="auto"/>
            </w:tcBorders>
            <w:vAlign w:val="center"/>
          </w:tcPr>
          <w:p w:rsidR="004024EC" w:rsidRPr="0068545A" w:rsidRDefault="004024EC" w:rsidP="006368A2">
            <w:pPr>
              <w:jc w:val="center"/>
              <w:rPr>
                <w:sz w:val="20"/>
              </w:rPr>
            </w:pPr>
            <w:r w:rsidRPr="0068545A">
              <w:rPr>
                <w:sz w:val="20"/>
              </w:rPr>
              <w:t>28.1</w:t>
            </w:r>
            <w:r w:rsidRPr="00B9783E">
              <w:rPr>
                <w:sz w:val="20"/>
              </w:rPr>
              <w:t>*</w:t>
            </w:r>
          </w:p>
        </w:tc>
      </w:tr>
      <w:tr w:rsidR="004024EC" w:rsidRPr="00790B52" w:rsidTr="006368A2">
        <w:trPr>
          <w:cantSplit/>
          <w:jc w:val="center"/>
        </w:trPr>
        <w:tc>
          <w:tcPr>
            <w:tcW w:w="1188" w:type="dxa"/>
            <w:vMerge w:val="restart"/>
            <w:vAlign w:val="center"/>
          </w:tcPr>
          <w:p w:rsidR="004024EC" w:rsidRDefault="004024EC" w:rsidP="006368A2">
            <w:pPr>
              <w:rPr>
                <w:sz w:val="20"/>
              </w:rPr>
            </w:pPr>
            <w:r>
              <w:rPr>
                <w:sz w:val="20"/>
              </w:rPr>
              <w:t xml:space="preserve">Sold Illegal Drugs </w:t>
            </w:r>
          </w:p>
          <w:p w:rsidR="004024EC" w:rsidRPr="00790B52" w:rsidRDefault="004024EC" w:rsidP="006368A2">
            <w:pPr>
              <w:rPr>
                <w:sz w:val="20"/>
              </w:rPr>
            </w:pPr>
            <w:r>
              <w:rPr>
                <w:sz w:val="20"/>
              </w:rPr>
              <w:t>(past year)</w:t>
            </w:r>
          </w:p>
        </w:tc>
        <w:tc>
          <w:tcPr>
            <w:tcW w:w="1170" w:type="dxa"/>
            <w:tcBorders>
              <w:bottom w:val="nil"/>
            </w:tcBorders>
            <w:vAlign w:val="center"/>
          </w:tcPr>
          <w:p w:rsidR="004024EC" w:rsidRPr="00790B52" w:rsidRDefault="004024EC" w:rsidP="006368A2">
            <w:pPr>
              <w:rPr>
                <w:sz w:val="20"/>
              </w:rPr>
            </w:pPr>
            <w:r w:rsidRPr="00790B52">
              <w:rPr>
                <w:sz w:val="20"/>
              </w:rPr>
              <w:t>Orleans</w:t>
            </w:r>
          </w:p>
        </w:tc>
        <w:tc>
          <w:tcPr>
            <w:tcW w:w="918" w:type="dxa"/>
            <w:tcBorders>
              <w:bottom w:val="nil"/>
            </w:tcBorders>
            <w:vAlign w:val="center"/>
          </w:tcPr>
          <w:p w:rsidR="004024EC" w:rsidRPr="00810B1C" w:rsidRDefault="004024EC" w:rsidP="006368A2">
            <w:pPr>
              <w:jc w:val="center"/>
              <w:rPr>
                <w:sz w:val="20"/>
              </w:rPr>
            </w:pPr>
            <w:proofErr w:type="spellStart"/>
            <w:r>
              <w:rPr>
                <w:sz w:val="20"/>
              </w:rPr>
              <w:t>na</w:t>
            </w:r>
            <w:proofErr w:type="spellEnd"/>
          </w:p>
        </w:tc>
        <w:tc>
          <w:tcPr>
            <w:tcW w:w="918" w:type="dxa"/>
            <w:tcBorders>
              <w:bottom w:val="nil"/>
            </w:tcBorders>
            <w:vAlign w:val="center"/>
          </w:tcPr>
          <w:p w:rsidR="004024EC" w:rsidRPr="00810B1C" w:rsidRDefault="004024EC" w:rsidP="006368A2">
            <w:pPr>
              <w:jc w:val="center"/>
              <w:rPr>
                <w:sz w:val="20"/>
              </w:rPr>
            </w:pPr>
            <w:r w:rsidRPr="00810B1C">
              <w:rPr>
                <w:sz w:val="20"/>
              </w:rPr>
              <w:t>6.1</w:t>
            </w:r>
            <w:r w:rsidRPr="00B9783E">
              <w:rPr>
                <w:sz w:val="20"/>
              </w:rPr>
              <w:t>#</w:t>
            </w:r>
          </w:p>
        </w:tc>
        <w:tc>
          <w:tcPr>
            <w:tcW w:w="918" w:type="dxa"/>
            <w:tcBorders>
              <w:bottom w:val="nil"/>
            </w:tcBorders>
            <w:vAlign w:val="center"/>
          </w:tcPr>
          <w:p w:rsidR="004024EC" w:rsidRPr="00810B1C" w:rsidRDefault="004024EC" w:rsidP="006368A2">
            <w:pPr>
              <w:jc w:val="center"/>
              <w:rPr>
                <w:sz w:val="20"/>
              </w:rPr>
            </w:pPr>
            <w:r w:rsidRPr="00810B1C">
              <w:rPr>
                <w:sz w:val="20"/>
              </w:rPr>
              <w:t>5.1</w:t>
            </w:r>
            <w:r w:rsidRPr="00B9783E">
              <w:rPr>
                <w:sz w:val="20"/>
              </w:rPr>
              <w:t>#</w:t>
            </w:r>
          </w:p>
        </w:tc>
        <w:tc>
          <w:tcPr>
            <w:tcW w:w="918" w:type="dxa"/>
            <w:tcBorders>
              <w:bottom w:val="nil"/>
            </w:tcBorders>
            <w:vAlign w:val="center"/>
          </w:tcPr>
          <w:p w:rsidR="004024EC" w:rsidRPr="00810B1C" w:rsidRDefault="004024EC" w:rsidP="006368A2">
            <w:pPr>
              <w:jc w:val="center"/>
              <w:rPr>
                <w:sz w:val="20"/>
              </w:rPr>
            </w:pPr>
            <w:proofErr w:type="spellStart"/>
            <w:r>
              <w:rPr>
                <w:sz w:val="20"/>
              </w:rPr>
              <w:t>na</w:t>
            </w:r>
            <w:proofErr w:type="spellEnd"/>
          </w:p>
        </w:tc>
        <w:tc>
          <w:tcPr>
            <w:tcW w:w="918" w:type="dxa"/>
            <w:tcBorders>
              <w:bottom w:val="nil"/>
            </w:tcBorders>
            <w:vAlign w:val="center"/>
          </w:tcPr>
          <w:p w:rsidR="004024EC" w:rsidRPr="00810B1C" w:rsidRDefault="004024EC" w:rsidP="006368A2">
            <w:pPr>
              <w:jc w:val="center"/>
              <w:rPr>
                <w:sz w:val="20"/>
              </w:rPr>
            </w:pPr>
            <w:r w:rsidRPr="00810B1C">
              <w:rPr>
                <w:sz w:val="20"/>
              </w:rPr>
              <w:t>1.6</w:t>
            </w:r>
            <w:r w:rsidRPr="00B9783E">
              <w:rPr>
                <w:sz w:val="20"/>
              </w:rPr>
              <w:t>#</w:t>
            </w:r>
          </w:p>
        </w:tc>
        <w:tc>
          <w:tcPr>
            <w:tcW w:w="918" w:type="dxa"/>
            <w:tcBorders>
              <w:bottom w:val="nil"/>
            </w:tcBorders>
            <w:vAlign w:val="center"/>
          </w:tcPr>
          <w:p w:rsidR="004024EC" w:rsidRPr="00810B1C" w:rsidRDefault="004024EC" w:rsidP="006368A2">
            <w:pPr>
              <w:jc w:val="center"/>
              <w:rPr>
                <w:sz w:val="20"/>
              </w:rPr>
            </w:pPr>
            <w:r w:rsidRPr="00810B1C">
              <w:rPr>
                <w:sz w:val="20"/>
              </w:rPr>
              <w:t>6.0</w:t>
            </w:r>
            <w:r w:rsidRPr="00B9783E">
              <w:rPr>
                <w:sz w:val="20"/>
              </w:rPr>
              <w:t>#</w:t>
            </w:r>
          </w:p>
        </w:tc>
      </w:tr>
      <w:tr w:rsidR="004024EC" w:rsidRPr="00790B52" w:rsidTr="006368A2">
        <w:trPr>
          <w:cantSplit/>
          <w:jc w:val="center"/>
        </w:trPr>
        <w:tc>
          <w:tcPr>
            <w:tcW w:w="1188" w:type="dxa"/>
            <w:vMerge/>
            <w:vAlign w:val="center"/>
          </w:tcPr>
          <w:p w:rsidR="004024EC" w:rsidRPr="00790B52" w:rsidRDefault="004024EC" w:rsidP="006368A2">
            <w:pPr>
              <w:ind w:left="270"/>
              <w:rPr>
                <w:sz w:val="20"/>
              </w:rPr>
            </w:pPr>
          </w:p>
        </w:tc>
        <w:tc>
          <w:tcPr>
            <w:tcW w:w="1170" w:type="dxa"/>
            <w:tcBorders>
              <w:top w:val="nil"/>
              <w:bottom w:val="nil"/>
            </w:tcBorders>
            <w:vAlign w:val="center"/>
          </w:tcPr>
          <w:p w:rsidR="004024EC" w:rsidRPr="00790B52" w:rsidRDefault="004024EC" w:rsidP="006368A2">
            <w:pPr>
              <w:rPr>
                <w:sz w:val="20"/>
              </w:rPr>
            </w:pPr>
            <w:r w:rsidRPr="00790B52">
              <w:rPr>
                <w:sz w:val="20"/>
              </w:rPr>
              <w:t>Jefferson</w:t>
            </w:r>
          </w:p>
        </w:tc>
        <w:tc>
          <w:tcPr>
            <w:tcW w:w="918" w:type="dxa"/>
            <w:tcBorders>
              <w:top w:val="nil"/>
              <w:bottom w:val="nil"/>
            </w:tcBorders>
            <w:vAlign w:val="center"/>
          </w:tcPr>
          <w:p w:rsidR="004024EC" w:rsidRPr="00810B1C" w:rsidRDefault="004024EC" w:rsidP="006368A2">
            <w:pPr>
              <w:jc w:val="center"/>
              <w:rPr>
                <w:sz w:val="20"/>
              </w:rPr>
            </w:pPr>
            <w:proofErr w:type="spellStart"/>
            <w:r>
              <w:rPr>
                <w:sz w:val="20"/>
              </w:rPr>
              <w:t>na</w:t>
            </w:r>
            <w:proofErr w:type="spellEnd"/>
          </w:p>
        </w:tc>
        <w:tc>
          <w:tcPr>
            <w:tcW w:w="918" w:type="dxa"/>
            <w:tcBorders>
              <w:top w:val="nil"/>
              <w:bottom w:val="nil"/>
            </w:tcBorders>
            <w:vAlign w:val="center"/>
          </w:tcPr>
          <w:p w:rsidR="004024EC" w:rsidRPr="00810B1C" w:rsidRDefault="004024EC" w:rsidP="006368A2">
            <w:pPr>
              <w:jc w:val="center"/>
              <w:rPr>
                <w:sz w:val="20"/>
              </w:rPr>
            </w:pPr>
            <w:r w:rsidRPr="00810B1C">
              <w:rPr>
                <w:sz w:val="20"/>
              </w:rPr>
              <w:t>5.4</w:t>
            </w:r>
            <w:r w:rsidRPr="00B9783E">
              <w:rPr>
                <w:sz w:val="20"/>
              </w:rPr>
              <w:t>*</w:t>
            </w:r>
          </w:p>
        </w:tc>
        <w:tc>
          <w:tcPr>
            <w:tcW w:w="918" w:type="dxa"/>
            <w:tcBorders>
              <w:top w:val="nil"/>
              <w:bottom w:val="nil"/>
            </w:tcBorders>
            <w:vAlign w:val="center"/>
          </w:tcPr>
          <w:p w:rsidR="004024EC" w:rsidRPr="00810B1C" w:rsidRDefault="004024EC" w:rsidP="006368A2">
            <w:pPr>
              <w:jc w:val="center"/>
              <w:rPr>
                <w:sz w:val="20"/>
              </w:rPr>
            </w:pPr>
            <w:r w:rsidRPr="00810B1C">
              <w:rPr>
                <w:sz w:val="20"/>
              </w:rPr>
              <w:t>5.8</w:t>
            </w:r>
            <w:r w:rsidRPr="00B9783E">
              <w:rPr>
                <w:sz w:val="20"/>
              </w:rPr>
              <w:t>*</w:t>
            </w:r>
          </w:p>
        </w:tc>
        <w:tc>
          <w:tcPr>
            <w:tcW w:w="918" w:type="dxa"/>
            <w:tcBorders>
              <w:top w:val="nil"/>
              <w:bottom w:val="nil"/>
            </w:tcBorders>
            <w:vAlign w:val="center"/>
          </w:tcPr>
          <w:p w:rsidR="004024EC" w:rsidRPr="00810B1C" w:rsidRDefault="004024EC" w:rsidP="006368A2">
            <w:pPr>
              <w:jc w:val="center"/>
              <w:rPr>
                <w:sz w:val="20"/>
              </w:rPr>
            </w:pPr>
            <w:proofErr w:type="spellStart"/>
            <w:r>
              <w:rPr>
                <w:sz w:val="20"/>
              </w:rPr>
              <w:t>na</w:t>
            </w:r>
            <w:proofErr w:type="spellEnd"/>
          </w:p>
        </w:tc>
        <w:tc>
          <w:tcPr>
            <w:tcW w:w="918" w:type="dxa"/>
            <w:tcBorders>
              <w:top w:val="nil"/>
              <w:bottom w:val="nil"/>
            </w:tcBorders>
            <w:vAlign w:val="center"/>
          </w:tcPr>
          <w:p w:rsidR="004024EC" w:rsidRPr="00810B1C" w:rsidRDefault="004024EC" w:rsidP="006368A2">
            <w:pPr>
              <w:jc w:val="center"/>
              <w:rPr>
                <w:sz w:val="20"/>
              </w:rPr>
            </w:pPr>
            <w:r w:rsidRPr="00810B1C">
              <w:rPr>
                <w:sz w:val="20"/>
              </w:rPr>
              <w:t>8.0</w:t>
            </w:r>
            <w:r w:rsidRPr="00B9783E">
              <w:rPr>
                <w:sz w:val="20"/>
              </w:rPr>
              <w:t>*</w:t>
            </w:r>
          </w:p>
        </w:tc>
        <w:tc>
          <w:tcPr>
            <w:tcW w:w="918" w:type="dxa"/>
            <w:tcBorders>
              <w:top w:val="nil"/>
              <w:bottom w:val="nil"/>
            </w:tcBorders>
            <w:vAlign w:val="center"/>
          </w:tcPr>
          <w:p w:rsidR="004024EC" w:rsidRPr="00810B1C" w:rsidRDefault="004024EC" w:rsidP="006368A2">
            <w:pPr>
              <w:jc w:val="center"/>
              <w:rPr>
                <w:sz w:val="20"/>
              </w:rPr>
            </w:pPr>
            <w:r w:rsidRPr="00810B1C">
              <w:rPr>
                <w:sz w:val="20"/>
              </w:rPr>
              <w:t>4.9</w:t>
            </w:r>
            <w:r w:rsidRPr="00B9783E">
              <w:rPr>
                <w:sz w:val="20"/>
              </w:rPr>
              <w:t>*</w:t>
            </w:r>
          </w:p>
        </w:tc>
      </w:tr>
      <w:tr w:rsidR="004024EC" w:rsidRPr="00790B52" w:rsidTr="006368A2">
        <w:trPr>
          <w:cantSplit/>
          <w:jc w:val="center"/>
        </w:trPr>
        <w:tc>
          <w:tcPr>
            <w:tcW w:w="1188" w:type="dxa"/>
            <w:vMerge/>
            <w:vAlign w:val="center"/>
          </w:tcPr>
          <w:p w:rsidR="004024EC" w:rsidRPr="00790B52" w:rsidRDefault="004024EC" w:rsidP="006368A2">
            <w:pPr>
              <w:ind w:left="270"/>
              <w:rPr>
                <w:sz w:val="20"/>
              </w:rPr>
            </w:pPr>
          </w:p>
        </w:tc>
        <w:tc>
          <w:tcPr>
            <w:tcW w:w="1170" w:type="dxa"/>
            <w:tcBorders>
              <w:top w:val="nil"/>
              <w:bottom w:val="nil"/>
            </w:tcBorders>
            <w:vAlign w:val="center"/>
          </w:tcPr>
          <w:p w:rsidR="004024EC" w:rsidRPr="00790B52" w:rsidRDefault="004024EC" w:rsidP="006368A2">
            <w:pPr>
              <w:rPr>
                <w:sz w:val="20"/>
              </w:rPr>
            </w:pPr>
            <w:r w:rsidRPr="00790B52">
              <w:rPr>
                <w:sz w:val="20"/>
              </w:rPr>
              <w:t>Plaquemines</w:t>
            </w:r>
          </w:p>
        </w:tc>
        <w:tc>
          <w:tcPr>
            <w:tcW w:w="918" w:type="dxa"/>
            <w:tcBorders>
              <w:top w:val="nil"/>
              <w:bottom w:val="nil"/>
            </w:tcBorders>
            <w:vAlign w:val="center"/>
          </w:tcPr>
          <w:p w:rsidR="004024EC" w:rsidRPr="00810B1C" w:rsidRDefault="004024EC" w:rsidP="006368A2">
            <w:pPr>
              <w:jc w:val="center"/>
              <w:rPr>
                <w:sz w:val="20"/>
              </w:rPr>
            </w:pPr>
            <w:proofErr w:type="spellStart"/>
            <w:r>
              <w:rPr>
                <w:sz w:val="20"/>
              </w:rPr>
              <w:t>na</w:t>
            </w:r>
            <w:proofErr w:type="spellEnd"/>
          </w:p>
        </w:tc>
        <w:tc>
          <w:tcPr>
            <w:tcW w:w="918" w:type="dxa"/>
            <w:tcBorders>
              <w:top w:val="nil"/>
              <w:bottom w:val="nil"/>
            </w:tcBorders>
            <w:vAlign w:val="center"/>
          </w:tcPr>
          <w:p w:rsidR="004024EC" w:rsidRPr="00810B1C" w:rsidRDefault="004024EC" w:rsidP="006368A2">
            <w:pPr>
              <w:jc w:val="center"/>
              <w:rPr>
                <w:sz w:val="20"/>
              </w:rPr>
            </w:pPr>
            <w:r w:rsidRPr="00810B1C">
              <w:rPr>
                <w:sz w:val="20"/>
              </w:rPr>
              <w:t>5.7</w:t>
            </w:r>
            <w:r w:rsidRPr="00B9783E">
              <w:rPr>
                <w:sz w:val="20"/>
              </w:rPr>
              <w:t>*</w:t>
            </w:r>
          </w:p>
        </w:tc>
        <w:tc>
          <w:tcPr>
            <w:tcW w:w="918" w:type="dxa"/>
            <w:tcBorders>
              <w:top w:val="nil"/>
              <w:bottom w:val="nil"/>
            </w:tcBorders>
            <w:vAlign w:val="center"/>
          </w:tcPr>
          <w:p w:rsidR="004024EC" w:rsidRPr="00810B1C" w:rsidRDefault="004024EC" w:rsidP="006368A2">
            <w:pPr>
              <w:jc w:val="center"/>
              <w:rPr>
                <w:sz w:val="20"/>
              </w:rPr>
            </w:pPr>
            <w:r w:rsidRPr="00810B1C">
              <w:rPr>
                <w:sz w:val="20"/>
              </w:rPr>
              <w:t>6.3</w:t>
            </w:r>
          </w:p>
        </w:tc>
        <w:tc>
          <w:tcPr>
            <w:tcW w:w="918" w:type="dxa"/>
            <w:tcBorders>
              <w:top w:val="nil"/>
              <w:bottom w:val="nil"/>
            </w:tcBorders>
            <w:vAlign w:val="center"/>
          </w:tcPr>
          <w:p w:rsidR="004024EC" w:rsidRPr="00810B1C" w:rsidRDefault="004024EC" w:rsidP="006368A2">
            <w:pPr>
              <w:jc w:val="center"/>
              <w:rPr>
                <w:sz w:val="20"/>
              </w:rPr>
            </w:pPr>
            <w:proofErr w:type="spellStart"/>
            <w:r>
              <w:rPr>
                <w:sz w:val="20"/>
              </w:rPr>
              <w:t>na</w:t>
            </w:r>
            <w:proofErr w:type="spellEnd"/>
          </w:p>
        </w:tc>
        <w:tc>
          <w:tcPr>
            <w:tcW w:w="918" w:type="dxa"/>
            <w:tcBorders>
              <w:top w:val="nil"/>
              <w:bottom w:val="nil"/>
            </w:tcBorders>
            <w:vAlign w:val="center"/>
          </w:tcPr>
          <w:p w:rsidR="004024EC" w:rsidRPr="00810B1C" w:rsidRDefault="004024EC" w:rsidP="006368A2">
            <w:pPr>
              <w:jc w:val="center"/>
              <w:rPr>
                <w:sz w:val="20"/>
              </w:rPr>
            </w:pPr>
            <w:r w:rsidRPr="00810B1C">
              <w:rPr>
                <w:sz w:val="20"/>
              </w:rPr>
              <w:t>7.6</w:t>
            </w:r>
            <w:r w:rsidRPr="00B9783E">
              <w:rPr>
                <w:sz w:val="20"/>
              </w:rPr>
              <w:t>*</w:t>
            </w:r>
          </w:p>
        </w:tc>
        <w:tc>
          <w:tcPr>
            <w:tcW w:w="918" w:type="dxa"/>
            <w:tcBorders>
              <w:top w:val="nil"/>
              <w:bottom w:val="nil"/>
            </w:tcBorders>
            <w:vAlign w:val="center"/>
          </w:tcPr>
          <w:p w:rsidR="004024EC" w:rsidRPr="00810B1C" w:rsidRDefault="004024EC" w:rsidP="006368A2">
            <w:pPr>
              <w:jc w:val="center"/>
              <w:rPr>
                <w:sz w:val="20"/>
              </w:rPr>
            </w:pPr>
            <w:r w:rsidRPr="00810B1C">
              <w:rPr>
                <w:sz w:val="20"/>
              </w:rPr>
              <w:t>7.1</w:t>
            </w:r>
          </w:p>
        </w:tc>
      </w:tr>
      <w:tr w:rsidR="004024EC" w:rsidRPr="00790B52" w:rsidTr="006368A2">
        <w:trPr>
          <w:cantSplit/>
          <w:jc w:val="center"/>
        </w:trPr>
        <w:tc>
          <w:tcPr>
            <w:tcW w:w="1188" w:type="dxa"/>
            <w:vMerge/>
            <w:vAlign w:val="center"/>
          </w:tcPr>
          <w:p w:rsidR="004024EC" w:rsidRPr="00790B52" w:rsidRDefault="004024EC" w:rsidP="006368A2">
            <w:pPr>
              <w:ind w:left="270"/>
              <w:rPr>
                <w:sz w:val="20"/>
              </w:rPr>
            </w:pPr>
          </w:p>
        </w:tc>
        <w:tc>
          <w:tcPr>
            <w:tcW w:w="1170" w:type="dxa"/>
            <w:tcBorders>
              <w:top w:val="nil"/>
              <w:bottom w:val="nil"/>
            </w:tcBorders>
            <w:vAlign w:val="center"/>
          </w:tcPr>
          <w:p w:rsidR="004024EC" w:rsidRPr="00790B52" w:rsidRDefault="004024EC" w:rsidP="006368A2">
            <w:pPr>
              <w:rPr>
                <w:sz w:val="20"/>
              </w:rPr>
            </w:pPr>
            <w:r w:rsidRPr="00790B52">
              <w:rPr>
                <w:sz w:val="20"/>
              </w:rPr>
              <w:t>St. Bernard</w:t>
            </w:r>
          </w:p>
        </w:tc>
        <w:tc>
          <w:tcPr>
            <w:tcW w:w="918" w:type="dxa"/>
            <w:tcBorders>
              <w:top w:val="nil"/>
              <w:bottom w:val="nil"/>
            </w:tcBorders>
            <w:vAlign w:val="center"/>
          </w:tcPr>
          <w:p w:rsidR="004024EC" w:rsidRPr="00810B1C" w:rsidRDefault="004024EC" w:rsidP="006368A2">
            <w:pPr>
              <w:jc w:val="center"/>
              <w:rPr>
                <w:sz w:val="20"/>
              </w:rPr>
            </w:pPr>
            <w:proofErr w:type="spellStart"/>
            <w:r>
              <w:rPr>
                <w:sz w:val="20"/>
              </w:rPr>
              <w:t>na</w:t>
            </w:r>
            <w:proofErr w:type="spellEnd"/>
          </w:p>
        </w:tc>
        <w:tc>
          <w:tcPr>
            <w:tcW w:w="918" w:type="dxa"/>
            <w:tcBorders>
              <w:top w:val="nil"/>
              <w:bottom w:val="nil"/>
            </w:tcBorders>
            <w:vAlign w:val="center"/>
          </w:tcPr>
          <w:p w:rsidR="004024EC" w:rsidRPr="00810B1C" w:rsidRDefault="004024EC" w:rsidP="006368A2">
            <w:pPr>
              <w:jc w:val="center"/>
              <w:rPr>
                <w:sz w:val="20"/>
              </w:rPr>
            </w:pPr>
            <w:r w:rsidRPr="00810B1C">
              <w:rPr>
                <w:sz w:val="20"/>
              </w:rPr>
              <w:t>--</w:t>
            </w:r>
          </w:p>
        </w:tc>
        <w:tc>
          <w:tcPr>
            <w:tcW w:w="918" w:type="dxa"/>
            <w:tcBorders>
              <w:top w:val="nil"/>
              <w:bottom w:val="nil"/>
            </w:tcBorders>
            <w:vAlign w:val="center"/>
          </w:tcPr>
          <w:p w:rsidR="004024EC" w:rsidRPr="00810B1C" w:rsidRDefault="004024EC" w:rsidP="006368A2">
            <w:pPr>
              <w:jc w:val="center"/>
              <w:rPr>
                <w:sz w:val="20"/>
              </w:rPr>
            </w:pPr>
            <w:r w:rsidRPr="00810B1C">
              <w:rPr>
                <w:sz w:val="20"/>
              </w:rPr>
              <w:t>--</w:t>
            </w:r>
          </w:p>
        </w:tc>
        <w:tc>
          <w:tcPr>
            <w:tcW w:w="918" w:type="dxa"/>
            <w:tcBorders>
              <w:top w:val="nil"/>
              <w:bottom w:val="nil"/>
            </w:tcBorders>
            <w:vAlign w:val="center"/>
          </w:tcPr>
          <w:p w:rsidR="004024EC" w:rsidRPr="00810B1C" w:rsidRDefault="004024EC" w:rsidP="006368A2">
            <w:pPr>
              <w:jc w:val="center"/>
              <w:rPr>
                <w:sz w:val="20"/>
              </w:rPr>
            </w:pPr>
            <w:proofErr w:type="spellStart"/>
            <w:r>
              <w:rPr>
                <w:sz w:val="20"/>
              </w:rPr>
              <w:t>na</w:t>
            </w:r>
            <w:proofErr w:type="spellEnd"/>
          </w:p>
        </w:tc>
        <w:tc>
          <w:tcPr>
            <w:tcW w:w="918" w:type="dxa"/>
            <w:tcBorders>
              <w:top w:val="nil"/>
              <w:bottom w:val="nil"/>
            </w:tcBorders>
            <w:vAlign w:val="center"/>
          </w:tcPr>
          <w:p w:rsidR="004024EC" w:rsidRPr="00810B1C" w:rsidRDefault="004024EC" w:rsidP="006368A2">
            <w:pPr>
              <w:jc w:val="center"/>
              <w:rPr>
                <w:sz w:val="20"/>
              </w:rPr>
            </w:pPr>
            <w:r w:rsidRPr="00810B1C">
              <w:rPr>
                <w:sz w:val="20"/>
              </w:rPr>
              <w:t>--</w:t>
            </w:r>
          </w:p>
        </w:tc>
        <w:tc>
          <w:tcPr>
            <w:tcW w:w="918" w:type="dxa"/>
            <w:tcBorders>
              <w:top w:val="nil"/>
              <w:bottom w:val="nil"/>
            </w:tcBorders>
            <w:vAlign w:val="center"/>
          </w:tcPr>
          <w:p w:rsidR="004024EC" w:rsidRPr="00810B1C" w:rsidRDefault="004024EC" w:rsidP="006368A2">
            <w:pPr>
              <w:jc w:val="center"/>
              <w:rPr>
                <w:sz w:val="20"/>
              </w:rPr>
            </w:pPr>
            <w:r w:rsidRPr="00810B1C">
              <w:rPr>
                <w:sz w:val="20"/>
              </w:rPr>
              <w:t>--</w:t>
            </w:r>
          </w:p>
        </w:tc>
      </w:tr>
      <w:tr w:rsidR="004024EC" w:rsidRPr="00790B52" w:rsidTr="006368A2">
        <w:trPr>
          <w:cantSplit/>
          <w:jc w:val="center"/>
        </w:trPr>
        <w:tc>
          <w:tcPr>
            <w:tcW w:w="1188" w:type="dxa"/>
            <w:vMerge/>
            <w:vAlign w:val="center"/>
          </w:tcPr>
          <w:p w:rsidR="004024EC" w:rsidRPr="00790B52" w:rsidRDefault="004024EC" w:rsidP="006368A2">
            <w:pPr>
              <w:ind w:left="270"/>
              <w:rPr>
                <w:sz w:val="20"/>
              </w:rPr>
            </w:pPr>
          </w:p>
        </w:tc>
        <w:tc>
          <w:tcPr>
            <w:tcW w:w="1170" w:type="dxa"/>
            <w:tcBorders>
              <w:top w:val="nil"/>
              <w:bottom w:val="single" w:sz="4" w:space="0" w:color="auto"/>
            </w:tcBorders>
            <w:vAlign w:val="center"/>
          </w:tcPr>
          <w:p w:rsidR="004024EC" w:rsidRPr="00790B52" w:rsidRDefault="004024EC" w:rsidP="006368A2">
            <w:pPr>
              <w:rPr>
                <w:sz w:val="20"/>
              </w:rPr>
            </w:pPr>
            <w:r w:rsidRPr="00790B52">
              <w:rPr>
                <w:sz w:val="20"/>
              </w:rPr>
              <w:t>Statewide</w:t>
            </w:r>
          </w:p>
        </w:tc>
        <w:tc>
          <w:tcPr>
            <w:tcW w:w="918" w:type="dxa"/>
            <w:tcBorders>
              <w:top w:val="nil"/>
              <w:bottom w:val="single" w:sz="4" w:space="0" w:color="auto"/>
            </w:tcBorders>
            <w:vAlign w:val="center"/>
          </w:tcPr>
          <w:p w:rsidR="004024EC" w:rsidRPr="00810B1C" w:rsidRDefault="004024EC" w:rsidP="006368A2">
            <w:pPr>
              <w:jc w:val="center"/>
              <w:rPr>
                <w:sz w:val="20"/>
              </w:rPr>
            </w:pPr>
            <w:proofErr w:type="spellStart"/>
            <w:r>
              <w:rPr>
                <w:sz w:val="20"/>
              </w:rPr>
              <w:t>na</w:t>
            </w:r>
            <w:proofErr w:type="spellEnd"/>
          </w:p>
        </w:tc>
        <w:tc>
          <w:tcPr>
            <w:tcW w:w="918" w:type="dxa"/>
            <w:tcBorders>
              <w:top w:val="nil"/>
              <w:bottom w:val="single" w:sz="4" w:space="0" w:color="auto"/>
            </w:tcBorders>
            <w:vAlign w:val="center"/>
          </w:tcPr>
          <w:p w:rsidR="004024EC" w:rsidRPr="00810B1C" w:rsidRDefault="004024EC" w:rsidP="006368A2">
            <w:pPr>
              <w:jc w:val="center"/>
              <w:rPr>
                <w:sz w:val="20"/>
              </w:rPr>
            </w:pPr>
            <w:r w:rsidRPr="00810B1C">
              <w:rPr>
                <w:sz w:val="20"/>
              </w:rPr>
              <w:t>5.6</w:t>
            </w:r>
            <w:r w:rsidRPr="00B9783E">
              <w:rPr>
                <w:sz w:val="20"/>
              </w:rPr>
              <w:t>*</w:t>
            </w:r>
          </w:p>
        </w:tc>
        <w:tc>
          <w:tcPr>
            <w:tcW w:w="918" w:type="dxa"/>
            <w:tcBorders>
              <w:top w:val="nil"/>
              <w:bottom w:val="single" w:sz="4" w:space="0" w:color="auto"/>
            </w:tcBorders>
            <w:vAlign w:val="center"/>
          </w:tcPr>
          <w:p w:rsidR="004024EC" w:rsidRPr="00810B1C" w:rsidRDefault="004024EC" w:rsidP="006368A2">
            <w:pPr>
              <w:jc w:val="center"/>
              <w:rPr>
                <w:sz w:val="20"/>
              </w:rPr>
            </w:pPr>
            <w:r w:rsidRPr="00810B1C">
              <w:rPr>
                <w:sz w:val="20"/>
              </w:rPr>
              <w:t>5.0</w:t>
            </w:r>
          </w:p>
        </w:tc>
        <w:tc>
          <w:tcPr>
            <w:tcW w:w="918" w:type="dxa"/>
            <w:tcBorders>
              <w:top w:val="nil"/>
              <w:bottom w:val="single" w:sz="4" w:space="0" w:color="auto"/>
            </w:tcBorders>
            <w:vAlign w:val="center"/>
          </w:tcPr>
          <w:p w:rsidR="004024EC" w:rsidRPr="00810B1C" w:rsidRDefault="004024EC" w:rsidP="006368A2">
            <w:pPr>
              <w:jc w:val="center"/>
              <w:rPr>
                <w:sz w:val="20"/>
              </w:rPr>
            </w:pPr>
            <w:proofErr w:type="spellStart"/>
            <w:r>
              <w:rPr>
                <w:sz w:val="20"/>
              </w:rPr>
              <w:t>na</w:t>
            </w:r>
            <w:proofErr w:type="spellEnd"/>
          </w:p>
        </w:tc>
        <w:tc>
          <w:tcPr>
            <w:tcW w:w="918" w:type="dxa"/>
            <w:tcBorders>
              <w:top w:val="nil"/>
              <w:bottom w:val="single" w:sz="4" w:space="0" w:color="auto"/>
            </w:tcBorders>
            <w:vAlign w:val="center"/>
          </w:tcPr>
          <w:p w:rsidR="004024EC" w:rsidRPr="00810B1C" w:rsidRDefault="004024EC" w:rsidP="006368A2">
            <w:pPr>
              <w:jc w:val="center"/>
              <w:rPr>
                <w:sz w:val="20"/>
              </w:rPr>
            </w:pPr>
            <w:r w:rsidRPr="00810B1C">
              <w:rPr>
                <w:sz w:val="20"/>
              </w:rPr>
              <w:t>6.6</w:t>
            </w:r>
            <w:r w:rsidRPr="00B9783E">
              <w:rPr>
                <w:sz w:val="20"/>
              </w:rPr>
              <w:t>*</w:t>
            </w:r>
          </w:p>
        </w:tc>
        <w:tc>
          <w:tcPr>
            <w:tcW w:w="918" w:type="dxa"/>
            <w:tcBorders>
              <w:top w:val="nil"/>
              <w:bottom w:val="single" w:sz="4" w:space="0" w:color="auto"/>
            </w:tcBorders>
            <w:vAlign w:val="center"/>
          </w:tcPr>
          <w:p w:rsidR="004024EC" w:rsidRPr="00810B1C" w:rsidRDefault="004024EC" w:rsidP="006368A2">
            <w:pPr>
              <w:jc w:val="center"/>
              <w:rPr>
                <w:sz w:val="20"/>
              </w:rPr>
            </w:pPr>
            <w:r w:rsidRPr="00810B1C">
              <w:rPr>
                <w:sz w:val="20"/>
              </w:rPr>
              <w:t>6.1</w:t>
            </w:r>
            <w:r w:rsidRPr="00B9783E">
              <w:rPr>
                <w:sz w:val="20"/>
              </w:rPr>
              <w:t>*</w:t>
            </w:r>
          </w:p>
        </w:tc>
      </w:tr>
      <w:tr w:rsidR="004024EC" w:rsidRPr="00790B52" w:rsidTr="006368A2">
        <w:trPr>
          <w:cantSplit/>
          <w:jc w:val="center"/>
        </w:trPr>
        <w:tc>
          <w:tcPr>
            <w:tcW w:w="7866" w:type="dxa"/>
            <w:gridSpan w:val="8"/>
            <w:tcBorders>
              <w:top w:val="single" w:sz="4" w:space="0" w:color="auto"/>
            </w:tcBorders>
            <w:vAlign w:val="center"/>
          </w:tcPr>
          <w:p w:rsidR="004024EC" w:rsidRPr="00071C00" w:rsidRDefault="004024EC" w:rsidP="006368A2">
            <w:pPr>
              <w:rPr>
                <w:sz w:val="18"/>
                <w:szCs w:val="18"/>
              </w:rPr>
            </w:pPr>
            <w:r w:rsidRPr="00071C00">
              <w:rPr>
                <w:b/>
                <w:sz w:val="18"/>
                <w:szCs w:val="18"/>
                <w:u w:val="single"/>
              </w:rPr>
              <w:t>Caution</w:t>
            </w:r>
            <w:r w:rsidRPr="00071C00">
              <w:rPr>
                <w:sz w:val="18"/>
                <w:szCs w:val="18"/>
              </w:rPr>
              <w:t>: Figures based on less than a 30% completion rate cannot be considered representative; figures based on completion between 30% and 50% should be interpreted with caution. The completion rate is defined as the percent of enrolled students who complete a valid survey.</w:t>
            </w:r>
          </w:p>
          <w:p w:rsidR="004024EC" w:rsidRPr="00071C00" w:rsidRDefault="004024EC" w:rsidP="006368A2">
            <w:pPr>
              <w:rPr>
                <w:sz w:val="18"/>
                <w:szCs w:val="18"/>
              </w:rPr>
            </w:pPr>
            <w:proofErr w:type="gramStart"/>
            <w:r w:rsidRPr="00071C00">
              <w:rPr>
                <w:b/>
                <w:sz w:val="18"/>
                <w:szCs w:val="18"/>
              </w:rPr>
              <w:t xml:space="preserve"># </w:t>
            </w:r>
            <w:r w:rsidRPr="00071C00">
              <w:rPr>
                <w:sz w:val="18"/>
                <w:szCs w:val="18"/>
              </w:rPr>
              <w:t xml:space="preserve"> Completion</w:t>
            </w:r>
            <w:proofErr w:type="gramEnd"/>
            <w:r w:rsidRPr="00071C00">
              <w:rPr>
                <w:sz w:val="18"/>
                <w:szCs w:val="18"/>
              </w:rPr>
              <w:t xml:space="preserve"> rate is less than 30%</w:t>
            </w:r>
            <w:r>
              <w:rPr>
                <w:sz w:val="18"/>
                <w:szCs w:val="18"/>
              </w:rPr>
              <w:t>;</w:t>
            </w:r>
            <w:r w:rsidRPr="00071C00">
              <w:rPr>
                <w:sz w:val="18"/>
                <w:szCs w:val="18"/>
              </w:rPr>
              <w:t xml:space="preserve">     </w:t>
            </w:r>
            <w:r w:rsidRPr="00071C00">
              <w:rPr>
                <w:b/>
                <w:sz w:val="18"/>
                <w:szCs w:val="18"/>
              </w:rPr>
              <w:t>*</w:t>
            </w:r>
            <w:r w:rsidRPr="00071C00">
              <w:rPr>
                <w:sz w:val="18"/>
                <w:szCs w:val="18"/>
              </w:rPr>
              <w:t xml:space="preserve"> Completion rate is less than 50%, but 30% or greater.</w:t>
            </w:r>
          </w:p>
          <w:p w:rsidR="004024EC" w:rsidRDefault="004024EC" w:rsidP="006368A2">
            <w:pPr>
              <w:rPr>
                <w:sz w:val="18"/>
                <w:szCs w:val="18"/>
              </w:rPr>
            </w:pPr>
            <w:r w:rsidRPr="00071C00">
              <w:rPr>
                <w:sz w:val="18"/>
                <w:szCs w:val="18"/>
              </w:rPr>
              <w:t>No statistics are available for St. Bernard Parish.</w:t>
            </w:r>
          </w:p>
          <w:p w:rsidR="004024EC" w:rsidRPr="00071C00" w:rsidRDefault="004024EC" w:rsidP="006368A2">
            <w:pPr>
              <w:rPr>
                <w:sz w:val="18"/>
                <w:szCs w:val="18"/>
              </w:rPr>
            </w:pPr>
            <w:proofErr w:type="spellStart"/>
            <w:proofErr w:type="gramStart"/>
            <w:r>
              <w:rPr>
                <w:sz w:val="18"/>
                <w:szCs w:val="18"/>
              </w:rPr>
              <w:t>na</w:t>
            </w:r>
            <w:proofErr w:type="spellEnd"/>
            <w:proofErr w:type="gramEnd"/>
            <w:r>
              <w:rPr>
                <w:sz w:val="18"/>
                <w:szCs w:val="18"/>
              </w:rPr>
              <w:t xml:space="preserve"> – This question was not asked for this year.</w:t>
            </w:r>
          </w:p>
          <w:p w:rsidR="004024EC" w:rsidRPr="00384D67" w:rsidRDefault="004024EC" w:rsidP="006368A2">
            <w:pPr>
              <w:rPr>
                <w:sz w:val="18"/>
                <w:szCs w:val="18"/>
                <w:highlight w:val="yellow"/>
              </w:rPr>
            </w:pPr>
            <w:r w:rsidRPr="00071C00">
              <w:rPr>
                <w:sz w:val="18"/>
                <w:szCs w:val="18"/>
              </w:rPr>
              <w:t xml:space="preserve">Data Source: Louisiana Social Indicators - </w:t>
            </w:r>
            <w:hyperlink r:id="rId8" w:history="1">
              <w:r w:rsidRPr="00071C00">
                <w:rPr>
                  <w:rStyle w:val="Hyperlink"/>
                  <w:sz w:val="18"/>
                  <w:szCs w:val="18"/>
                </w:rPr>
                <w:t>http://www.bach-harrison.com/lasocialindicators</w:t>
              </w:r>
            </w:hyperlink>
            <w:r w:rsidRPr="00071C00">
              <w:rPr>
                <w:sz w:val="18"/>
                <w:szCs w:val="18"/>
              </w:rPr>
              <w:t xml:space="preserve"> (7/5/2013).</w:t>
            </w:r>
          </w:p>
        </w:tc>
      </w:tr>
    </w:tbl>
    <w:p w:rsidR="000F7581" w:rsidRDefault="000F7581" w:rsidP="000F7581"/>
    <w:p w:rsidR="00701328" w:rsidRDefault="00701328" w:rsidP="000F7581"/>
    <w:p w:rsidR="0042293D" w:rsidRPr="0042293D" w:rsidRDefault="0042293D" w:rsidP="0042293D">
      <w:r w:rsidRPr="0042293D">
        <w:t xml:space="preserve">Many students who use illegal drugs also sell them to other, often younger, students. Even just procuring drugs for close friends puts the student in jeopardy of felony prosecution. </w:t>
      </w:r>
      <w:r w:rsidR="00701328">
        <w:t>Statewide</w:t>
      </w:r>
      <w:r w:rsidRPr="0042293D">
        <w:t xml:space="preserve">, </w:t>
      </w:r>
      <w:r w:rsidR="00701328">
        <w:t>5</w:t>
      </w:r>
      <w:r w:rsidRPr="0042293D">
        <w:t xml:space="preserve"> </w:t>
      </w:r>
      <w:r w:rsidRPr="0042293D">
        <w:lastRenderedPageBreak/>
        <w:t>percent of 10</w:t>
      </w:r>
      <w:r w:rsidRPr="0042293D">
        <w:rPr>
          <w:vertAlign w:val="superscript"/>
        </w:rPr>
        <w:t>th</w:t>
      </w:r>
      <w:r w:rsidRPr="0042293D">
        <w:t xml:space="preserve"> grade students have </w:t>
      </w:r>
      <w:r w:rsidRPr="0042293D">
        <w:rPr>
          <w:b/>
        </w:rPr>
        <w:t>sold illegal drugs</w:t>
      </w:r>
      <w:r w:rsidRPr="0042293D">
        <w:t xml:space="preserve"> in the past year</w:t>
      </w:r>
      <w:r w:rsidR="00EB46AE">
        <w:t>, based on the 2012 CCYS survey</w:t>
      </w:r>
      <w:r w:rsidRPr="0042293D">
        <w:t>. Among 12</w:t>
      </w:r>
      <w:r w:rsidRPr="0042293D">
        <w:rPr>
          <w:vertAlign w:val="superscript"/>
        </w:rPr>
        <w:t>th</w:t>
      </w:r>
      <w:r w:rsidRPr="0042293D">
        <w:t xml:space="preserve"> grade students, 6</w:t>
      </w:r>
      <w:r w:rsidR="00701328">
        <w:t xml:space="preserve"> percent</w:t>
      </w:r>
      <w:r w:rsidRPr="0042293D">
        <w:t xml:space="preserve"> have sold illegal drugs in the past year.</w:t>
      </w:r>
    </w:p>
    <w:p w:rsidR="004024EC" w:rsidRDefault="004024EC" w:rsidP="000F7581"/>
    <w:p w:rsidR="00701328" w:rsidRPr="00701328" w:rsidRDefault="00701328" w:rsidP="00701328">
      <w:r w:rsidRPr="00701328">
        <w:t>In Greater New Orleans, about 6 percent of 10</w:t>
      </w:r>
      <w:r w:rsidRPr="00701328">
        <w:rPr>
          <w:vertAlign w:val="superscript"/>
        </w:rPr>
        <w:t>th</w:t>
      </w:r>
      <w:r w:rsidRPr="00701328">
        <w:t xml:space="preserve"> grade students have </w:t>
      </w:r>
      <w:r w:rsidRPr="00701328">
        <w:rPr>
          <w:b/>
        </w:rPr>
        <w:t>sold illegal drugs</w:t>
      </w:r>
      <w:r w:rsidRPr="00701328">
        <w:t xml:space="preserve"> in the past year. Among 12</w:t>
      </w:r>
      <w:r w:rsidRPr="00701328">
        <w:rPr>
          <w:vertAlign w:val="superscript"/>
        </w:rPr>
        <w:t>th</w:t>
      </w:r>
      <w:r w:rsidRPr="00701328">
        <w:t xml:space="preserve"> grade students, </w:t>
      </w:r>
      <w:r w:rsidR="00EB46AE" w:rsidRPr="00701328">
        <w:t>a similar proportion (about 6%) has</w:t>
      </w:r>
      <w:r w:rsidRPr="00701328">
        <w:t xml:space="preserve"> sold illegal drugs in the past year.</w:t>
      </w:r>
    </w:p>
    <w:p w:rsidR="00701328" w:rsidRDefault="00701328" w:rsidP="000F7581"/>
    <w:p w:rsidR="004024EC" w:rsidRDefault="004024EC" w:rsidP="000F7581"/>
    <w:p w:rsidR="001D37F8" w:rsidRPr="000F7581" w:rsidRDefault="001D37F8" w:rsidP="001D37F8">
      <w:r w:rsidRPr="000F7581">
        <w:rPr>
          <w:b/>
        </w:rPr>
        <w:t>Contact for Further Information</w:t>
      </w:r>
    </w:p>
    <w:p w:rsidR="001D37F8" w:rsidRPr="00F91F8A" w:rsidRDefault="001D37F8" w:rsidP="001D37F8"/>
    <w:p w:rsidR="001D37F8" w:rsidRPr="00F91F8A" w:rsidRDefault="00965E81" w:rsidP="001D37F8">
      <w:hyperlink r:id="rId9" w:history="1">
        <w:r w:rsidR="001D37F8" w:rsidRPr="00F91F8A">
          <w:rPr>
            <w:rStyle w:val="Hyperlink"/>
          </w:rPr>
          <w:t>http://picardcenter.org/ResearchAreas/QualityOfLife/CCYS/Pages/CCYS_default.aspx</w:t>
        </w:r>
      </w:hyperlink>
    </w:p>
    <w:p w:rsidR="001D37F8" w:rsidRPr="00F91F8A" w:rsidRDefault="001D37F8" w:rsidP="001D37F8"/>
    <w:p w:rsidR="00D4208D" w:rsidRPr="00D4208D" w:rsidRDefault="001D37F8" w:rsidP="00D4208D">
      <w:pPr>
        <w:rPr>
          <w:sz w:val="20"/>
        </w:rPr>
      </w:pPr>
      <w:r w:rsidRPr="00F91F8A">
        <w:rPr>
          <w:sz w:val="20"/>
        </w:rPr>
        <w:t>Editor: Robert J Gallati (</w:t>
      </w:r>
      <w:hyperlink r:id="rId10" w:history="1">
        <w:r w:rsidRPr="00F91F8A">
          <w:rPr>
            <w:rStyle w:val="Hyperlink"/>
            <w:sz w:val="20"/>
          </w:rPr>
          <w:t>rjgallati@yahoo.com</w:t>
        </w:r>
      </w:hyperlink>
      <w:r w:rsidRPr="00F91F8A">
        <w:rPr>
          <w:sz w:val="20"/>
        </w:rPr>
        <w:t xml:space="preserve">), updated: </w:t>
      </w:r>
      <w:r w:rsidR="00D4208D" w:rsidRPr="00D4208D">
        <w:rPr>
          <w:sz w:val="20"/>
        </w:rPr>
        <w:t>1/31/14</w:t>
      </w:r>
    </w:p>
    <w:p w:rsidR="004F4264" w:rsidRPr="000F7581" w:rsidRDefault="004F4264" w:rsidP="001D37F8"/>
    <w:sectPr w:rsidR="004F4264" w:rsidRPr="000F7581" w:rsidSect="007214C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E81" w:rsidRDefault="00965E81" w:rsidP="001B31CC">
      <w:r>
        <w:separator/>
      </w:r>
    </w:p>
  </w:endnote>
  <w:endnote w:type="continuationSeparator" w:id="0">
    <w:p w:rsidR="00965E81" w:rsidRDefault="00965E81" w:rsidP="001B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A8" w:rsidRDefault="00A50B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1CC" w:rsidRDefault="00965E81">
    <w:pPr>
      <w:pStyle w:val="Footer"/>
    </w:pPr>
    <w:r>
      <w:fldChar w:fldCharType="begin"/>
    </w:r>
    <w:r>
      <w:instrText xml:space="preserve"> FILENAME   \* MERGEFORMAT </w:instrText>
    </w:r>
    <w:r>
      <w:fldChar w:fldCharType="separate"/>
    </w:r>
    <w:r w:rsidR="00501387" w:rsidRPr="00501387">
      <w:rPr>
        <w:noProof/>
        <w:sz w:val="18"/>
        <w:szCs w:val="18"/>
      </w:rPr>
      <w:t>5-0203_DUI+sales-CCYS_200140131.docx</w:t>
    </w:r>
    <w:r>
      <w:rPr>
        <w:noProof/>
        <w:sz w:val="18"/>
        <w:szCs w:val="18"/>
      </w:rPr>
      <w:fldChar w:fldCharType="end"/>
    </w:r>
    <w:r w:rsidR="001B31CC">
      <w:tab/>
    </w:r>
    <w:r w:rsidR="007214C6">
      <w:fldChar w:fldCharType="begin"/>
    </w:r>
    <w:r w:rsidR="001B31CC">
      <w:instrText xml:space="preserve"> PAGE   \* MERGEFORMAT </w:instrText>
    </w:r>
    <w:r w:rsidR="007214C6">
      <w:fldChar w:fldCharType="separate"/>
    </w:r>
    <w:r w:rsidR="00FC1B61">
      <w:rPr>
        <w:noProof/>
      </w:rPr>
      <w:t>1</w:t>
    </w:r>
    <w:r w:rsidR="007214C6">
      <w:fldChar w:fldCharType="end"/>
    </w:r>
    <w:r w:rsidR="001B31CC">
      <w:t xml:space="preserve"> of </w:t>
    </w:r>
    <w:r>
      <w:fldChar w:fldCharType="begin"/>
    </w:r>
    <w:r>
      <w:instrText xml:space="preserve"> NUMPAGES   \* MERGEFORMAT </w:instrText>
    </w:r>
    <w:r>
      <w:fldChar w:fldCharType="separate"/>
    </w:r>
    <w:r w:rsidR="00FC1B61">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A8" w:rsidRDefault="00A50B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E81" w:rsidRDefault="00965E81" w:rsidP="001B31CC">
      <w:r>
        <w:separator/>
      </w:r>
    </w:p>
  </w:footnote>
  <w:footnote w:type="continuationSeparator" w:id="0">
    <w:p w:rsidR="00965E81" w:rsidRDefault="00965E81" w:rsidP="001B31CC">
      <w:r>
        <w:continuationSeparator/>
      </w:r>
    </w:p>
  </w:footnote>
  <w:footnote w:id="1">
    <w:p w:rsidR="001D37F8" w:rsidRDefault="001D37F8" w:rsidP="001D37F8">
      <w:pPr>
        <w:pStyle w:val="FootnoteText"/>
      </w:pPr>
      <w:r>
        <w:rPr>
          <w:rStyle w:val="FootnoteReference"/>
        </w:rPr>
        <w:footnoteRef/>
      </w:r>
      <w:r>
        <w:t xml:space="preserve"> </w:t>
      </w:r>
      <w:r w:rsidRPr="00A9513A">
        <w:t>The CCYS uses a census survey method, attempting to survey all enrolled students.</w:t>
      </w:r>
      <w:r>
        <w:t xml:space="preserve"> Completion rate, as reporting in CCYS state and parish profiles, is the percent of enrolled students who complete a valid CCYS survey. This rate </w:t>
      </w:r>
      <w:r w:rsidRPr="006E5B17">
        <w:t xml:space="preserve">is affected by </w:t>
      </w:r>
      <w:r>
        <w:t>lack of school participation, student absences and inability to schedule all students to take the survey. See Appendix A for further information including grade and parish-specific completion rates by survey year.</w:t>
      </w:r>
    </w:p>
  </w:footnote>
  <w:footnote w:id="2">
    <w:p w:rsidR="00BA3878" w:rsidRDefault="00BA3878" w:rsidP="00BA3878">
      <w:pPr>
        <w:pStyle w:val="FootnoteText"/>
      </w:pPr>
      <w:r>
        <w:rPr>
          <w:rStyle w:val="FootnoteReference"/>
        </w:rPr>
        <w:footnoteRef/>
      </w:r>
      <w:r>
        <w:t xml:space="preserve"> In some cases, statistics for the 12</w:t>
      </w:r>
      <w:r w:rsidRPr="00B8754B">
        <w:rPr>
          <w:vertAlign w:val="superscript"/>
        </w:rPr>
        <w:t>th</w:t>
      </w:r>
      <w:r>
        <w:t xml:space="preserve"> grade will be lower than those for the 10</w:t>
      </w:r>
      <w:r w:rsidRPr="003C1D3B">
        <w:rPr>
          <w:vertAlign w:val="superscript"/>
        </w:rPr>
        <w:t>th</w:t>
      </w:r>
      <w:r>
        <w:t xml:space="preserve"> grade because many 16 and 17 year-olds are not enrolled in school, are absent from school, or have cut the class in which the CCYS survey was administered. Studies have shown that these students are more likely to use substances and experience negative consequences. Unlike the national Monitoring </w:t>
      </w:r>
      <w:proofErr w:type="gramStart"/>
      <w:r>
        <w:t>The</w:t>
      </w:r>
      <w:proofErr w:type="gramEnd"/>
      <w:r>
        <w:t xml:space="preserve"> Future survey, the CCYS does not statistically adjust 12</w:t>
      </w:r>
      <w:r w:rsidRPr="00B003AF">
        <w:rPr>
          <w:vertAlign w:val="superscript"/>
        </w:rPr>
        <w:t>th</w:t>
      </w:r>
      <w:r>
        <w:t xml:space="preserve"> grade data to account for drop-out and absences of high school seniors.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A8" w:rsidRDefault="00A50B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C1" w:rsidRDefault="000E3853">
    <w:pPr>
      <w:pStyle w:val="Header"/>
      <w:rPr>
        <w:b/>
      </w:rPr>
    </w:pPr>
    <w:r>
      <w:rPr>
        <w:b/>
      </w:rPr>
      <w:t xml:space="preserve">Greater New Orleans </w:t>
    </w:r>
    <w:r w:rsidR="006E4BC1" w:rsidRPr="006E4BC1">
      <w:rPr>
        <w:b/>
      </w:rPr>
      <w:t xml:space="preserve">Community Substance </w:t>
    </w:r>
    <w:r w:rsidR="004F4264">
      <w:rPr>
        <w:b/>
      </w:rPr>
      <w:t>U</w:t>
    </w:r>
    <w:r w:rsidR="006E4BC1" w:rsidRPr="006E4BC1">
      <w:rPr>
        <w:b/>
      </w:rPr>
      <w:t>se Health Profile</w:t>
    </w:r>
  </w:p>
  <w:p w:rsidR="00DD1E24" w:rsidRPr="006E4BC1" w:rsidRDefault="004024EC" w:rsidP="004024EC">
    <w:pPr>
      <w:pStyle w:val="Header"/>
      <w:rPr>
        <w:b/>
      </w:rPr>
    </w:pPr>
    <w:r w:rsidRPr="004024EC">
      <w:rPr>
        <w:b/>
      </w:rPr>
      <w:t>Consequences of Substance Use – Public Safety and Enforcement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A8" w:rsidRDefault="00A50B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21B"/>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7339B4"/>
    <w:multiLevelType w:val="hybridMultilevel"/>
    <w:tmpl w:val="FECC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3">
    <w:nsid w:val="25C408A7"/>
    <w:multiLevelType w:val="hybridMultilevel"/>
    <w:tmpl w:val="58A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6087E"/>
    <w:multiLevelType w:val="multilevel"/>
    <w:tmpl w:val="17DA4E82"/>
    <w:lvl w:ilvl="0">
      <w:start w:val="9"/>
      <w:numFmt w:val="decimal"/>
      <w:lvlText w:val="%1."/>
      <w:lvlJc w:val="left"/>
      <w:pPr>
        <w:tabs>
          <w:tab w:val="left" w:pos="288"/>
        </w:tabs>
        <w:ind w:left="720"/>
      </w:pPr>
      <w:rPr>
        <w:rFonts w:ascii="Times New Roman" w:eastAsia="Times New Roman" w:hAnsi="Times New Roman"/>
        <w:b/>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EC4815"/>
    <w:multiLevelType w:val="multilevel"/>
    <w:tmpl w:val="14D6A2CC"/>
    <w:lvl w:ilvl="0">
      <w:start w:val="1"/>
      <w:numFmt w:val="bullet"/>
      <w:lvlText w:val="o"/>
      <w:lvlJc w:val="left"/>
      <w:pPr>
        <w:tabs>
          <w:tab w:val="left" w:pos="360"/>
        </w:tabs>
        <w:ind w:left="720"/>
      </w:pPr>
      <w:rPr>
        <w:rFonts w:ascii="Courier New" w:eastAsia="Courier New" w:hAnsi="Courier New"/>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12437A"/>
    <w:multiLevelType w:val="hybridMultilevel"/>
    <w:tmpl w:val="A7E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76534"/>
    <w:multiLevelType w:val="multilevel"/>
    <w:tmpl w:val="7788092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025D1"/>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9D1D32"/>
    <w:multiLevelType w:val="multilevel"/>
    <w:tmpl w:val="9E0E08C2"/>
    <w:lvl w:ilvl="0">
      <w:start w:val="7"/>
      <w:numFmt w:val="decimal"/>
      <w:lvlText w:val="%1."/>
      <w:lvlJc w:val="left"/>
      <w:pPr>
        <w:tabs>
          <w:tab w:val="left" w:pos="432"/>
        </w:tabs>
        <w:ind w:left="720"/>
      </w:pPr>
      <w:rPr>
        <w:rFonts w:ascii="Times New Roman" w:eastAsia="Times New Roman" w:hAnsi="Times New Roman"/>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7"/>
  </w:num>
  <w:num w:numId="4">
    <w:abstractNumId w:val="5"/>
  </w:num>
  <w:num w:numId="5">
    <w:abstractNumId w:val="9"/>
  </w:num>
  <w:num w:numId="6">
    <w:abstractNumId w:val="0"/>
  </w:num>
  <w:num w:numId="7">
    <w:abstractNumId w:val="10"/>
  </w:num>
  <w:num w:numId="8">
    <w:abstractNumId w:val="4"/>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231AC"/>
    <w:rsid w:val="00034184"/>
    <w:rsid w:val="0004249E"/>
    <w:rsid w:val="00047859"/>
    <w:rsid w:val="0005363D"/>
    <w:rsid w:val="000726C0"/>
    <w:rsid w:val="000C092D"/>
    <w:rsid w:val="000D188F"/>
    <w:rsid w:val="000E3853"/>
    <w:rsid w:val="000F3280"/>
    <w:rsid w:val="000F7581"/>
    <w:rsid w:val="001440D4"/>
    <w:rsid w:val="0015747A"/>
    <w:rsid w:val="001B31CC"/>
    <w:rsid w:val="001D37F8"/>
    <w:rsid w:val="001E7474"/>
    <w:rsid w:val="00202AD8"/>
    <w:rsid w:val="00213B5A"/>
    <w:rsid w:val="002315F0"/>
    <w:rsid w:val="002318EB"/>
    <w:rsid w:val="0024791A"/>
    <w:rsid w:val="002517AA"/>
    <w:rsid w:val="002838EF"/>
    <w:rsid w:val="0028675C"/>
    <w:rsid w:val="002B140C"/>
    <w:rsid w:val="002C5D2D"/>
    <w:rsid w:val="002F1A7B"/>
    <w:rsid w:val="00302423"/>
    <w:rsid w:val="003057A8"/>
    <w:rsid w:val="003348D2"/>
    <w:rsid w:val="0036519E"/>
    <w:rsid w:val="00392126"/>
    <w:rsid w:val="0039218D"/>
    <w:rsid w:val="003D7190"/>
    <w:rsid w:val="004024EC"/>
    <w:rsid w:val="0042293D"/>
    <w:rsid w:val="00437FAA"/>
    <w:rsid w:val="004A474C"/>
    <w:rsid w:val="004D57B2"/>
    <w:rsid w:val="004E7EF2"/>
    <w:rsid w:val="004F4264"/>
    <w:rsid w:val="00501387"/>
    <w:rsid w:val="00546230"/>
    <w:rsid w:val="00563573"/>
    <w:rsid w:val="005917EF"/>
    <w:rsid w:val="005F5F2E"/>
    <w:rsid w:val="0060239C"/>
    <w:rsid w:val="00650C16"/>
    <w:rsid w:val="00684CF0"/>
    <w:rsid w:val="00693BBB"/>
    <w:rsid w:val="00694BCF"/>
    <w:rsid w:val="0069748D"/>
    <w:rsid w:val="006A65C8"/>
    <w:rsid w:val="006B22A9"/>
    <w:rsid w:val="006B2887"/>
    <w:rsid w:val="006D4F96"/>
    <w:rsid w:val="006E4BC1"/>
    <w:rsid w:val="00701328"/>
    <w:rsid w:val="007214C6"/>
    <w:rsid w:val="00722A7F"/>
    <w:rsid w:val="007439F1"/>
    <w:rsid w:val="0075355D"/>
    <w:rsid w:val="007619DF"/>
    <w:rsid w:val="00773E3F"/>
    <w:rsid w:val="007A023C"/>
    <w:rsid w:val="007B66FD"/>
    <w:rsid w:val="008020DA"/>
    <w:rsid w:val="00812E90"/>
    <w:rsid w:val="00815BB8"/>
    <w:rsid w:val="008302C3"/>
    <w:rsid w:val="008324A9"/>
    <w:rsid w:val="00843D1D"/>
    <w:rsid w:val="00862080"/>
    <w:rsid w:val="008D578E"/>
    <w:rsid w:val="008F74AA"/>
    <w:rsid w:val="0094555E"/>
    <w:rsid w:val="00952A84"/>
    <w:rsid w:val="0096217B"/>
    <w:rsid w:val="00962F2E"/>
    <w:rsid w:val="00965E81"/>
    <w:rsid w:val="00975E1E"/>
    <w:rsid w:val="00985016"/>
    <w:rsid w:val="009C021D"/>
    <w:rsid w:val="009C039F"/>
    <w:rsid w:val="009C534C"/>
    <w:rsid w:val="009D1DAB"/>
    <w:rsid w:val="009E292F"/>
    <w:rsid w:val="00A024A5"/>
    <w:rsid w:val="00A02D06"/>
    <w:rsid w:val="00A06288"/>
    <w:rsid w:val="00A37AD2"/>
    <w:rsid w:val="00A4227B"/>
    <w:rsid w:val="00A50BA8"/>
    <w:rsid w:val="00A76A95"/>
    <w:rsid w:val="00A85D4E"/>
    <w:rsid w:val="00A8644E"/>
    <w:rsid w:val="00AB44E8"/>
    <w:rsid w:val="00AC3FD1"/>
    <w:rsid w:val="00AD6173"/>
    <w:rsid w:val="00AF5A02"/>
    <w:rsid w:val="00B03D3C"/>
    <w:rsid w:val="00B3520F"/>
    <w:rsid w:val="00B964DB"/>
    <w:rsid w:val="00BA3878"/>
    <w:rsid w:val="00BB36AD"/>
    <w:rsid w:val="00BC0572"/>
    <w:rsid w:val="00BD41FF"/>
    <w:rsid w:val="00C13A65"/>
    <w:rsid w:val="00C17E6A"/>
    <w:rsid w:val="00C26DD8"/>
    <w:rsid w:val="00C33589"/>
    <w:rsid w:val="00C338CA"/>
    <w:rsid w:val="00C42104"/>
    <w:rsid w:val="00C64A71"/>
    <w:rsid w:val="00C81ED2"/>
    <w:rsid w:val="00CB19AA"/>
    <w:rsid w:val="00CC58D0"/>
    <w:rsid w:val="00CD7908"/>
    <w:rsid w:val="00CF5D44"/>
    <w:rsid w:val="00D146B2"/>
    <w:rsid w:val="00D4208D"/>
    <w:rsid w:val="00D66870"/>
    <w:rsid w:val="00DC0DE1"/>
    <w:rsid w:val="00DD1E24"/>
    <w:rsid w:val="00DF1139"/>
    <w:rsid w:val="00E77285"/>
    <w:rsid w:val="00E81BD9"/>
    <w:rsid w:val="00E82620"/>
    <w:rsid w:val="00E8405F"/>
    <w:rsid w:val="00E95D8C"/>
    <w:rsid w:val="00EA430E"/>
    <w:rsid w:val="00EB2A9A"/>
    <w:rsid w:val="00EB46AE"/>
    <w:rsid w:val="00EB71B1"/>
    <w:rsid w:val="00EC04F1"/>
    <w:rsid w:val="00EC5CFD"/>
    <w:rsid w:val="00EE6935"/>
    <w:rsid w:val="00EF0510"/>
    <w:rsid w:val="00F25411"/>
    <w:rsid w:val="00F7602E"/>
    <w:rsid w:val="00F77D5B"/>
    <w:rsid w:val="00F94B0C"/>
    <w:rsid w:val="00FA1B45"/>
    <w:rsid w:val="00FA1C4F"/>
    <w:rsid w:val="00FB20B9"/>
    <w:rsid w:val="00FB48D1"/>
    <w:rsid w:val="00FB615F"/>
    <w:rsid w:val="00FC1B61"/>
    <w:rsid w:val="00FE43A9"/>
    <w:rsid w:val="00FF1978"/>
    <w:rsid w:val="00FF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ch-harrison.com/lasocialindicators"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jgallati@yahoo.com" TargetMode="External"/><Relationship Id="rId4" Type="http://schemas.openxmlformats.org/officeDocument/2006/relationships/settings" Target="settings.xml"/><Relationship Id="rId9" Type="http://schemas.openxmlformats.org/officeDocument/2006/relationships/hyperlink" Target="http://picardcenter.org/ResearchAreas/QualityOfLife/CCYS/Pages/CCYS_default.aspx"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21</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7</cp:revision>
  <cp:lastPrinted>2014-01-09T00:19:00Z</cp:lastPrinted>
  <dcterms:created xsi:type="dcterms:W3CDTF">2014-02-13T06:37:00Z</dcterms:created>
  <dcterms:modified xsi:type="dcterms:W3CDTF">2014-02-13T14:41:00Z</dcterms:modified>
</cp:coreProperties>
</file>