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BC1" w:rsidRDefault="006E4BC1" w:rsidP="00034184">
      <w:pPr>
        <w:jc w:val="center"/>
        <w:rPr>
          <w:b/>
          <w:sz w:val="28"/>
          <w:szCs w:val="28"/>
        </w:rPr>
      </w:pPr>
    </w:p>
    <w:p w:rsidR="009B56F8" w:rsidRDefault="009B56F8" w:rsidP="00034184">
      <w:pPr>
        <w:jc w:val="center"/>
        <w:rPr>
          <w:b/>
          <w:sz w:val="28"/>
          <w:szCs w:val="28"/>
        </w:rPr>
      </w:pPr>
    </w:p>
    <w:p w:rsidR="00034184" w:rsidRPr="00C33589" w:rsidRDefault="00EC768A" w:rsidP="00034184">
      <w:pPr>
        <w:jc w:val="center"/>
        <w:rPr>
          <w:b/>
          <w:sz w:val="28"/>
          <w:szCs w:val="28"/>
        </w:rPr>
      </w:pPr>
      <w:r>
        <w:rPr>
          <w:b/>
          <w:sz w:val="28"/>
          <w:szCs w:val="28"/>
        </w:rPr>
        <w:t>Intoxication in School</w:t>
      </w:r>
      <w:r w:rsidR="004024EC">
        <w:rPr>
          <w:b/>
          <w:sz w:val="28"/>
          <w:szCs w:val="28"/>
        </w:rPr>
        <w:t xml:space="preserve"> </w:t>
      </w:r>
      <w:r w:rsidR="00805725">
        <w:rPr>
          <w:b/>
          <w:sz w:val="28"/>
          <w:szCs w:val="28"/>
        </w:rPr>
        <w:t>among</w:t>
      </w:r>
      <w:r w:rsidR="004024EC">
        <w:rPr>
          <w:b/>
          <w:sz w:val="28"/>
          <w:szCs w:val="28"/>
        </w:rPr>
        <w:t xml:space="preserve"> </w:t>
      </w:r>
      <w:r>
        <w:rPr>
          <w:b/>
          <w:sz w:val="28"/>
          <w:szCs w:val="28"/>
        </w:rPr>
        <w:t>8</w:t>
      </w:r>
      <w:r w:rsidRPr="00EC768A">
        <w:rPr>
          <w:b/>
          <w:sz w:val="28"/>
          <w:szCs w:val="28"/>
          <w:vertAlign w:val="superscript"/>
        </w:rPr>
        <w:t>th</w:t>
      </w:r>
      <w:r>
        <w:rPr>
          <w:b/>
          <w:sz w:val="28"/>
          <w:szCs w:val="28"/>
        </w:rPr>
        <w:t xml:space="preserve"> and 10</w:t>
      </w:r>
      <w:r w:rsidRPr="00EC768A">
        <w:rPr>
          <w:b/>
          <w:sz w:val="28"/>
          <w:szCs w:val="28"/>
          <w:vertAlign w:val="superscript"/>
        </w:rPr>
        <w:t>th</w:t>
      </w:r>
      <w:r>
        <w:rPr>
          <w:b/>
          <w:sz w:val="28"/>
          <w:szCs w:val="28"/>
        </w:rPr>
        <w:t xml:space="preserve"> Grade Students</w:t>
      </w:r>
    </w:p>
    <w:p w:rsidR="000F7581" w:rsidRDefault="000F7581" w:rsidP="000F7581"/>
    <w:p w:rsidR="009B56F8" w:rsidRDefault="009B56F8" w:rsidP="000F7581"/>
    <w:p w:rsidR="00815BB8" w:rsidRDefault="00815BB8" w:rsidP="00815BB8">
      <w:r>
        <w:t xml:space="preserve">The CCYS includes many questions about behaviors and experiences known to be closely associated with substance use, such as those concerning emotional problems, poor academic performance and violence. However, in general, the CCYS presents these items independently and does not ask the student to attribute them to, or associate them with, substance use. However some behaviors and experiences by their nature are direct consequences of substance use. Consequences relating to </w:t>
      </w:r>
      <w:r w:rsidR="00EC768A">
        <w:t>education</w:t>
      </w:r>
      <w:r w:rsidR="00773E3F">
        <w:t xml:space="preserve"> include</w:t>
      </w:r>
      <w:r>
        <w:t xml:space="preserve"> </w:t>
      </w:r>
      <w:r w:rsidR="00E97FDC">
        <w:t>being drunk or high while at school</w:t>
      </w:r>
      <w:r>
        <w:t>.</w:t>
      </w:r>
    </w:p>
    <w:p w:rsidR="001D37F8" w:rsidRDefault="001D37F8" w:rsidP="001D37F8"/>
    <w:p w:rsidR="001D37F8" w:rsidRDefault="001D37F8" w:rsidP="001D37F8">
      <w:r>
        <w:t>The CCYS is conducted statewide in November of even numbered calendar years for grades 6, 8, 10 and 12. Statistics are presented for the 8</w:t>
      </w:r>
      <w:r w:rsidRPr="006801C6">
        <w:rPr>
          <w:vertAlign w:val="superscript"/>
        </w:rPr>
        <w:t>th</w:t>
      </w:r>
      <w:r>
        <w:t xml:space="preserve"> grade and the 10</w:t>
      </w:r>
      <w:r w:rsidRPr="006801C6">
        <w:rPr>
          <w:vertAlign w:val="superscript"/>
        </w:rPr>
        <w:t>th</w:t>
      </w:r>
      <w:r>
        <w:t xml:space="preserve"> grade. Eighth grade students are typically 13 years old and substance use and other behaviors by 8</w:t>
      </w:r>
      <w:r w:rsidRPr="00430DC9">
        <w:rPr>
          <w:vertAlign w:val="superscript"/>
        </w:rPr>
        <w:t>th</w:t>
      </w:r>
      <w:r>
        <w:t xml:space="preserve"> graders represent early initiation. The fall semester of the 10</w:t>
      </w:r>
      <w:r w:rsidRPr="00430DC9">
        <w:rPr>
          <w:vertAlign w:val="superscript"/>
        </w:rPr>
        <w:t>th</w:t>
      </w:r>
      <w:r>
        <w:t xml:space="preserve"> grade represents a mid-point for the adolescent ages 12-to-17 while high school drop-out is a relatively small factor for 10</w:t>
      </w:r>
      <w:r w:rsidRPr="00011D83">
        <w:rPr>
          <w:vertAlign w:val="superscript"/>
        </w:rPr>
        <w:t>th</w:t>
      </w:r>
      <w:r>
        <w:t xml:space="preserve"> graders. Thus 10</w:t>
      </w:r>
      <w:r w:rsidRPr="00011D83">
        <w:rPr>
          <w:vertAlign w:val="superscript"/>
        </w:rPr>
        <w:t>th</w:t>
      </w:r>
      <w:r>
        <w:t xml:space="preserve"> graders can approximately represent 12-to-17 year-olds as a whole for many indicators.  Similarly, the 8</w:t>
      </w:r>
      <w:r w:rsidRPr="00F87091">
        <w:rPr>
          <w:vertAlign w:val="superscript"/>
        </w:rPr>
        <w:t>th</w:t>
      </w:r>
      <w:r>
        <w:t xml:space="preserve"> grade can represent the later years of middle school while the 10</w:t>
      </w:r>
      <w:r w:rsidRPr="00F87091">
        <w:rPr>
          <w:vertAlign w:val="superscript"/>
        </w:rPr>
        <w:t>th</w:t>
      </w:r>
      <w:r>
        <w:t xml:space="preserve"> grade represents the early years of high school.</w:t>
      </w:r>
    </w:p>
    <w:p w:rsidR="001D37F8" w:rsidRDefault="001D37F8" w:rsidP="001D37F8"/>
    <w:p w:rsidR="001D37F8" w:rsidRPr="00E14B1C" w:rsidRDefault="001D37F8" w:rsidP="001D37F8">
      <w:r>
        <w:t>Interpretation of CCYS statistics at the parish level is often difficult due to low completion rates, especially in Orleans Parish.</w:t>
      </w:r>
      <w:r>
        <w:rPr>
          <w:rStyle w:val="FootnoteReference"/>
        </w:rPr>
        <w:footnoteReference w:id="1"/>
      </w:r>
      <w:r>
        <w:t xml:space="preserve"> Given these low completion rates, the strategy for interpretation used here is, first, to observe statewide levels and trends, then whether the levels and trends appear similar for the Greater New Orleans parishes. Finally, greater weight is given to Jefferson Parish because its completion rates are 2 to 5 times greater than Orleans’ while its adolescent population (ages 12-17) is 30 percent greater than Orleans’ and 15 times greater than Plaquemines’. </w:t>
      </w:r>
      <w:r w:rsidRPr="00265CD5">
        <w:rPr>
          <w:i/>
        </w:rPr>
        <w:t xml:space="preserve">Estimates provided for Greater New Orleans are approximations useful for planning purposes, but </w:t>
      </w:r>
      <w:r>
        <w:rPr>
          <w:i/>
        </w:rPr>
        <w:t xml:space="preserve">not adequate for tracking change </w:t>
      </w:r>
      <w:r>
        <w:t>and</w:t>
      </w:r>
      <w:r w:rsidRPr="00E14B1C">
        <w:t xml:space="preserve"> are prefaced with</w:t>
      </w:r>
      <w:r>
        <w:t xml:space="preserve"> the qualifier,</w:t>
      </w:r>
      <w:r w:rsidRPr="00E14B1C">
        <w:t xml:space="preserve"> “</w:t>
      </w:r>
      <w:r w:rsidRPr="00E14B1C">
        <w:rPr>
          <w:i/>
        </w:rPr>
        <w:t>about</w:t>
      </w:r>
      <w:r w:rsidRPr="00E14B1C">
        <w:t>.”</w:t>
      </w:r>
    </w:p>
    <w:p w:rsidR="001D37F8" w:rsidRPr="00935FA7" w:rsidRDefault="001D37F8" w:rsidP="001D37F8"/>
    <w:p w:rsidR="00815BB8" w:rsidRPr="00B8754B" w:rsidRDefault="00E97FDC" w:rsidP="00815BB8">
      <w:pPr>
        <w:rPr>
          <w:u w:val="single"/>
        </w:rPr>
      </w:pPr>
      <w:r>
        <w:rPr>
          <w:u w:val="single"/>
        </w:rPr>
        <w:t xml:space="preserve">Educational </w:t>
      </w:r>
      <w:r w:rsidR="00815BB8" w:rsidRPr="00B8754B">
        <w:rPr>
          <w:u w:val="single"/>
        </w:rPr>
        <w:t>Consequences</w:t>
      </w:r>
    </w:p>
    <w:p w:rsidR="00815BB8" w:rsidRDefault="00815BB8" w:rsidP="00815BB8"/>
    <w:p w:rsidR="00805725" w:rsidRPr="00805725" w:rsidRDefault="00805725" w:rsidP="00805725">
      <w:r w:rsidRPr="00805725">
        <w:t xml:space="preserve">Intoxication during school is inconsistent with learning objectives and also poses a safety risk. </w:t>
      </w:r>
      <w:r w:rsidR="00F051A7">
        <w:t>Statewide</w:t>
      </w:r>
      <w:r w:rsidRPr="00805725">
        <w:t xml:space="preserve">, </w:t>
      </w:r>
      <w:r w:rsidR="00F051A7">
        <w:t>8</w:t>
      </w:r>
      <w:r w:rsidRPr="00805725">
        <w:t xml:space="preserve"> percent of 8</w:t>
      </w:r>
      <w:r w:rsidRPr="00805725">
        <w:rPr>
          <w:vertAlign w:val="superscript"/>
        </w:rPr>
        <w:t>th</w:t>
      </w:r>
      <w:r w:rsidRPr="00805725">
        <w:t xml:space="preserve"> grade students have been </w:t>
      </w:r>
      <w:r w:rsidRPr="00805725">
        <w:rPr>
          <w:b/>
        </w:rPr>
        <w:t>drunk or high at school</w:t>
      </w:r>
      <w:r w:rsidRPr="00805725">
        <w:t xml:space="preserve"> during the past year</w:t>
      </w:r>
      <w:r w:rsidR="00F051A7">
        <w:t>, based on the 2012 CCYS survey</w:t>
      </w:r>
      <w:r w:rsidRPr="00805725">
        <w:t>. Among 10</w:t>
      </w:r>
      <w:r w:rsidRPr="00805725">
        <w:rPr>
          <w:vertAlign w:val="superscript"/>
        </w:rPr>
        <w:t>th</w:t>
      </w:r>
      <w:r w:rsidRPr="00805725">
        <w:t xml:space="preserve"> grade students, 13 percent have been drunk or high at school in the past year.</w:t>
      </w:r>
      <w:r w:rsidR="00E97FDC">
        <w:t xml:space="preserve"> These rates do not appear to have changes since 2008.</w:t>
      </w:r>
    </w:p>
    <w:p w:rsidR="00815BB8" w:rsidRDefault="00815BB8" w:rsidP="00815BB8"/>
    <w:p w:rsidR="00F051A7" w:rsidRPr="00F051A7" w:rsidRDefault="00F051A7" w:rsidP="00F051A7">
      <w:r w:rsidRPr="00F051A7">
        <w:t>In Greater New Orleans, about 9 percent of 8</w:t>
      </w:r>
      <w:r w:rsidRPr="00F051A7">
        <w:rPr>
          <w:vertAlign w:val="superscript"/>
        </w:rPr>
        <w:t>th</w:t>
      </w:r>
      <w:r w:rsidRPr="00F051A7">
        <w:t xml:space="preserve"> grade students have been </w:t>
      </w:r>
      <w:r w:rsidRPr="00F051A7">
        <w:rPr>
          <w:b/>
        </w:rPr>
        <w:t>drunk or high at school</w:t>
      </w:r>
      <w:r w:rsidRPr="00F051A7">
        <w:t xml:space="preserve"> during the past year. Among 10</w:t>
      </w:r>
      <w:r w:rsidRPr="00F051A7">
        <w:rPr>
          <w:vertAlign w:val="superscript"/>
        </w:rPr>
        <w:t>th</w:t>
      </w:r>
      <w:r w:rsidRPr="00F051A7">
        <w:t xml:space="preserve"> grade students, about 13 percent have been drunk or high at school in the past year.</w:t>
      </w:r>
    </w:p>
    <w:p w:rsidR="00437FAA" w:rsidRDefault="00437FAA" w:rsidP="00437FAA"/>
    <w:p w:rsidR="00E97FDC" w:rsidRDefault="00E97FDC" w:rsidP="001D37F8">
      <w:bookmarkStart w:id="0" w:name="_GoBack"/>
      <w:bookmarkEnd w:id="0"/>
    </w:p>
    <w:p w:rsidR="00F051A7" w:rsidRPr="00B159B2" w:rsidRDefault="00F051A7" w:rsidP="001D37F8"/>
    <w:tbl>
      <w:tblPr>
        <w:tblStyle w:val="TableGrid"/>
        <w:tblW w:w="0" w:type="auto"/>
        <w:jc w:val="center"/>
        <w:tblLayout w:type="fixed"/>
        <w:tblCellMar>
          <w:left w:w="72" w:type="dxa"/>
          <w:right w:w="43" w:type="dxa"/>
        </w:tblCellMar>
        <w:tblLook w:val="04A0" w:firstRow="1" w:lastRow="0" w:firstColumn="1" w:lastColumn="0" w:noHBand="0" w:noVBand="1"/>
      </w:tblPr>
      <w:tblGrid>
        <w:gridCol w:w="1188"/>
        <w:gridCol w:w="1170"/>
        <w:gridCol w:w="918"/>
        <w:gridCol w:w="918"/>
        <w:gridCol w:w="918"/>
        <w:gridCol w:w="918"/>
        <w:gridCol w:w="918"/>
        <w:gridCol w:w="918"/>
      </w:tblGrid>
      <w:tr w:rsidR="004024EC" w:rsidRPr="00790B52" w:rsidTr="006368A2">
        <w:trPr>
          <w:cantSplit/>
          <w:trHeight w:val="260"/>
          <w:jc w:val="center"/>
        </w:trPr>
        <w:tc>
          <w:tcPr>
            <w:tcW w:w="7866" w:type="dxa"/>
            <w:gridSpan w:val="8"/>
            <w:vAlign w:val="center"/>
          </w:tcPr>
          <w:p w:rsidR="00EC768A" w:rsidRPr="00EC768A" w:rsidRDefault="00EC768A" w:rsidP="00EC768A">
            <w:pPr>
              <w:jc w:val="center"/>
              <w:rPr>
                <w:b/>
                <w:sz w:val="20"/>
              </w:rPr>
            </w:pPr>
            <w:r w:rsidRPr="00EC768A">
              <w:rPr>
                <w:b/>
                <w:sz w:val="20"/>
              </w:rPr>
              <w:t xml:space="preserve">Percentage of 8th and 10th Grade Students Who </w:t>
            </w:r>
          </w:p>
          <w:p w:rsidR="00EC768A" w:rsidRPr="00EC768A" w:rsidRDefault="00EC768A" w:rsidP="00EC768A">
            <w:pPr>
              <w:jc w:val="center"/>
              <w:rPr>
                <w:b/>
                <w:sz w:val="20"/>
              </w:rPr>
            </w:pPr>
            <w:r w:rsidRPr="00EC768A">
              <w:rPr>
                <w:b/>
                <w:sz w:val="20"/>
              </w:rPr>
              <w:t xml:space="preserve">Reported Being Drunk or High at School in the Past 12 Months, </w:t>
            </w:r>
          </w:p>
          <w:p w:rsidR="004024EC" w:rsidRPr="00790B52" w:rsidRDefault="00EC768A" w:rsidP="00EC768A">
            <w:pPr>
              <w:jc w:val="center"/>
              <w:rPr>
                <w:b/>
                <w:sz w:val="20"/>
                <w:highlight w:val="yellow"/>
              </w:rPr>
            </w:pPr>
            <w:r w:rsidRPr="00EC768A">
              <w:rPr>
                <w:b/>
                <w:sz w:val="20"/>
              </w:rPr>
              <w:t>Caring Communities Youth Survey, 2008, 2010 and 2012</w:t>
            </w:r>
          </w:p>
        </w:tc>
      </w:tr>
      <w:tr w:rsidR="004024EC" w:rsidRPr="00790B52" w:rsidTr="006368A2">
        <w:trPr>
          <w:cantSplit/>
          <w:trHeight w:val="260"/>
          <w:jc w:val="center"/>
        </w:trPr>
        <w:tc>
          <w:tcPr>
            <w:tcW w:w="1188" w:type="dxa"/>
            <w:vMerge w:val="restart"/>
            <w:vAlign w:val="center"/>
          </w:tcPr>
          <w:p w:rsidR="004024EC" w:rsidRPr="00790B52" w:rsidRDefault="004024EC" w:rsidP="006368A2">
            <w:pPr>
              <w:jc w:val="center"/>
              <w:rPr>
                <w:b/>
                <w:sz w:val="20"/>
              </w:rPr>
            </w:pPr>
            <w:r>
              <w:rPr>
                <w:b/>
                <w:sz w:val="20"/>
              </w:rPr>
              <w:t>Activity</w:t>
            </w:r>
          </w:p>
        </w:tc>
        <w:tc>
          <w:tcPr>
            <w:tcW w:w="1170" w:type="dxa"/>
            <w:vMerge w:val="restart"/>
            <w:vAlign w:val="center"/>
          </w:tcPr>
          <w:p w:rsidR="004024EC" w:rsidRPr="00790B52" w:rsidRDefault="004024EC" w:rsidP="006368A2">
            <w:pPr>
              <w:jc w:val="center"/>
              <w:rPr>
                <w:b/>
                <w:sz w:val="20"/>
              </w:rPr>
            </w:pPr>
            <w:r w:rsidRPr="00790B52">
              <w:rPr>
                <w:b/>
                <w:sz w:val="20"/>
              </w:rPr>
              <w:t>Parish</w:t>
            </w:r>
          </w:p>
        </w:tc>
        <w:tc>
          <w:tcPr>
            <w:tcW w:w="2754" w:type="dxa"/>
            <w:gridSpan w:val="3"/>
            <w:vAlign w:val="center"/>
          </w:tcPr>
          <w:p w:rsidR="004024EC" w:rsidRPr="00790B52" w:rsidRDefault="00466E22" w:rsidP="006368A2">
            <w:pPr>
              <w:jc w:val="center"/>
              <w:rPr>
                <w:b/>
                <w:sz w:val="20"/>
              </w:rPr>
            </w:pPr>
            <w:r>
              <w:rPr>
                <w:b/>
                <w:sz w:val="20"/>
                <w:highlight w:val="yellow"/>
              </w:rPr>
              <w:t>8</w:t>
            </w:r>
            <w:r w:rsidR="004024EC" w:rsidRPr="00307839">
              <w:rPr>
                <w:b/>
                <w:sz w:val="20"/>
                <w:highlight w:val="yellow"/>
                <w:vertAlign w:val="superscript"/>
              </w:rPr>
              <w:t>th</w:t>
            </w:r>
            <w:r w:rsidR="004024EC" w:rsidRPr="00307839">
              <w:rPr>
                <w:b/>
                <w:sz w:val="20"/>
                <w:highlight w:val="yellow"/>
              </w:rPr>
              <w:t xml:space="preserve"> Grade</w:t>
            </w:r>
          </w:p>
        </w:tc>
        <w:tc>
          <w:tcPr>
            <w:tcW w:w="2754" w:type="dxa"/>
            <w:gridSpan w:val="3"/>
          </w:tcPr>
          <w:p w:rsidR="004024EC" w:rsidRPr="00790B52" w:rsidRDefault="00466E22" w:rsidP="006368A2">
            <w:pPr>
              <w:jc w:val="center"/>
              <w:rPr>
                <w:b/>
                <w:sz w:val="20"/>
                <w:highlight w:val="yellow"/>
              </w:rPr>
            </w:pPr>
            <w:r>
              <w:rPr>
                <w:b/>
                <w:sz w:val="20"/>
                <w:highlight w:val="yellow"/>
              </w:rPr>
              <w:t>10</w:t>
            </w:r>
            <w:r w:rsidR="004024EC" w:rsidRPr="00307839">
              <w:rPr>
                <w:b/>
                <w:sz w:val="20"/>
                <w:highlight w:val="yellow"/>
                <w:vertAlign w:val="superscript"/>
              </w:rPr>
              <w:t>th</w:t>
            </w:r>
            <w:r w:rsidR="004024EC" w:rsidRPr="00307839">
              <w:rPr>
                <w:b/>
                <w:sz w:val="20"/>
                <w:highlight w:val="yellow"/>
              </w:rPr>
              <w:t xml:space="preserve"> Grade</w:t>
            </w:r>
          </w:p>
        </w:tc>
      </w:tr>
      <w:tr w:rsidR="004024EC" w:rsidRPr="00790B52" w:rsidTr="006368A2">
        <w:trPr>
          <w:cantSplit/>
          <w:trHeight w:val="296"/>
          <w:jc w:val="center"/>
        </w:trPr>
        <w:tc>
          <w:tcPr>
            <w:tcW w:w="1188" w:type="dxa"/>
            <w:vMerge/>
            <w:vAlign w:val="center"/>
          </w:tcPr>
          <w:p w:rsidR="004024EC" w:rsidRPr="00790B52" w:rsidRDefault="004024EC" w:rsidP="006368A2">
            <w:pPr>
              <w:jc w:val="center"/>
              <w:rPr>
                <w:b/>
                <w:sz w:val="20"/>
              </w:rPr>
            </w:pPr>
          </w:p>
        </w:tc>
        <w:tc>
          <w:tcPr>
            <w:tcW w:w="1170" w:type="dxa"/>
            <w:vMerge/>
            <w:tcBorders>
              <w:bottom w:val="single" w:sz="4" w:space="0" w:color="auto"/>
            </w:tcBorders>
            <w:vAlign w:val="center"/>
          </w:tcPr>
          <w:p w:rsidR="004024EC" w:rsidRPr="00790B52" w:rsidRDefault="004024EC" w:rsidP="006368A2">
            <w:pPr>
              <w:jc w:val="center"/>
              <w:rPr>
                <w:b/>
                <w:sz w:val="20"/>
              </w:rPr>
            </w:pP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2008</w:t>
            </w: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2010</w:t>
            </w: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2012</w:t>
            </w: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2008</w:t>
            </w: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2010</w:t>
            </w:r>
          </w:p>
        </w:tc>
        <w:tc>
          <w:tcPr>
            <w:tcW w:w="918" w:type="dxa"/>
            <w:tcBorders>
              <w:bottom w:val="single" w:sz="4" w:space="0" w:color="auto"/>
            </w:tcBorders>
            <w:vAlign w:val="center"/>
          </w:tcPr>
          <w:p w:rsidR="004024EC" w:rsidRPr="00790B52" w:rsidRDefault="004024EC" w:rsidP="006368A2">
            <w:pPr>
              <w:jc w:val="center"/>
              <w:rPr>
                <w:b/>
                <w:sz w:val="20"/>
              </w:rPr>
            </w:pPr>
            <w:r w:rsidRPr="00790B52">
              <w:rPr>
                <w:b/>
                <w:sz w:val="20"/>
              </w:rPr>
              <w:t>2012</w:t>
            </w:r>
          </w:p>
        </w:tc>
      </w:tr>
      <w:tr w:rsidR="00805725" w:rsidRPr="00790B52" w:rsidTr="006368A2">
        <w:trPr>
          <w:cantSplit/>
          <w:jc w:val="center"/>
        </w:trPr>
        <w:tc>
          <w:tcPr>
            <w:tcW w:w="1188" w:type="dxa"/>
            <w:vMerge w:val="restart"/>
            <w:vAlign w:val="center"/>
          </w:tcPr>
          <w:p w:rsidR="00805725" w:rsidRPr="0040504B" w:rsidRDefault="00805725" w:rsidP="0009774C">
            <w:pPr>
              <w:rPr>
                <w:sz w:val="20"/>
              </w:rPr>
            </w:pPr>
            <w:r>
              <w:rPr>
                <w:sz w:val="20"/>
              </w:rPr>
              <w:t>Drunk or high at school in past 12 months</w:t>
            </w:r>
          </w:p>
        </w:tc>
        <w:tc>
          <w:tcPr>
            <w:tcW w:w="1170" w:type="dxa"/>
            <w:tcBorders>
              <w:bottom w:val="nil"/>
            </w:tcBorders>
            <w:vAlign w:val="center"/>
          </w:tcPr>
          <w:p w:rsidR="00805725" w:rsidRPr="00790B52" w:rsidRDefault="00805725" w:rsidP="006368A2">
            <w:pPr>
              <w:rPr>
                <w:sz w:val="20"/>
              </w:rPr>
            </w:pPr>
            <w:r w:rsidRPr="00790B52">
              <w:rPr>
                <w:sz w:val="20"/>
              </w:rPr>
              <w:t>Orleans</w:t>
            </w:r>
          </w:p>
        </w:tc>
        <w:tc>
          <w:tcPr>
            <w:tcW w:w="918" w:type="dxa"/>
            <w:tcBorders>
              <w:bottom w:val="nil"/>
            </w:tcBorders>
            <w:vAlign w:val="center"/>
          </w:tcPr>
          <w:p w:rsidR="00805725" w:rsidRDefault="00805725" w:rsidP="0009774C">
            <w:pPr>
              <w:jc w:val="center"/>
              <w:rPr>
                <w:color w:val="000000"/>
                <w:sz w:val="20"/>
              </w:rPr>
            </w:pPr>
            <w:r>
              <w:rPr>
                <w:color w:val="000000"/>
                <w:sz w:val="20"/>
              </w:rPr>
              <w:t>6.3#</w:t>
            </w:r>
          </w:p>
        </w:tc>
        <w:tc>
          <w:tcPr>
            <w:tcW w:w="918" w:type="dxa"/>
            <w:tcBorders>
              <w:bottom w:val="nil"/>
            </w:tcBorders>
            <w:vAlign w:val="center"/>
          </w:tcPr>
          <w:p w:rsidR="00805725" w:rsidRDefault="00805725" w:rsidP="0009774C">
            <w:pPr>
              <w:jc w:val="center"/>
              <w:rPr>
                <w:color w:val="000000"/>
                <w:sz w:val="20"/>
              </w:rPr>
            </w:pPr>
            <w:r>
              <w:rPr>
                <w:color w:val="000000"/>
                <w:sz w:val="20"/>
              </w:rPr>
              <w:t>6.2</w:t>
            </w:r>
            <w:r w:rsidRPr="00555CC9">
              <w:rPr>
                <w:color w:val="000000"/>
                <w:sz w:val="20"/>
              </w:rPr>
              <w:t>#</w:t>
            </w:r>
          </w:p>
        </w:tc>
        <w:tc>
          <w:tcPr>
            <w:tcW w:w="918" w:type="dxa"/>
            <w:tcBorders>
              <w:bottom w:val="nil"/>
            </w:tcBorders>
            <w:vAlign w:val="center"/>
          </w:tcPr>
          <w:p w:rsidR="00805725" w:rsidRDefault="00805725" w:rsidP="0009774C">
            <w:pPr>
              <w:jc w:val="center"/>
              <w:rPr>
                <w:color w:val="000000"/>
                <w:sz w:val="20"/>
              </w:rPr>
            </w:pPr>
            <w:r>
              <w:rPr>
                <w:color w:val="000000"/>
                <w:sz w:val="20"/>
              </w:rPr>
              <w:t>6.9</w:t>
            </w:r>
            <w:r w:rsidRPr="00555CC9">
              <w:rPr>
                <w:color w:val="000000"/>
                <w:sz w:val="20"/>
              </w:rPr>
              <w:t>#</w:t>
            </w:r>
          </w:p>
        </w:tc>
        <w:tc>
          <w:tcPr>
            <w:tcW w:w="918" w:type="dxa"/>
            <w:tcBorders>
              <w:bottom w:val="nil"/>
            </w:tcBorders>
            <w:vAlign w:val="center"/>
          </w:tcPr>
          <w:p w:rsidR="00805725" w:rsidRDefault="00805725" w:rsidP="0009774C">
            <w:pPr>
              <w:jc w:val="center"/>
              <w:rPr>
                <w:color w:val="000000"/>
                <w:sz w:val="20"/>
              </w:rPr>
            </w:pPr>
            <w:r>
              <w:rPr>
                <w:color w:val="000000"/>
                <w:sz w:val="20"/>
              </w:rPr>
              <w:t>8.9</w:t>
            </w:r>
            <w:r w:rsidRPr="00555CC9">
              <w:rPr>
                <w:color w:val="000000"/>
                <w:sz w:val="20"/>
              </w:rPr>
              <w:t>#</w:t>
            </w:r>
          </w:p>
        </w:tc>
        <w:tc>
          <w:tcPr>
            <w:tcW w:w="918" w:type="dxa"/>
            <w:tcBorders>
              <w:bottom w:val="nil"/>
            </w:tcBorders>
            <w:vAlign w:val="center"/>
          </w:tcPr>
          <w:p w:rsidR="00805725" w:rsidRDefault="00805725" w:rsidP="0009774C">
            <w:pPr>
              <w:jc w:val="center"/>
              <w:rPr>
                <w:color w:val="000000"/>
                <w:sz w:val="20"/>
              </w:rPr>
            </w:pPr>
            <w:r>
              <w:rPr>
                <w:color w:val="000000"/>
                <w:sz w:val="20"/>
              </w:rPr>
              <w:t>12.1</w:t>
            </w:r>
            <w:r w:rsidRPr="00555CC9">
              <w:rPr>
                <w:color w:val="000000"/>
                <w:sz w:val="20"/>
              </w:rPr>
              <w:t>#</w:t>
            </w:r>
          </w:p>
        </w:tc>
        <w:tc>
          <w:tcPr>
            <w:tcW w:w="918" w:type="dxa"/>
            <w:tcBorders>
              <w:bottom w:val="nil"/>
            </w:tcBorders>
            <w:vAlign w:val="center"/>
          </w:tcPr>
          <w:p w:rsidR="00805725" w:rsidRDefault="00805725" w:rsidP="0009774C">
            <w:pPr>
              <w:jc w:val="center"/>
              <w:rPr>
                <w:color w:val="000000"/>
                <w:sz w:val="20"/>
              </w:rPr>
            </w:pPr>
            <w:r>
              <w:rPr>
                <w:color w:val="000000"/>
                <w:sz w:val="20"/>
              </w:rPr>
              <w:t>11.2</w:t>
            </w:r>
            <w:r w:rsidRPr="00555CC9">
              <w:rPr>
                <w:color w:val="000000"/>
                <w:sz w:val="20"/>
              </w:rPr>
              <w:t>#</w:t>
            </w:r>
          </w:p>
        </w:tc>
      </w:tr>
      <w:tr w:rsidR="00805725" w:rsidRPr="00790B52" w:rsidTr="006368A2">
        <w:trPr>
          <w:cantSplit/>
          <w:jc w:val="center"/>
        </w:trPr>
        <w:tc>
          <w:tcPr>
            <w:tcW w:w="1188" w:type="dxa"/>
            <w:vMerge/>
            <w:vAlign w:val="center"/>
          </w:tcPr>
          <w:p w:rsidR="00805725" w:rsidRPr="00790B52" w:rsidRDefault="00805725" w:rsidP="006368A2">
            <w:pPr>
              <w:ind w:left="270"/>
              <w:rPr>
                <w:sz w:val="20"/>
              </w:rPr>
            </w:pPr>
          </w:p>
        </w:tc>
        <w:tc>
          <w:tcPr>
            <w:tcW w:w="1170" w:type="dxa"/>
            <w:tcBorders>
              <w:top w:val="nil"/>
              <w:bottom w:val="nil"/>
            </w:tcBorders>
            <w:vAlign w:val="center"/>
          </w:tcPr>
          <w:p w:rsidR="00805725" w:rsidRPr="00790B52" w:rsidRDefault="00805725" w:rsidP="006368A2">
            <w:pPr>
              <w:rPr>
                <w:sz w:val="20"/>
              </w:rPr>
            </w:pPr>
            <w:r w:rsidRPr="00790B52">
              <w:rPr>
                <w:sz w:val="20"/>
              </w:rPr>
              <w:t>Jefferson</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8.7</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10.6</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9.6</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11.4*</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15.5*</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12.8*</w:t>
            </w:r>
          </w:p>
        </w:tc>
      </w:tr>
      <w:tr w:rsidR="00805725" w:rsidRPr="00790B52" w:rsidTr="006368A2">
        <w:trPr>
          <w:cantSplit/>
          <w:jc w:val="center"/>
        </w:trPr>
        <w:tc>
          <w:tcPr>
            <w:tcW w:w="1188" w:type="dxa"/>
            <w:vMerge/>
            <w:vAlign w:val="center"/>
          </w:tcPr>
          <w:p w:rsidR="00805725" w:rsidRPr="00790B52" w:rsidRDefault="00805725" w:rsidP="006368A2">
            <w:pPr>
              <w:ind w:left="270"/>
              <w:rPr>
                <w:sz w:val="20"/>
              </w:rPr>
            </w:pPr>
          </w:p>
        </w:tc>
        <w:tc>
          <w:tcPr>
            <w:tcW w:w="1170" w:type="dxa"/>
            <w:tcBorders>
              <w:top w:val="nil"/>
              <w:bottom w:val="nil"/>
            </w:tcBorders>
            <w:vAlign w:val="center"/>
          </w:tcPr>
          <w:p w:rsidR="00805725" w:rsidRPr="00790B52" w:rsidRDefault="00805725" w:rsidP="006368A2">
            <w:pPr>
              <w:rPr>
                <w:sz w:val="20"/>
              </w:rPr>
            </w:pPr>
            <w:r w:rsidRPr="00790B52">
              <w:rPr>
                <w:sz w:val="20"/>
              </w:rPr>
              <w:t>Plaquemines</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6.7</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5.3*</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8.0</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16.8</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15.8</w:t>
            </w:r>
            <w:r w:rsidRPr="00C320F3">
              <w:rPr>
                <w:color w:val="000000"/>
                <w:sz w:val="20"/>
              </w:rPr>
              <w:t>*</w:t>
            </w:r>
          </w:p>
        </w:tc>
        <w:tc>
          <w:tcPr>
            <w:tcW w:w="918" w:type="dxa"/>
            <w:tcBorders>
              <w:top w:val="nil"/>
              <w:bottom w:val="nil"/>
            </w:tcBorders>
            <w:vAlign w:val="center"/>
          </w:tcPr>
          <w:p w:rsidR="00805725" w:rsidRDefault="00805725" w:rsidP="0009774C">
            <w:pPr>
              <w:jc w:val="center"/>
              <w:rPr>
                <w:color w:val="000000"/>
                <w:sz w:val="20"/>
              </w:rPr>
            </w:pPr>
            <w:r>
              <w:rPr>
                <w:color w:val="000000"/>
                <w:sz w:val="20"/>
              </w:rPr>
              <w:t>12.3</w:t>
            </w:r>
          </w:p>
        </w:tc>
      </w:tr>
      <w:tr w:rsidR="00805725" w:rsidRPr="00790B52" w:rsidTr="006368A2">
        <w:trPr>
          <w:cantSplit/>
          <w:jc w:val="center"/>
        </w:trPr>
        <w:tc>
          <w:tcPr>
            <w:tcW w:w="1188" w:type="dxa"/>
            <w:vMerge/>
            <w:vAlign w:val="center"/>
          </w:tcPr>
          <w:p w:rsidR="00805725" w:rsidRPr="00790B52" w:rsidRDefault="00805725" w:rsidP="006368A2">
            <w:pPr>
              <w:ind w:left="270"/>
              <w:rPr>
                <w:sz w:val="20"/>
              </w:rPr>
            </w:pPr>
          </w:p>
        </w:tc>
        <w:tc>
          <w:tcPr>
            <w:tcW w:w="1170" w:type="dxa"/>
            <w:tcBorders>
              <w:top w:val="nil"/>
              <w:bottom w:val="nil"/>
            </w:tcBorders>
            <w:vAlign w:val="center"/>
          </w:tcPr>
          <w:p w:rsidR="00805725" w:rsidRPr="00790B52" w:rsidRDefault="00805725" w:rsidP="006368A2">
            <w:pPr>
              <w:rPr>
                <w:sz w:val="20"/>
              </w:rPr>
            </w:pPr>
            <w:r w:rsidRPr="00790B52">
              <w:rPr>
                <w:sz w:val="20"/>
              </w:rPr>
              <w:t>St. Bernard</w:t>
            </w:r>
          </w:p>
        </w:tc>
        <w:tc>
          <w:tcPr>
            <w:tcW w:w="918" w:type="dxa"/>
            <w:tcBorders>
              <w:top w:val="nil"/>
              <w:bottom w:val="nil"/>
            </w:tcBorders>
            <w:vAlign w:val="center"/>
          </w:tcPr>
          <w:p w:rsidR="00805725" w:rsidRPr="002D4BEA" w:rsidRDefault="00805725" w:rsidP="0009774C">
            <w:pPr>
              <w:jc w:val="center"/>
              <w:rPr>
                <w:sz w:val="20"/>
              </w:rPr>
            </w:pPr>
            <w:r w:rsidRPr="002D4BEA">
              <w:rPr>
                <w:sz w:val="20"/>
              </w:rPr>
              <w:t>--</w:t>
            </w:r>
          </w:p>
        </w:tc>
        <w:tc>
          <w:tcPr>
            <w:tcW w:w="918" w:type="dxa"/>
            <w:tcBorders>
              <w:top w:val="nil"/>
              <w:bottom w:val="nil"/>
            </w:tcBorders>
            <w:vAlign w:val="center"/>
          </w:tcPr>
          <w:p w:rsidR="00805725" w:rsidRPr="002D4BEA" w:rsidRDefault="00805725" w:rsidP="0009774C">
            <w:pPr>
              <w:jc w:val="center"/>
              <w:rPr>
                <w:sz w:val="20"/>
              </w:rPr>
            </w:pPr>
            <w:r w:rsidRPr="002D4BEA">
              <w:rPr>
                <w:sz w:val="20"/>
              </w:rPr>
              <w:t>--</w:t>
            </w:r>
          </w:p>
        </w:tc>
        <w:tc>
          <w:tcPr>
            <w:tcW w:w="918" w:type="dxa"/>
            <w:tcBorders>
              <w:top w:val="nil"/>
              <w:bottom w:val="nil"/>
            </w:tcBorders>
            <w:vAlign w:val="center"/>
          </w:tcPr>
          <w:p w:rsidR="00805725" w:rsidRPr="002D4BEA" w:rsidRDefault="00805725" w:rsidP="0009774C">
            <w:pPr>
              <w:jc w:val="center"/>
              <w:rPr>
                <w:sz w:val="20"/>
              </w:rPr>
            </w:pPr>
            <w:r w:rsidRPr="002D4BEA">
              <w:rPr>
                <w:sz w:val="20"/>
              </w:rPr>
              <w:t>--</w:t>
            </w:r>
          </w:p>
        </w:tc>
        <w:tc>
          <w:tcPr>
            <w:tcW w:w="918" w:type="dxa"/>
            <w:tcBorders>
              <w:top w:val="nil"/>
              <w:bottom w:val="nil"/>
            </w:tcBorders>
            <w:vAlign w:val="center"/>
          </w:tcPr>
          <w:p w:rsidR="00805725" w:rsidRPr="002D4BEA" w:rsidRDefault="00805725" w:rsidP="0009774C">
            <w:pPr>
              <w:jc w:val="center"/>
              <w:rPr>
                <w:sz w:val="20"/>
              </w:rPr>
            </w:pPr>
            <w:r w:rsidRPr="002D4BEA">
              <w:rPr>
                <w:sz w:val="20"/>
              </w:rPr>
              <w:t>--</w:t>
            </w:r>
          </w:p>
        </w:tc>
        <w:tc>
          <w:tcPr>
            <w:tcW w:w="918" w:type="dxa"/>
            <w:tcBorders>
              <w:top w:val="nil"/>
              <w:bottom w:val="nil"/>
            </w:tcBorders>
            <w:vAlign w:val="center"/>
          </w:tcPr>
          <w:p w:rsidR="00805725" w:rsidRPr="002D4BEA" w:rsidRDefault="00805725" w:rsidP="0009774C">
            <w:pPr>
              <w:jc w:val="center"/>
              <w:rPr>
                <w:sz w:val="20"/>
              </w:rPr>
            </w:pPr>
            <w:r w:rsidRPr="002D4BEA">
              <w:rPr>
                <w:sz w:val="20"/>
              </w:rPr>
              <w:t>--</w:t>
            </w:r>
          </w:p>
        </w:tc>
        <w:tc>
          <w:tcPr>
            <w:tcW w:w="918" w:type="dxa"/>
            <w:tcBorders>
              <w:top w:val="nil"/>
              <w:bottom w:val="nil"/>
            </w:tcBorders>
            <w:vAlign w:val="center"/>
          </w:tcPr>
          <w:p w:rsidR="00805725" w:rsidRPr="002D4BEA" w:rsidRDefault="00805725" w:rsidP="0009774C">
            <w:pPr>
              <w:jc w:val="center"/>
              <w:rPr>
                <w:sz w:val="20"/>
              </w:rPr>
            </w:pPr>
            <w:r w:rsidRPr="002D4BEA">
              <w:rPr>
                <w:sz w:val="20"/>
              </w:rPr>
              <w:t>--</w:t>
            </w:r>
          </w:p>
        </w:tc>
      </w:tr>
      <w:tr w:rsidR="00805725" w:rsidRPr="00790B52" w:rsidTr="006368A2">
        <w:trPr>
          <w:cantSplit/>
          <w:jc w:val="center"/>
        </w:trPr>
        <w:tc>
          <w:tcPr>
            <w:tcW w:w="1188" w:type="dxa"/>
            <w:vMerge/>
            <w:vAlign w:val="center"/>
          </w:tcPr>
          <w:p w:rsidR="00805725" w:rsidRPr="00790B52" w:rsidRDefault="00805725" w:rsidP="006368A2">
            <w:pPr>
              <w:ind w:left="270"/>
              <w:rPr>
                <w:sz w:val="20"/>
              </w:rPr>
            </w:pPr>
          </w:p>
        </w:tc>
        <w:tc>
          <w:tcPr>
            <w:tcW w:w="1170" w:type="dxa"/>
            <w:tcBorders>
              <w:top w:val="nil"/>
              <w:bottom w:val="single" w:sz="4" w:space="0" w:color="auto"/>
            </w:tcBorders>
            <w:vAlign w:val="center"/>
          </w:tcPr>
          <w:p w:rsidR="00805725" w:rsidRPr="00790B52" w:rsidRDefault="00805725" w:rsidP="006368A2">
            <w:pPr>
              <w:rPr>
                <w:sz w:val="20"/>
              </w:rPr>
            </w:pPr>
            <w:r w:rsidRPr="00790B52">
              <w:rPr>
                <w:sz w:val="20"/>
              </w:rPr>
              <w:t>Statewide</w:t>
            </w:r>
          </w:p>
        </w:tc>
        <w:tc>
          <w:tcPr>
            <w:tcW w:w="918" w:type="dxa"/>
            <w:tcBorders>
              <w:top w:val="nil"/>
              <w:bottom w:val="single" w:sz="4" w:space="0" w:color="auto"/>
            </w:tcBorders>
            <w:vAlign w:val="center"/>
          </w:tcPr>
          <w:p w:rsidR="00805725" w:rsidRDefault="00805725" w:rsidP="0009774C">
            <w:pPr>
              <w:jc w:val="center"/>
              <w:rPr>
                <w:color w:val="000000"/>
                <w:sz w:val="20"/>
              </w:rPr>
            </w:pPr>
            <w:r>
              <w:rPr>
                <w:color w:val="000000"/>
                <w:sz w:val="20"/>
              </w:rPr>
              <w:t>8.6</w:t>
            </w:r>
          </w:p>
        </w:tc>
        <w:tc>
          <w:tcPr>
            <w:tcW w:w="918" w:type="dxa"/>
            <w:tcBorders>
              <w:top w:val="nil"/>
              <w:bottom w:val="single" w:sz="4" w:space="0" w:color="auto"/>
            </w:tcBorders>
            <w:vAlign w:val="center"/>
          </w:tcPr>
          <w:p w:rsidR="00805725" w:rsidRDefault="00805725" w:rsidP="0009774C">
            <w:pPr>
              <w:jc w:val="center"/>
              <w:rPr>
                <w:color w:val="000000"/>
                <w:sz w:val="20"/>
              </w:rPr>
            </w:pPr>
            <w:r>
              <w:rPr>
                <w:color w:val="000000"/>
                <w:sz w:val="20"/>
              </w:rPr>
              <w:t>8.7</w:t>
            </w:r>
          </w:p>
        </w:tc>
        <w:tc>
          <w:tcPr>
            <w:tcW w:w="918" w:type="dxa"/>
            <w:tcBorders>
              <w:top w:val="nil"/>
              <w:bottom w:val="single" w:sz="4" w:space="0" w:color="auto"/>
            </w:tcBorders>
            <w:vAlign w:val="center"/>
          </w:tcPr>
          <w:p w:rsidR="00805725" w:rsidRDefault="00805725" w:rsidP="0009774C">
            <w:pPr>
              <w:jc w:val="center"/>
              <w:rPr>
                <w:color w:val="000000"/>
                <w:sz w:val="20"/>
              </w:rPr>
            </w:pPr>
            <w:r>
              <w:rPr>
                <w:color w:val="000000"/>
                <w:sz w:val="20"/>
              </w:rPr>
              <w:t>7.5</w:t>
            </w:r>
          </w:p>
        </w:tc>
        <w:tc>
          <w:tcPr>
            <w:tcW w:w="918" w:type="dxa"/>
            <w:tcBorders>
              <w:top w:val="nil"/>
              <w:bottom w:val="single" w:sz="4" w:space="0" w:color="auto"/>
            </w:tcBorders>
            <w:vAlign w:val="center"/>
          </w:tcPr>
          <w:p w:rsidR="00805725" w:rsidRDefault="00805725" w:rsidP="0009774C">
            <w:pPr>
              <w:jc w:val="center"/>
              <w:rPr>
                <w:color w:val="000000"/>
                <w:sz w:val="20"/>
              </w:rPr>
            </w:pPr>
            <w:r>
              <w:rPr>
                <w:color w:val="000000"/>
                <w:sz w:val="20"/>
              </w:rPr>
              <w:t>12.8</w:t>
            </w:r>
          </w:p>
        </w:tc>
        <w:tc>
          <w:tcPr>
            <w:tcW w:w="918" w:type="dxa"/>
            <w:tcBorders>
              <w:top w:val="nil"/>
              <w:bottom w:val="single" w:sz="4" w:space="0" w:color="auto"/>
            </w:tcBorders>
            <w:vAlign w:val="center"/>
          </w:tcPr>
          <w:p w:rsidR="00805725" w:rsidRDefault="00805725" w:rsidP="0009774C">
            <w:pPr>
              <w:jc w:val="center"/>
              <w:rPr>
                <w:color w:val="000000"/>
                <w:sz w:val="20"/>
              </w:rPr>
            </w:pPr>
            <w:r>
              <w:rPr>
                <w:color w:val="000000"/>
                <w:sz w:val="20"/>
              </w:rPr>
              <w:t>13.0</w:t>
            </w:r>
            <w:r w:rsidRPr="00C320F3">
              <w:rPr>
                <w:color w:val="000000"/>
                <w:sz w:val="20"/>
              </w:rPr>
              <w:t>*</w:t>
            </w:r>
          </w:p>
        </w:tc>
        <w:tc>
          <w:tcPr>
            <w:tcW w:w="918" w:type="dxa"/>
            <w:tcBorders>
              <w:top w:val="nil"/>
              <w:bottom w:val="single" w:sz="4" w:space="0" w:color="auto"/>
            </w:tcBorders>
            <w:vAlign w:val="center"/>
          </w:tcPr>
          <w:p w:rsidR="00805725" w:rsidRDefault="00805725" w:rsidP="0009774C">
            <w:pPr>
              <w:jc w:val="center"/>
              <w:rPr>
                <w:color w:val="000000"/>
                <w:sz w:val="20"/>
              </w:rPr>
            </w:pPr>
            <w:r>
              <w:rPr>
                <w:color w:val="000000"/>
                <w:sz w:val="20"/>
              </w:rPr>
              <w:t>12.9</w:t>
            </w:r>
          </w:p>
        </w:tc>
      </w:tr>
      <w:tr w:rsidR="004024EC" w:rsidRPr="00790B52" w:rsidTr="006368A2">
        <w:trPr>
          <w:cantSplit/>
          <w:jc w:val="center"/>
        </w:trPr>
        <w:tc>
          <w:tcPr>
            <w:tcW w:w="7866" w:type="dxa"/>
            <w:gridSpan w:val="8"/>
            <w:tcBorders>
              <w:top w:val="single" w:sz="4" w:space="0" w:color="auto"/>
            </w:tcBorders>
            <w:vAlign w:val="center"/>
          </w:tcPr>
          <w:p w:rsidR="004024EC" w:rsidRPr="00071C00" w:rsidRDefault="004024EC" w:rsidP="006368A2">
            <w:pPr>
              <w:rPr>
                <w:sz w:val="18"/>
                <w:szCs w:val="18"/>
              </w:rPr>
            </w:pPr>
            <w:r w:rsidRPr="00071C00">
              <w:rPr>
                <w:b/>
                <w:sz w:val="18"/>
                <w:szCs w:val="18"/>
                <w:u w:val="single"/>
              </w:rPr>
              <w:t>Caution</w:t>
            </w:r>
            <w:r w:rsidRPr="00071C00">
              <w:rPr>
                <w:sz w:val="18"/>
                <w:szCs w:val="18"/>
              </w:rPr>
              <w:t>: Figures based on less than a 30% completion rate cannot be considered representative; figures based on completion between 30% and 50% should be interpreted with caution. The completion rate is defined as the percent of enrolled students who complete a valid survey.</w:t>
            </w:r>
          </w:p>
          <w:p w:rsidR="004024EC" w:rsidRPr="00071C00" w:rsidRDefault="004024EC" w:rsidP="006368A2">
            <w:pPr>
              <w:rPr>
                <w:sz w:val="18"/>
                <w:szCs w:val="18"/>
              </w:rPr>
            </w:pPr>
            <w:proofErr w:type="gramStart"/>
            <w:r w:rsidRPr="00071C00">
              <w:rPr>
                <w:b/>
                <w:sz w:val="18"/>
                <w:szCs w:val="18"/>
              </w:rPr>
              <w:t xml:space="preserve"># </w:t>
            </w:r>
            <w:r w:rsidRPr="00071C00">
              <w:rPr>
                <w:sz w:val="18"/>
                <w:szCs w:val="18"/>
              </w:rPr>
              <w:t xml:space="preserve"> Completion</w:t>
            </w:r>
            <w:proofErr w:type="gramEnd"/>
            <w:r w:rsidRPr="00071C00">
              <w:rPr>
                <w:sz w:val="18"/>
                <w:szCs w:val="18"/>
              </w:rPr>
              <w:t xml:space="preserve"> rate is less than 30%</w:t>
            </w:r>
            <w:r>
              <w:rPr>
                <w:sz w:val="18"/>
                <w:szCs w:val="18"/>
              </w:rPr>
              <w:t>;</w:t>
            </w:r>
            <w:r w:rsidRPr="00071C00">
              <w:rPr>
                <w:sz w:val="18"/>
                <w:szCs w:val="18"/>
              </w:rPr>
              <w:t xml:space="preserve">     </w:t>
            </w:r>
            <w:r w:rsidRPr="00071C00">
              <w:rPr>
                <w:b/>
                <w:sz w:val="18"/>
                <w:szCs w:val="18"/>
              </w:rPr>
              <w:t>*</w:t>
            </w:r>
            <w:r w:rsidRPr="00071C00">
              <w:rPr>
                <w:sz w:val="18"/>
                <w:szCs w:val="18"/>
              </w:rPr>
              <w:t xml:space="preserve"> Completion rate is less than 50%, but 30% or greater.</w:t>
            </w:r>
          </w:p>
          <w:p w:rsidR="004024EC" w:rsidRDefault="004024EC" w:rsidP="006368A2">
            <w:pPr>
              <w:rPr>
                <w:sz w:val="18"/>
                <w:szCs w:val="18"/>
              </w:rPr>
            </w:pPr>
            <w:r w:rsidRPr="00071C00">
              <w:rPr>
                <w:sz w:val="18"/>
                <w:szCs w:val="18"/>
              </w:rPr>
              <w:t>No statistics are available for St. Bernard Parish.</w:t>
            </w:r>
          </w:p>
          <w:p w:rsidR="004024EC" w:rsidRPr="00384D67" w:rsidRDefault="004024EC" w:rsidP="006368A2">
            <w:pPr>
              <w:rPr>
                <w:sz w:val="18"/>
                <w:szCs w:val="18"/>
                <w:highlight w:val="yellow"/>
              </w:rPr>
            </w:pPr>
            <w:r w:rsidRPr="00071C00">
              <w:rPr>
                <w:sz w:val="18"/>
                <w:szCs w:val="18"/>
              </w:rPr>
              <w:t xml:space="preserve">Data Source: Louisiana Social Indicators - </w:t>
            </w:r>
            <w:hyperlink r:id="rId8" w:history="1">
              <w:r w:rsidRPr="00071C00">
                <w:rPr>
                  <w:rStyle w:val="Hyperlink"/>
                  <w:sz w:val="18"/>
                  <w:szCs w:val="18"/>
                </w:rPr>
                <w:t>http://www.bach-harrison.com/lasocialindicators</w:t>
              </w:r>
            </w:hyperlink>
            <w:r w:rsidRPr="00071C00">
              <w:rPr>
                <w:sz w:val="18"/>
                <w:szCs w:val="18"/>
              </w:rPr>
              <w:t xml:space="preserve"> (7/5/2013).</w:t>
            </w:r>
          </w:p>
        </w:tc>
      </w:tr>
    </w:tbl>
    <w:p w:rsidR="000F7581" w:rsidRDefault="000F7581" w:rsidP="000F7581"/>
    <w:p w:rsidR="00701328" w:rsidRDefault="00701328" w:rsidP="000F7581"/>
    <w:p w:rsidR="004024EC" w:rsidRDefault="004024EC" w:rsidP="000F7581"/>
    <w:p w:rsidR="001D37F8" w:rsidRPr="000F7581" w:rsidRDefault="001D37F8" w:rsidP="001D37F8">
      <w:r w:rsidRPr="000F7581">
        <w:rPr>
          <w:b/>
        </w:rPr>
        <w:t>Contact for Further Information</w:t>
      </w:r>
    </w:p>
    <w:p w:rsidR="001D37F8" w:rsidRPr="00F91F8A" w:rsidRDefault="001D37F8" w:rsidP="001D37F8"/>
    <w:p w:rsidR="001D37F8" w:rsidRPr="00F91F8A" w:rsidRDefault="001C015B" w:rsidP="001D37F8">
      <w:hyperlink r:id="rId9" w:history="1">
        <w:r w:rsidR="001D37F8" w:rsidRPr="00F91F8A">
          <w:rPr>
            <w:rStyle w:val="Hyperlink"/>
          </w:rPr>
          <w:t>http://picardcenter.org/ResearchAreas/QualityOfLife/CCYS/Pages/CCYS_default.aspx</w:t>
        </w:r>
      </w:hyperlink>
    </w:p>
    <w:p w:rsidR="001D37F8" w:rsidRPr="00F91F8A" w:rsidRDefault="001D37F8" w:rsidP="001D37F8"/>
    <w:p w:rsidR="001D37F8" w:rsidRPr="00F91F8A" w:rsidRDefault="001D37F8" w:rsidP="001D37F8">
      <w:pPr>
        <w:rPr>
          <w:sz w:val="20"/>
        </w:rPr>
      </w:pPr>
      <w:r w:rsidRPr="00F91F8A">
        <w:rPr>
          <w:sz w:val="20"/>
        </w:rPr>
        <w:t>Editor: Robert J Gallati (</w:t>
      </w:r>
      <w:hyperlink r:id="rId10" w:history="1">
        <w:r w:rsidRPr="00F91F8A">
          <w:rPr>
            <w:rStyle w:val="Hyperlink"/>
            <w:sz w:val="20"/>
          </w:rPr>
          <w:t>rjgallati@yahoo.com</w:t>
        </w:r>
      </w:hyperlink>
      <w:r w:rsidRPr="00F91F8A">
        <w:rPr>
          <w:sz w:val="20"/>
        </w:rPr>
        <w:t xml:space="preserve">), updated: </w:t>
      </w:r>
      <w:r w:rsidR="00F051A7">
        <w:rPr>
          <w:sz w:val="20"/>
        </w:rPr>
        <w:t>1/31/14</w:t>
      </w:r>
    </w:p>
    <w:p w:rsidR="004F4264" w:rsidRPr="000F7581" w:rsidRDefault="004F4264" w:rsidP="001D37F8"/>
    <w:sectPr w:rsidR="004F4264" w:rsidRPr="000F7581" w:rsidSect="007214C6">
      <w:headerReference w:type="default" r:id="rId11"/>
      <w:foot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15B" w:rsidRDefault="001C015B" w:rsidP="001B31CC">
      <w:r>
        <w:separator/>
      </w:r>
    </w:p>
  </w:endnote>
  <w:endnote w:type="continuationSeparator" w:id="0">
    <w:p w:rsidR="001C015B" w:rsidRDefault="001C015B" w:rsidP="001B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CC" w:rsidRDefault="00D2253C">
    <w:pPr>
      <w:pStyle w:val="Footer"/>
    </w:pPr>
    <w:fldSimple w:instr=" FILENAME   \* MERGEFORMAT ">
      <w:r w:rsidR="00EC768A" w:rsidRPr="00EC768A">
        <w:rPr>
          <w:noProof/>
          <w:sz w:val="18"/>
          <w:szCs w:val="18"/>
        </w:rPr>
        <w:t>5-0203_EducConseq-CCYS_200140131.docx</w:t>
      </w:r>
    </w:fldSimple>
    <w:r w:rsidR="001B31CC">
      <w:tab/>
    </w:r>
    <w:r w:rsidR="007214C6">
      <w:fldChar w:fldCharType="begin"/>
    </w:r>
    <w:r w:rsidR="001B31CC">
      <w:instrText xml:space="preserve"> PAGE   \* MERGEFORMAT </w:instrText>
    </w:r>
    <w:r w:rsidR="007214C6">
      <w:fldChar w:fldCharType="separate"/>
    </w:r>
    <w:r w:rsidR="009B56F8">
      <w:rPr>
        <w:noProof/>
      </w:rPr>
      <w:t>2</w:t>
    </w:r>
    <w:r w:rsidR="007214C6">
      <w:fldChar w:fldCharType="end"/>
    </w:r>
    <w:r w:rsidR="001B31CC">
      <w:t xml:space="preserve"> of </w:t>
    </w:r>
    <w:fldSimple w:instr=" NUMPAGES   \* MERGEFORMAT ">
      <w:r w:rsidR="009B56F8">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15B" w:rsidRDefault="001C015B" w:rsidP="001B31CC">
      <w:r>
        <w:separator/>
      </w:r>
    </w:p>
  </w:footnote>
  <w:footnote w:type="continuationSeparator" w:id="0">
    <w:p w:rsidR="001C015B" w:rsidRDefault="001C015B" w:rsidP="001B31CC">
      <w:r>
        <w:continuationSeparator/>
      </w:r>
    </w:p>
  </w:footnote>
  <w:footnote w:id="1">
    <w:p w:rsidR="001D37F8" w:rsidRDefault="001D37F8" w:rsidP="001D37F8">
      <w:pPr>
        <w:pStyle w:val="FootnoteText"/>
      </w:pPr>
      <w:r>
        <w:rPr>
          <w:rStyle w:val="FootnoteReference"/>
        </w:rPr>
        <w:footnoteRef/>
      </w:r>
      <w:r>
        <w:t xml:space="preserve"> </w:t>
      </w:r>
      <w:r w:rsidRPr="00A9513A">
        <w:t>The CCYS uses a census survey method, attempting to survey all enrolled students.</w:t>
      </w:r>
      <w:r>
        <w:t xml:space="preserve"> Completion rate, as reporting in CCYS state and parish profiles, is the percent of enrolled students who complete a valid CCYS survey. This rate </w:t>
      </w:r>
      <w:r w:rsidRPr="006E5B17">
        <w:t xml:space="preserve">is affected by </w:t>
      </w:r>
      <w:r>
        <w:t>lack of school participation, student absences and inability to schedule all students to take the survey. See Appendix A for further information including grade and parish-specific completion rates by survey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C1" w:rsidRDefault="000E3853">
    <w:pPr>
      <w:pStyle w:val="Header"/>
      <w:rPr>
        <w:b/>
      </w:rPr>
    </w:pPr>
    <w:r>
      <w:rPr>
        <w:b/>
      </w:rPr>
      <w:t xml:space="preserve">Greater New Orleans </w:t>
    </w:r>
    <w:r w:rsidR="006E4BC1" w:rsidRPr="006E4BC1">
      <w:rPr>
        <w:b/>
      </w:rPr>
      <w:t xml:space="preserve">Community Substance </w:t>
    </w:r>
    <w:r w:rsidR="004F4264">
      <w:rPr>
        <w:b/>
      </w:rPr>
      <w:t>U</w:t>
    </w:r>
    <w:r w:rsidR="006E4BC1" w:rsidRPr="006E4BC1">
      <w:rPr>
        <w:b/>
      </w:rPr>
      <w:t>se Health Profile</w:t>
    </w:r>
  </w:p>
  <w:p w:rsidR="00DD1E24" w:rsidRPr="006E4BC1" w:rsidRDefault="004024EC" w:rsidP="004024EC">
    <w:pPr>
      <w:pStyle w:val="Header"/>
      <w:rPr>
        <w:b/>
      </w:rPr>
    </w:pPr>
    <w:r w:rsidRPr="004024EC">
      <w:rPr>
        <w:b/>
      </w:rPr>
      <w:t xml:space="preserve">Consequences of Substance Use – </w:t>
    </w:r>
    <w:r w:rsidR="00EC768A">
      <w:rPr>
        <w:b/>
      </w:rPr>
      <w:t>Educational Consequences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3321B"/>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339B4"/>
    <w:multiLevelType w:val="hybridMultilevel"/>
    <w:tmpl w:val="FECC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21DE3"/>
    <w:multiLevelType w:val="hybridMultilevel"/>
    <w:tmpl w:val="9606F0A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
    <w:nsid w:val="25C408A7"/>
    <w:multiLevelType w:val="hybridMultilevel"/>
    <w:tmpl w:val="58A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46087E"/>
    <w:multiLevelType w:val="multilevel"/>
    <w:tmpl w:val="17DA4E82"/>
    <w:lvl w:ilvl="0">
      <w:start w:val="9"/>
      <w:numFmt w:val="decimal"/>
      <w:lvlText w:val="%1."/>
      <w:lvlJc w:val="left"/>
      <w:pPr>
        <w:tabs>
          <w:tab w:val="left" w:pos="288"/>
        </w:tabs>
        <w:ind w:left="720"/>
      </w:pPr>
      <w:rPr>
        <w:rFonts w:ascii="Times New Roman" w:eastAsia="Times New Roman" w:hAnsi="Times New Roman"/>
        <w:b/>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EC4815"/>
    <w:multiLevelType w:val="multilevel"/>
    <w:tmpl w:val="14D6A2CC"/>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12437A"/>
    <w:multiLevelType w:val="hybridMultilevel"/>
    <w:tmpl w:val="A7E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776534"/>
    <w:multiLevelType w:val="multilevel"/>
    <w:tmpl w:val="77880920"/>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2D970D1"/>
    <w:multiLevelType w:val="hybridMultilevel"/>
    <w:tmpl w:val="9E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025D1"/>
    <w:multiLevelType w:val="multilevel"/>
    <w:tmpl w:val="15221CB6"/>
    <w:lvl w:ilvl="0">
      <w:start w:val="3"/>
      <w:numFmt w:val="decimal"/>
      <w:lvlText w:val="%1."/>
      <w:lvlJc w:val="left"/>
      <w:pPr>
        <w:tabs>
          <w:tab w:val="left" w:pos="360"/>
        </w:tabs>
        <w:ind w:left="720"/>
      </w:pPr>
      <w:rPr>
        <w:rFonts w:ascii="Times New Roman" w:eastAsia="Times New Roman" w:hAnsi="Times New Roman"/>
        <w:b/>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9D1D32"/>
    <w:multiLevelType w:val="multilevel"/>
    <w:tmpl w:val="9E0E08C2"/>
    <w:lvl w:ilvl="0">
      <w:start w:val="7"/>
      <w:numFmt w:val="decimal"/>
      <w:lvlText w:val="%1."/>
      <w:lvlJc w:val="left"/>
      <w:pPr>
        <w:tabs>
          <w:tab w:val="left" w:pos="432"/>
        </w:tabs>
        <w:ind w:left="720"/>
      </w:pPr>
      <w:rPr>
        <w:rFonts w:ascii="Times New Roman" w:eastAsia="Times New Roman" w:hAnsi="Times New Roman"/>
        <w:b/>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7"/>
  </w:num>
  <w:num w:numId="4">
    <w:abstractNumId w:val="5"/>
  </w:num>
  <w:num w:numId="5">
    <w:abstractNumId w:val="9"/>
  </w:num>
  <w:num w:numId="6">
    <w:abstractNumId w:val="0"/>
  </w:num>
  <w:num w:numId="7">
    <w:abstractNumId w:val="10"/>
  </w:num>
  <w:num w:numId="8">
    <w:abstractNumId w:val="4"/>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04"/>
    <w:rsid w:val="000231AC"/>
    <w:rsid w:val="00034184"/>
    <w:rsid w:val="0004249E"/>
    <w:rsid w:val="0004342D"/>
    <w:rsid w:val="00047859"/>
    <w:rsid w:val="0005363D"/>
    <w:rsid w:val="000726C0"/>
    <w:rsid w:val="000C092D"/>
    <w:rsid w:val="000D188F"/>
    <w:rsid w:val="000E3853"/>
    <w:rsid w:val="000F3280"/>
    <w:rsid w:val="000F7581"/>
    <w:rsid w:val="001440D4"/>
    <w:rsid w:val="0015747A"/>
    <w:rsid w:val="001B31CC"/>
    <w:rsid w:val="001C015B"/>
    <w:rsid w:val="001D37F8"/>
    <w:rsid w:val="001E7474"/>
    <w:rsid w:val="00202AD8"/>
    <w:rsid w:val="00213B5A"/>
    <w:rsid w:val="002315F0"/>
    <w:rsid w:val="002318EB"/>
    <w:rsid w:val="0024791A"/>
    <w:rsid w:val="002517AA"/>
    <w:rsid w:val="002838EF"/>
    <w:rsid w:val="0028675C"/>
    <w:rsid w:val="002B140C"/>
    <w:rsid w:val="002C5D2D"/>
    <w:rsid w:val="002F1A7B"/>
    <w:rsid w:val="00302423"/>
    <w:rsid w:val="003057A8"/>
    <w:rsid w:val="003348D2"/>
    <w:rsid w:val="0036519E"/>
    <w:rsid w:val="00392126"/>
    <w:rsid w:val="0039218D"/>
    <w:rsid w:val="003D7190"/>
    <w:rsid w:val="004024EC"/>
    <w:rsid w:val="0042293D"/>
    <w:rsid w:val="00437FAA"/>
    <w:rsid w:val="00466E22"/>
    <w:rsid w:val="004A474C"/>
    <w:rsid w:val="004D57B2"/>
    <w:rsid w:val="004E7EF2"/>
    <w:rsid w:val="004F4264"/>
    <w:rsid w:val="00501387"/>
    <w:rsid w:val="00546230"/>
    <w:rsid w:val="00563573"/>
    <w:rsid w:val="005917EF"/>
    <w:rsid w:val="005F5F2E"/>
    <w:rsid w:val="0060239C"/>
    <w:rsid w:val="00650C16"/>
    <w:rsid w:val="00684CF0"/>
    <w:rsid w:val="00693BBB"/>
    <w:rsid w:val="00694BCF"/>
    <w:rsid w:val="0069748D"/>
    <w:rsid w:val="006A65C8"/>
    <w:rsid w:val="006B22A9"/>
    <w:rsid w:val="006B2887"/>
    <w:rsid w:val="006D4F96"/>
    <w:rsid w:val="006E4BC1"/>
    <w:rsid w:val="006F7091"/>
    <w:rsid w:val="00701328"/>
    <w:rsid w:val="007214C6"/>
    <w:rsid w:val="00722A7F"/>
    <w:rsid w:val="007439F1"/>
    <w:rsid w:val="0075355D"/>
    <w:rsid w:val="007619DF"/>
    <w:rsid w:val="00773E3F"/>
    <w:rsid w:val="007A023C"/>
    <w:rsid w:val="008020DA"/>
    <w:rsid w:val="00805725"/>
    <w:rsid w:val="00812E90"/>
    <w:rsid w:val="00815BB8"/>
    <w:rsid w:val="008302C3"/>
    <w:rsid w:val="008324A9"/>
    <w:rsid w:val="00843D1D"/>
    <w:rsid w:val="00862080"/>
    <w:rsid w:val="008D578E"/>
    <w:rsid w:val="008F74AA"/>
    <w:rsid w:val="0094555E"/>
    <w:rsid w:val="00952A84"/>
    <w:rsid w:val="0096217B"/>
    <w:rsid w:val="00962F2E"/>
    <w:rsid w:val="00975E1E"/>
    <w:rsid w:val="00985016"/>
    <w:rsid w:val="009B56F8"/>
    <w:rsid w:val="009C039F"/>
    <w:rsid w:val="009C534C"/>
    <w:rsid w:val="009D1DAB"/>
    <w:rsid w:val="009E292F"/>
    <w:rsid w:val="00A02D06"/>
    <w:rsid w:val="00A06288"/>
    <w:rsid w:val="00A37AD2"/>
    <w:rsid w:val="00A4227B"/>
    <w:rsid w:val="00A50BA8"/>
    <w:rsid w:val="00A85D4E"/>
    <w:rsid w:val="00A8644E"/>
    <w:rsid w:val="00AB44E8"/>
    <w:rsid w:val="00AC3FD1"/>
    <w:rsid w:val="00AD6173"/>
    <w:rsid w:val="00AF5A02"/>
    <w:rsid w:val="00B03D3C"/>
    <w:rsid w:val="00B964DB"/>
    <w:rsid w:val="00BB36AD"/>
    <w:rsid w:val="00BC0572"/>
    <w:rsid w:val="00BD41FF"/>
    <w:rsid w:val="00C13A65"/>
    <w:rsid w:val="00C17E6A"/>
    <w:rsid w:val="00C26DD8"/>
    <w:rsid w:val="00C33589"/>
    <w:rsid w:val="00C338CA"/>
    <w:rsid w:val="00C42104"/>
    <w:rsid w:val="00C64A71"/>
    <w:rsid w:val="00C81ED2"/>
    <w:rsid w:val="00CB19AA"/>
    <w:rsid w:val="00CC58D0"/>
    <w:rsid w:val="00CD7908"/>
    <w:rsid w:val="00CF5D44"/>
    <w:rsid w:val="00D146B2"/>
    <w:rsid w:val="00D2253C"/>
    <w:rsid w:val="00D66870"/>
    <w:rsid w:val="00DC0DE1"/>
    <w:rsid w:val="00DD1E24"/>
    <w:rsid w:val="00DF1139"/>
    <w:rsid w:val="00E77285"/>
    <w:rsid w:val="00E81BD9"/>
    <w:rsid w:val="00E82620"/>
    <w:rsid w:val="00E8405F"/>
    <w:rsid w:val="00E95D8C"/>
    <w:rsid w:val="00E97FDC"/>
    <w:rsid w:val="00EA430E"/>
    <w:rsid w:val="00EB2A9A"/>
    <w:rsid w:val="00EB71B1"/>
    <w:rsid w:val="00EC04F1"/>
    <w:rsid w:val="00EC5CFD"/>
    <w:rsid w:val="00EC768A"/>
    <w:rsid w:val="00EE6935"/>
    <w:rsid w:val="00EF0510"/>
    <w:rsid w:val="00F051A7"/>
    <w:rsid w:val="00F25411"/>
    <w:rsid w:val="00F7602E"/>
    <w:rsid w:val="00F77D5B"/>
    <w:rsid w:val="00F94B0C"/>
    <w:rsid w:val="00FA1B45"/>
    <w:rsid w:val="00FA1C4F"/>
    <w:rsid w:val="00FB20B9"/>
    <w:rsid w:val="00FB48D1"/>
    <w:rsid w:val="00FB615F"/>
    <w:rsid w:val="00FE43A9"/>
    <w:rsid w:val="00FF1978"/>
    <w:rsid w:val="00FF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uiPriority w:val="59"/>
    <w:rsid w:val="00C64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1BD9"/>
    <w:rPr>
      <w:rFonts w:ascii="Tahoma" w:hAnsi="Tahoma" w:cs="Tahoma"/>
      <w:sz w:val="16"/>
      <w:szCs w:val="16"/>
    </w:rPr>
  </w:style>
  <w:style w:type="character" w:customStyle="1" w:styleId="BalloonTextChar">
    <w:name w:val="Balloon Text Char"/>
    <w:basedOn w:val="DefaultParagraphFont"/>
    <w:link w:val="BalloonText"/>
    <w:uiPriority w:val="99"/>
    <w:semiHidden/>
    <w:rsid w:val="00E81BD9"/>
    <w:rPr>
      <w:rFonts w:ascii="Tahoma" w:hAnsi="Tahoma" w:cs="Tahoma"/>
      <w:sz w:val="16"/>
      <w:szCs w:val="16"/>
    </w:rPr>
  </w:style>
  <w:style w:type="character" w:styleId="Hyperlink">
    <w:name w:val="Hyperlink"/>
    <w:basedOn w:val="DefaultParagraphFont"/>
    <w:uiPriority w:val="99"/>
    <w:unhideWhenUsed/>
    <w:rsid w:val="00985016"/>
    <w:rPr>
      <w:color w:val="0000FF" w:themeColor="hyperlink"/>
      <w:u w:val="single"/>
    </w:rPr>
  </w:style>
  <w:style w:type="character" w:styleId="FollowedHyperlink">
    <w:name w:val="FollowedHyperlink"/>
    <w:basedOn w:val="DefaultParagraphFont"/>
    <w:uiPriority w:val="99"/>
    <w:semiHidden/>
    <w:unhideWhenUsed/>
    <w:rsid w:val="00985016"/>
    <w:rPr>
      <w:color w:val="800080" w:themeColor="followedHyperlink"/>
      <w:u w:val="single"/>
    </w:rPr>
  </w:style>
  <w:style w:type="paragraph" w:styleId="Header">
    <w:name w:val="header"/>
    <w:basedOn w:val="Normal"/>
    <w:link w:val="HeaderChar"/>
    <w:uiPriority w:val="99"/>
    <w:unhideWhenUsed/>
    <w:rsid w:val="001B31CC"/>
    <w:pPr>
      <w:tabs>
        <w:tab w:val="center" w:pos="4680"/>
        <w:tab w:val="right" w:pos="9360"/>
      </w:tabs>
    </w:pPr>
  </w:style>
  <w:style w:type="character" w:customStyle="1" w:styleId="HeaderChar">
    <w:name w:val="Header Char"/>
    <w:basedOn w:val="DefaultParagraphFont"/>
    <w:link w:val="Header"/>
    <w:uiPriority w:val="99"/>
    <w:rsid w:val="001B31CC"/>
    <w:rPr>
      <w:sz w:val="24"/>
    </w:rPr>
  </w:style>
  <w:style w:type="paragraph" w:styleId="Footer">
    <w:name w:val="footer"/>
    <w:basedOn w:val="Normal"/>
    <w:link w:val="FooterChar"/>
    <w:uiPriority w:val="99"/>
    <w:unhideWhenUsed/>
    <w:rsid w:val="001B31CC"/>
    <w:pPr>
      <w:tabs>
        <w:tab w:val="center" w:pos="4680"/>
        <w:tab w:val="right" w:pos="9360"/>
      </w:tabs>
    </w:pPr>
  </w:style>
  <w:style w:type="character" w:customStyle="1" w:styleId="FooterChar">
    <w:name w:val="Footer Char"/>
    <w:basedOn w:val="DefaultParagraphFont"/>
    <w:link w:val="Footer"/>
    <w:uiPriority w:val="99"/>
    <w:rsid w:val="001B31CC"/>
    <w:rPr>
      <w:sz w:val="24"/>
    </w:rPr>
  </w:style>
  <w:style w:type="paragraph" w:styleId="ListParagraph">
    <w:name w:val="List Paragraph"/>
    <w:basedOn w:val="Normal"/>
    <w:uiPriority w:val="34"/>
    <w:qFormat/>
    <w:rsid w:val="004D57B2"/>
    <w:pPr>
      <w:ind w:left="720"/>
      <w:contextualSpacing/>
    </w:pPr>
  </w:style>
  <w:style w:type="paragraph" w:styleId="FootnoteText">
    <w:name w:val="footnote text"/>
    <w:basedOn w:val="Normal"/>
    <w:link w:val="FootnoteTextChar"/>
    <w:uiPriority w:val="99"/>
    <w:semiHidden/>
    <w:unhideWhenUsed/>
    <w:rsid w:val="00A85D4E"/>
    <w:rPr>
      <w:sz w:val="20"/>
    </w:rPr>
  </w:style>
  <w:style w:type="character" w:customStyle="1" w:styleId="FootnoteTextChar">
    <w:name w:val="Footnote Text Char"/>
    <w:basedOn w:val="DefaultParagraphFont"/>
    <w:link w:val="FootnoteText"/>
    <w:uiPriority w:val="99"/>
    <w:semiHidden/>
    <w:rsid w:val="00A85D4E"/>
  </w:style>
  <w:style w:type="character" w:styleId="FootnoteReference">
    <w:name w:val="footnote reference"/>
    <w:basedOn w:val="DefaultParagraphFont"/>
    <w:uiPriority w:val="99"/>
    <w:semiHidden/>
    <w:unhideWhenUsed/>
    <w:rsid w:val="00A85D4E"/>
    <w:rPr>
      <w:vertAlign w:val="superscript"/>
    </w:rPr>
  </w:style>
  <w:style w:type="character" w:styleId="CommentReference">
    <w:name w:val="annotation reference"/>
    <w:basedOn w:val="DefaultParagraphFont"/>
    <w:uiPriority w:val="99"/>
    <w:semiHidden/>
    <w:unhideWhenUsed/>
    <w:rsid w:val="00AB44E8"/>
    <w:rPr>
      <w:sz w:val="16"/>
      <w:szCs w:val="16"/>
    </w:rPr>
  </w:style>
  <w:style w:type="paragraph" w:styleId="CommentText">
    <w:name w:val="annotation text"/>
    <w:basedOn w:val="Normal"/>
    <w:link w:val="CommentTextChar"/>
    <w:uiPriority w:val="99"/>
    <w:semiHidden/>
    <w:unhideWhenUsed/>
    <w:rsid w:val="00AB44E8"/>
    <w:rPr>
      <w:sz w:val="20"/>
    </w:rPr>
  </w:style>
  <w:style w:type="character" w:customStyle="1" w:styleId="CommentTextChar">
    <w:name w:val="Comment Text Char"/>
    <w:basedOn w:val="DefaultParagraphFont"/>
    <w:link w:val="CommentText"/>
    <w:uiPriority w:val="99"/>
    <w:semiHidden/>
    <w:rsid w:val="00AB44E8"/>
  </w:style>
  <w:style w:type="paragraph" w:styleId="CommentSubject">
    <w:name w:val="annotation subject"/>
    <w:basedOn w:val="CommentText"/>
    <w:next w:val="CommentText"/>
    <w:link w:val="CommentSubjectChar"/>
    <w:uiPriority w:val="99"/>
    <w:semiHidden/>
    <w:unhideWhenUsed/>
    <w:rsid w:val="00AB44E8"/>
    <w:rPr>
      <w:b/>
      <w:bCs/>
    </w:rPr>
  </w:style>
  <w:style w:type="character" w:customStyle="1" w:styleId="CommentSubjectChar">
    <w:name w:val="Comment Subject Char"/>
    <w:basedOn w:val="CommentTextChar"/>
    <w:link w:val="CommentSubject"/>
    <w:uiPriority w:val="99"/>
    <w:semiHidden/>
    <w:rsid w:val="00AB44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ch-harrison.com/lasocialindicator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jgallati@yahoo.com" TargetMode="External"/><Relationship Id="rId4" Type="http://schemas.openxmlformats.org/officeDocument/2006/relationships/settings" Target="settings.xml"/><Relationship Id="rId9" Type="http://schemas.openxmlformats.org/officeDocument/2006/relationships/hyperlink" Target="http://picardcenter.org/ResearchAreas/QualityOfLife/CCYS/Pages/CCYS_default.asp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vcRes\Templates\sh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share.dot</Template>
  <TotalTime>25</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This is a blank document using the “share</vt:lpstr>
    </vt:vector>
  </TitlesOfParts>
  <Company>Microsoft</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blank document using the “share</dc:title>
  <dc:creator>Robert J Gallati</dc:creator>
  <cp:lastModifiedBy>Robert J Gallati</cp:lastModifiedBy>
  <cp:revision>5</cp:revision>
  <cp:lastPrinted>2014-01-09T00:19:00Z</cp:lastPrinted>
  <dcterms:created xsi:type="dcterms:W3CDTF">2014-02-13T06:39:00Z</dcterms:created>
  <dcterms:modified xsi:type="dcterms:W3CDTF">2014-02-13T15:01:00Z</dcterms:modified>
</cp:coreProperties>
</file>