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8543CD" w:rsidRPr="00C33589" w:rsidRDefault="008543CD" w:rsidP="008543CD">
      <w:pPr>
        <w:jc w:val="center"/>
        <w:rPr>
          <w:b/>
          <w:sz w:val="28"/>
          <w:szCs w:val="28"/>
        </w:rPr>
      </w:pPr>
      <w:r>
        <w:rPr>
          <w:b/>
          <w:sz w:val="28"/>
          <w:szCs w:val="28"/>
        </w:rPr>
        <w:t>Substance Use Disorders among College Students</w:t>
      </w:r>
    </w:p>
    <w:p w:rsidR="000F7581" w:rsidRDefault="000F7581" w:rsidP="000F7581"/>
    <w:p w:rsidR="008543CD" w:rsidRDefault="008543CD" w:rsidP="000F7581"/>
    <w:p w:rsidR="008543CD" w:rsidRPr="008543CD" w:rsidRDefault="008543CD" w:rsidP="008543CD">
      <w:r w:rsidRPr="008543CD">
        <w:t>Substance use disorder (SUD) is defined in the Diagnostic and Statist</w:t>
      </w:r>
      <w:r w:rsidRPr="008543CD">
        <w:rPr>
          <w:i/>
        </w:rPr>
        <w:t>ical Manual</w:t>
      </w:r>
      <w:r w:rsidRPr="008543CD">
        <w:t xml:space="preserve"> (DSM-IV) of the American Psychiatric Association as “a maladaptive pattern of substance use, leading to clinically significant impairment or distress, as manifested by … [criteria], occurring at any time in the same 12-month period.” Both dependence and abuse conditions are defined</w:t>
      </w:r>
      <w:r w:rsidRPr="008543CD">
        <w:rPr>
          <w:vertAlign w:val="superscript"/>
        </w:rPr>
        <w:footnoteReference w:id="1"/>
      </w:r>
      <w:r w:rsidR="004D0603">
        <w:t>.</w:t>
      </w:r>
      <w:r w:rsidRPr="008543CD">
        <w:t xml:space="preserve"> A dependence condition can be considered more clinically serious or a progression from an abuse condition, but consequences and costs can be substantial in any case. An assessment of dependence or abuse based on DSM-IV criteria is generally accepted as a requirement for admission to treatment services, but does not itself determine the level of care needed. </w:t>
      </w:r>
    </w:p>
    <w:p w:rsidR="00DD1E24" w:rsidRDefault="00DD1E24" w:rsidP="000F7581"/>
    <w:p w:rsidR="0093152F" w:rsidRPr="0093152F" w:rsidRDefault="0093152F" w:rsidP="0093152F">
      <w:r w:rsidRPr="0093152F">
        <w:t xml:space="preserve">The Louisiana Department of Health and Hospitals Office of Behavioral Health </w:t>
      </w:r>
      <w:proofErr w:type="gramStart"/>
      <w:r w:rsidRPr="0093152F">
        <w:t>provides</w:t>
      </w:r>
      <w:proofErr w:type="gramEnd"/>
      <w:r w:rsidRPr="0093152F">
        <w:t xml:space="preserve"> funding supporting the biennial administration of the Core Institute Survey. The Louisiana Center Addressing Substance Use (</w:t>
      </w:r>
      <w:proofErr w:type="spellStart"/>
      <w:r w:rsidRPr="0093152F">
        <w:t>LaCASU</w:t>
      </w:r>
      <w:proofErr w:type="spellEnd"/>
      <w:r w:rsidRPr="0093152F">
        <w:t xml:space="preserve">) of Louisiana State University at Baton Rouge coordinates survey administration conducted by institutions of higher education (IHEs) throughout the state. For the March 2013 survey, Louisiana statewide and regional reports are based on the Short Form (2-page) version of the Core Institute Survey. The </w:t>
      </w:r>
      <w:hyperlink r:id="rId8" w:history="1">
        <w:r w:rsidRPr="0093152F">
          <w:rPr>
            <w:rStyle w:val="Hyperlink"/>
          </w:rPr>
          <w:t>Short Form</w:t>
        </w:r>
      </w:hyperlink>
      <w:r w:rsidRPr="0093152F">
        <w:t xml:space="preserve"> does </w:t>
      </w:r>
      <w:r w:rsidRPr="0093152F">
        <w:rPr>
          <w:u w:val="single"/>
        </w:rPr>
        <w:t>not</w:t>
      </w:r>
      <w:r w:rsidRPr="0093152F">
        <w:t xml:space="preserve"> include most of risk and protective factor content and some of the consequences content available in the </w:t>
      </w:r>
      <w:hyperlink r:id="rId9" w:history="1">
        <w:r w:rsidRPr="0093152F">
          <w:rPr>
            <w:rStyle w:val="Hyperlink"/>
          </w:rPr>
          <w:t>Long Form</w:t>
        </w:r>
      </w:hyperlink>
      <w:r w:rsidRPr="0093152F">
        <w:t>. However, data from the Long Form is available for 2011. Greater New Orleans institutions of higher education (IHEs) participating in the 2013 survey included: Tulane University; Southern University of New Orleans; Loyola University of New Orleans; Dillard University; Delgado Community College; and University of New Orleans.</w:t>
      </w:r>
    </w:p>
    <w:p w:rsidR="00DD1E24" w:rsidRDefault="00DD1E24" w:rsidP="000F7581"/>
    <w:p w:rsidR="0093152F" w:rsidRPr="007E5AC6" w:rsidRDefault="0093152F" w:rsidP="0093152F">
      <w:pPr>
        <w:rPr>
          <w:u w:val="single"/>
        </w:rPr>
      </w:pPr>
      <w:r w:rsidRPr="007E5AC6">
        <w:rPr>
          <w:u w:val="single"/>
        </w:rPr>
        <w:t xml:space="preserve">Substance Use Disorders </w:t>
      </w:r>
    </w:p>
    <w:p w:rsidR="0093152F" w:rsidRDefault="0093152F" w:rsidP="0093152F"/>
    <w:p w:rsidR="0093152F" w:rsidRDefault="0093152F" w:rsidP="0093152F">
      <w:r>
        <w:t xml:space="preserve">While the Core Institute Survey is not designed to provide an estimate of the prevalence of substance use disorders (SUDs), a few items approximate diagnostic criteria. Among Greater New Orleans college students, 13 percent, in the past year, </w:t>
      </w:r>
      <w:r w:rsidRPr="0068588B">
        <w:rPr>
          <w:u w:val="single"/>
        </w:rPr>
        <w:t>thought they might have a drinking or other drug problem</w:t>
      </w:r>
      <w:r>
        <w:t xml:space="preserve">, based on the 2013 Core Institute Survey. This suggests that </w:t>
      </w:r>
      <w:r w:rsidRPr="00530976">
        <w:rPr>
          <w:i/>
        </w:rPr>
        <w:t>one-in-eight college students could benefit from intervention services</w:t>
      </w:r>
      <w:r>
        <w:t xml:space="preserve"> designed to help students understand their substance use and provide links to supports and treatment as appropriate. This 13 percent figure for Greater New Orleans is higher than the figures for the state as a whole (9%) and the national comparison sample (9%).  </w:t>
      </w:r>
    </w:p>
    <w:p w:rsidR="0093152F" w:rsidRDefault="0093152F" w:rsidP="0093152F"/>
    <w:p w:rsidR="0093152F" w:rsidRDefault="0093152F" w:rsidP="0093152F">
      <w:r w:rsidRPr="007E5AC6">
        <w:lastRenderedPageBreak/>
        <w:t>Among Greater New Orleans college students</w:t>
      </w:r>
      <w:r>
        <w:t xml:space="preserve">, 7 percent had </w:t>
      </w:r>
      <w:r w:rsidRPr="0068588B">
        <w:rPr>
          <w:u w:val="single"/>
        </w:rPr>
        <w:t xml:space="preserve">tried unsuccessfully to </w:t>
      </w:r>
      <w:r w:rsidRPr="007E5AC6">
        <w:rPr>
          <w:u w:val="single"/>
        </w:rPr>
        <w:t>stop using</w:t>
      </w:r>
      <w:r>
        <w:t xml:space="preserve"> alcohol or drugs in the past year, based on the 2013 Core Institute Survey. This loss of control over substance use strongly suggests the need for treatment services. This 7 percent figure</w:t>
      </w:r>
      <w:r w:rsidRPr="00C073A7">
        <w:t xml:space="preserve"> for Greater New Orleans</w:t>
      </w:r>
      <w:r>
        <w:t xml:space="preserve"> appears to be slightly higher than the figures</w:t>
      </w:r>
      <w:r w:rsidRPr="00EC4CCA">
        <w:t xml:space="preserve"> for the state as a whole (</w:t>
      </w:r>
      <w:r>
        <w:t>5</w:t>
      </w:r>
      <w:r w:rsidRPr="00EC4CCA">
        <w:t>%) and the national comparison sample (</w:t>
      </w:r>
      <w:r>
        <w:t>4</w:t>
      </w:r>
      <w:r w:rsidRPr="00EC4CCA">
        <w:t xml:space="preserve">%).  </w:t>
      </w:r>
      <w:r>
        <w:t xml:space="preserve"> </w:t>
      </w:r>
    </w:p>
    <w:p w:rsidR="0093152F" w:rsidRDefault="0093152F" w:rsidP="0093152F"/>
    <w:tbl>
      <w:tblPr>
        <w:tblW w:w="9315" w:type="dxa"/>
        <w:jc w:val="center"/>
        <w:tblInd w:w="-675" w:type="dxa"/>
        <w:tblLayout w:type="fixed"/>
        <w:tblCellMar>
          <w:left w:w="43" w:type="dxa"/>
          <w:right w:w="29" w:type="dxa"/>
        </w:tblCellMar>
        <w:tblLook w:val="04A0" w:firstRow="1" w:lastRow="0" w:firstColumn="1" w:lastColumn="0" w:noHBand="0" w:noVBand="1"/>
      </w:tblPr>
      <w:tblGrid>
        <w:gridCol w:w="4725"/>
        <w:gridCol w:w="630"/>
        <w:gridCol w:w="630"/>
        <w:gridCol w:w="630"/>
        <w:gridCol w:w="630"/>
        <w:gridCol w:w="630"/>
        <w:gridCol w:w="630"/>
        <w:gridCol w:w="810"/>
      </w:tblGrid>
      <w:tr w:rsidR="0093152F" w:rsidRPr="00425784" w:rsidTr="0077337C">
        <w:trPr>
          <w:trHeight w:val="539"/>
          <w:jc w:val="center"/>
        </w:trPr>
        <w:tc>
          <w:tcPr>
            <w:tcW w:w="9315" w:type="dxa"/>
            <w:gridSpan w:val="8"/>
            <w:tcBorders>
              <w:bottom w:val="single" w:sz="4" w:space="0" w:color="auto"/>
            </w:tcBorders>
            <w:noWrap/>
            <w:vAlign w:val="center"/>
          </w:tcPr>
          <w:p w:rsidR="0093152F" w:rsidRDefault="0093152F" w:rsidP="0077337C">
            <w:pPr>
              <w:jc w:val="center"/>
              <w:rPr>
                <w:b/>
                <w:bCs/>
                <w:sz w:val="20"/>
              </w:rPr>
            </w:pPr>
            <w:r w:rsidRPr="007E2CD4">
              <w:rPr>
                <w:b/>
                <w:bCs/>
                <w:sz w:val="20"/>
              </w:rPr>
              <w:t xml:space="preserve">Table </w:t>
            </w:r>
            <w:r w:rsidR="00391DC8">
              <w:rPr>
                <w:b/>
                <w:bCs/>
                <w:sz w:val="20"/>
              </w:rPr>
              <w:t>1</w:t>
            </w:r>
            <w:r w:rsidRPr="007E2CD4">
              <w:rPr>
                <w:b/>
                <w:bCs/>
                <w:sz w:val="20"/>
              </w:rPr>
              <w:t>:</w:t>
            </w:r>
            <w:r w:rsidRPr="000D5DA6">
              <w:rPr>
                <w:b/>
                <w:bCs/>
                <w:sz w:val="20"/>
              </w:rPr>
              <w:t xml:space="preserve">  Percentage of College Students </w:t>
            </w:r>
            <w:r>
              <w:rPr>
                <w:b/>
                <w:bCs/>
                <w:sz w:val="20"/>
              </w:rPr>
              <w:t xml:space="preserve">Experiencing Clinical Consequences Related to </w:t>
            </w:r>
          </w:p>
          <w:p w:rsidR="0093152F" w:rsidRDefault="0093152F" w:rsidP="0077337C">
            <w:pPr>
              <w:jc w:val="center"/>
              <w:rPr>
                <w:b/>
                <w:bCs/>
                <w:sz w:val="20"/>
              </w:rPr>
            </w:pPr>
            <w:r>
              <w:rPr>
                <w:b/>
                <w:bCs/>
                <w:sz w:val="20"/>
              </w:rPr>
              <w:t>Substance Use  or Mental Health Disorders in Greater New Orleans and Statewide,</w:t>
            </w:r>
          </w:p>
          <w:p w:rsidR="0093152F" w:rsidRPr="00581638" w:rsidRDefault="0093152F" w:rsidP="0077337C">
            <w:pPr>
              <w:jc w:val="center"/>
              <w:rPr>
                <w:b/>
                <w:bCs/>
                <w:sz w:val="20"/>
              </w:rPr>
            </w:pPr>
            <w:r>
              <w:rPr>
                <w:b/>
                <w:bCs/>
                <w:sz w:val="20"/>
              </w:rPr>
              <w:t xml:space="preserve"> Core Institute Survey, 2009, 2011 and 2013.</w:t>
            </w:r>
          </w:p>
        </w:tc>
      </w:tr>
      <w:tr w:rsidR="0093152F" w:rsidRPr="00425784" w:rsidTr="0077337C">
        <w:trPr>
          <w:trHeight w:val="269"/>
          <w:jc w:val="center"/>
        </w:trPr>
        <w:tc>
          <w:tcPr>
            <w:tcW w:w="4725" w:type="dxa"/>
            <w:vMerge w:val="restart"/>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b/>
                <w:color w:val="000000"/>
                <w:sz w:val="20"/>
              </w:rPr>
            </w:pPr>
            <w:r w:rsidRPr="00DF7C96">
              <w:rPr>
                <w:b/>
                <w:color w:val="000000"/>
                <w:sz w:val="20"/>
              </w:rPr>
              <w:t xml:space="preserve">Consequences Due to Your  Drinking or </w:t>
            </w:r>
          </w:p>
          <w:p w:rsidR="0093152F" w:rsidRPr="00425784" w:rsidRDefault="0093152F" w:rsidP="0077337C">
            <w:pPr>
              <w:jc w:val="center"/>
              <w:rPr>
                <w:color w:val="000000"/>
                <w:sz w:val="20"/>
              </w:rPr>
            </w:pPr>
            <w:r w:rsidRPr="00DF7C96">
              <w:rPr>
                <w:b/>
                <w:color w:val="000000"/>
                <w:sz w:val="20"/>
              </w:rPr>
              <w:t>Drug Use During the Past Year</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b/>
                <w:color w:val="000000"/>
                <w:sz w:val="20"/>
              </w:rPr>
            </w:pPr>
            <w:r w:rsidRPr="0025078B">
              <w:rPr>
                <w:b/>
                <w:color w:val="000000"/>
                <w:sz w:val="20"/>
              </w:rPr>
              <w:t>Greater New Orleans</w:t>
            </w:r>
          </w:p>
        </w:tc>
        <w:tc>
          <w:tcPr>
            <w:tcW w:w="1890" w:type="dxa"/>
            <w:gridSpan w:val="3"/>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b/>
                <w:color w:val="000000"/>
                <w:sz w:val="20"/>
              </w:rPr>
            </w:pPr>
            <w:r w:rsidRPr="0025078B">
              <w:rPr>
                <w:b/>
                <w:color w:val="000000"/>
                <w:sz w:val="20"/>
              </w:rPr>
              <w:t>Statewide</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b/>
                <w:color w:val="000000"/>
                <w:sz w:val="20"/>
              </w:rPr>
            </w:pPr>
            <w:r w:rsidRPr="0025078B">
              <w:rPr>
                <w:b/>
                <w:color w:val="000000"/>
                <w:sz w:val="20"/>
              </w:rPr>
              <w:t>Nation</w:t>
            </w:r>
            <w:r w:rsidRPr="00425784">
              <w:rPr>
                <w:b/>
                <w:color w:val="000000"/>
                <w:sz w:val="20"/>
              </w:rPr>
              <w:t>al</w:t>
            </w:r>
          </w:p>
        </w:tc>
      </w:tr>
      <w:tr w:rsidR="0093152F" w:rsidRPr="00425784" w:rsidTr="0077337C">
        <w:trPr>
          <w:trHeight w:val="286"/>
          <w:jc w:val="center"/>
        </w:trPr>
        <w:tc>
          <w:tcPr>
            <w:tcW w:w="4725" w:type="dxa"/>
            <w:vMerge/>
            <w:tcBorders>
              <w:top w:val="single" w:sz="4" w:space="0" w:color="auto"/>
              <w:left w:val="single" w:sz="4" w:space="0" w:color="auto"/>
              <w:bottom w:val="single" w:sz="4" w:space="0" w:color="auto"/>
              <w:right w:val="single" w:sz="4" w:space="0" w:color="auto"/>
            </w:tcBorders>
            <w:vAlign w:val="center"/>
            <w:hideMark/>
          </w:tcPr>
          <w:p w:rsidR="0093152F" w:rsidRPr="00425784" w:rsidRDefault="0093152F" w:rsidP="0077337C">
            <w:pP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93152F" w:rsidRPr="00425784" w:rsidRDefault="0093152F" w:rsidP="0077337C">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93152F" w:rsidRPr="00425784" w:rsidRDefault="0093152F" w:rsidP="0077337C">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93152F" w:rsidRPr="00425784" w:rsidRDefault="0093152F" w:rsidP="0077337C">
            <w:pPr>
              <w:jc w:val="center"/>
              <w:rPr>
                <w:color w:val="000000"/>
                <w:sz w:val="20"/>
              </w:rPr>
            </w:pPr>
            <w:r w:rsidRPr="0065120E">
              <w:rPr>
                <w:color w:val="000000"/>
                <w:sz w:val="20"/>
              </w:rPr>
              <w:t>2013</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color w:val="000000"/>
                <w:sz w:val="20"/>
              </w:rPr>
            </w:pPr>
            <w:r w:rsidRPr="0065120E">
              <w:rPr>
                <w:color w:val="000000"/>
                <w:sz w:val="20"/>
              </w:rPr>
              <w:t>2009</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color w:val="000000"/>
                <w:sz w:val="20"/>
              </w:rPr>
            </w:pPr>
            <w:r w:rsidRPr="0065120E">
              <w:rPr>
                <w:color w:val="000000"/>
                <w:sz w:val="20"/>
              </w:rPr>
              <w:t>2011</w:t>
            </w:r>
          </w:p>
        </w:tc>
        <w:tc>
          <w:tcPr>
            <w:tcW w:w="63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hideMark/>
          </w:tcPr>
          <w:p w:rsidR="0093152F" w:rsidRPr="00425784" w:rsidRDefault="0093152F" w:rsidP="0077337C">
            <w:pPr>
              <w:jc w:val="center"/>
              <w:rPr>
                <w:color w:val="000000"/>
                <w:sz w:val="20"/>
              </w:rPr>
            </w:pPr>
            <w:r w:rsidRPr="0065120E">
              <w:rPr>
                <w:color w:val="000000"/>
                <w:sz w:val="20"/>
              </w:rPr>
              <w:t>2013</w:t>
            </w:r>
          </w:p>
        </w:tc>
        <w:tc>
          <w:tcPr>
            <w:tcW w:w="810" w:type="dxa"/>
            <w:tcBorders>
              <w:top w:val="single" w:sz="4" w:space="0" w:color="auto"/>
              <w:left w:val="single" w:sz="4" w:space="0" w:color="auto"/>
              <w:bottom w:val="single" w:sz="4" w:space="0" w:color="auto"/>
              <w:right w:val="single" w:sz="4" w:space="0" w:color="auto"/>
            </w:tcBorders>
            <w:noWrap/>
            <w:tcMar>
              <w:left w:w="14" w:type="dxa"/>
              <w:right w:w="14" w:type="dxa"/>
            </w:tcMar>
            <w:vAlign w:val="center"/>
          </w:tcPr>
          <w:p w:rsidR="0093152F" w:rsidRPr="00425784" w:rsidRDefault="0093152F" w:rsidP="0077337C">
            <w:pPr>
              <w:jc w:val="center"/>
              <w:rPr>
                <w:color w:val="000000"/>
                <w:sz w:val="20"/>
              </w:rPr>
            </w:pPr>
            <w:r w:rsidRPr="0065120E">
              <w:rPr>
                <w:color w:val="000000"/>
                <w:sz w:val="20"/>
              </w:rPr>
              <w:t>20</w:t>
            </w:r>
            <w:r>
              <w:rPr>
                <w:color w:val="000000"/>
                <w:sz w:val="20"/>
              </w:rPr>
              <w:t>11</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vAlign w:val="center"/>
            <w:hideMark/>
          </w:tcPr>
          <w:p w:rsidR="0093152F" w:rsidRPr="00425784" w:rsidRDefault="0093152F" w:rsidP="0077337C">
            <w:pPr>
              <w:jc w:val="right"/>
              <w:rPr>
                <w:color w:val="000000"/>
                <w:sz w:val="18"/>
                <w:szCs w:val="18"/>
              </w:rPr>
            </w:pPr>
            <w:r w:rsidRPr="00425784">
              <w:rPr>
                <w:color w:val="000000"/>
                <w:sz w:val="18"/>
                <w:szCs w:val="18"/>
              </w:rPr>
              <w:t>sample size=</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425784" w:rsidRDefault="0093152F" w:rsidP="0077337C">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52F" w:rsidRPr="00425784" w:rsidRDefault="0093152F" w:rsidP="0077337C">
            <w:pPr>
              <w:jc w:val="center"/>
              <w:rPr>
                <w:color w:val="000000"/>
                <w:sz w:val="18"/>
                <w:szCs w:val="18"/>
              </w:rPr>
            </w:pPr>
            <w:r w:rsidRPr="00425784">
              <w:rPr>
                <w:color w:val="000000"/>
                <w:sz w:val="18"/>
                <w:szCs w:val="18"/>
              </w:rPr>
              <w:t>1,646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425784" w:rsidRDefault="0093152F" w:rsidP="0077337C">
            <w:pPr>
              <w:jc w:val="center"/>
              <w:rPr>
                <w:color w:val="000000"/>
                <w:sz w:val="18"/>
                <w:szCs w:val="18"/>
              </w:rPr>
            </w:pPr>
            <w:proofErr w:type="spellStart"/>
            <w:r>
              <w:rPr>
                <w:color w:val="000000"/>
                <w:sz w:val="18"/>
                <w:szCs w:val="18"/>
              </w:rPr>
              <w:t>na</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425784" w:rsidRDefault="0093152F" w:rsidP="0077337C">
            <w:pPr>
              <w:jc w:val="center"/>
              <w:rPr>
                <w:color w:val="000000"/>
                <w:sz w:val="18"/>
                <w:szCs w:val="18"/>
              </w:rPr>
            </w:pPr>
            <w:r>
              <w:rPr>
                <w:color w:val="000000"/>
                <w:sz w:val="18"/>
                <w:szCs w:val="18"/>
              </w:rPr>
              <w:t>12,972</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52F" w:rsidRPr="00425784" w:rsidRDefault="0093152F" w:rsidP="0077337C">
            <w:pPr>
              <w:jc w:val="center"/>
              <w:rPr>
                <w:color w:val="000000"/>
                <w:sz w:val="18"/>
                <w:szCs w:val="18"/>
              </w:rPr>
            </w:pPr>
            <w:r w:rsidRPr="00425784">
              <w:rPr>
                <w:color w:val="000000"/>
                <w:sz w:val="18"/>
                <w:szCs w:val="18"/>
              </w:rPr>
              <w:t>9,763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425784" w:rsidRDefault="0093152F" w:rsidP="0077337C">
            <w:pPr>
              <w:jc w:val="center"/>
              <w:rPr>
                <w:color w:val="000000"/>
                <w:sz w:val="18"/>
                <w:szCs w:val="18"/>
              </w:rPr>
            </w:pPr>
            <w:r>
              <w:rPr>
                <w:color w:val="000000"/>
                <w:sz w:val="18"/>
                <w:szCs w:val="18"/>
              </w:rPr>
              <w:t>7,740</w:t>
            </w:r>
          </w:p>
        </w:tc>
        <w:tc>
          <w:tcPr>
            <w:tcW w:w="810" w:type="dxa"/>
            <w:tcBorders>
              <w:top w:val="single" w:sz="4" w:space="0" w:color="auto"/>
              <w:left w:val="single" w:sz="4" w:space="0" w:color="auto"/>
              <w:bottom w:val="single" w:sz="4" w:space="0" w:color="auto"/>
              <w:right w:val="single" w:sz="4" w:space="0" w:color="auto"/>
            </w:tcBorders>
            <w:noWrap/>
            <w:vAlign w:val="center"/>
          </w:tcPr>
          <w:p w:rsidR="0093152F" w:rsidRPr="00425784" w:rsidRDefault="0093152F" w:rsidP="0077337C">
            <w:pPr>
              <w:jc w:val="center"/>
              <w:rPr>
                <w:color w:val="000000"/>
                <w:sz w:val="18"/>
                <w:szCs w:val="18"/>
                <w:highlight w:val="yellow"/>
              </w:rPr>
            </w:pPr>
            <w:r>
              <w:rPr>
                <w:color w:val="000000"/>
                <w:sz w:val="18"/>
                <w:szCs w:val="18"/>
              </w:rPr>
              <w:t>50,505</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Pr="00596657" w:rsidRDefault="0093152F" w:rsidP="0077337C">
            <w:pPr>
              <w:rPr>
                <w:b/>
                <w:color w:val="000000"/>
                <w:sz w:val="20"/>
              </w:rPr>
            </w:pPr>
            <w:r w:rsidRPr="00596657">
              <w:rPr>
                <w:b/>
                <w:color w:val="000000"/>
                <w:sz w:val="20"/>
              </w:rPr>
              <w:tab/>
              <w:t>Indicators of Substance Use Disorder</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93152F" w:rsidRDefault="0093152F" w:rsidP="0077337C">
            <w:pPr>
              <w:rPr>
                <w:color w:val="000000"/>
                <w:sz w:val="20"/>
              </w:rPr>
            </w:pPr>
            <w:r>
              <w:rPr>
                <w:color w:val="000000"/>
                <w:sz w:val="20"/>
              </w:rPr>
              <w:t>Had a hangover</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67.7</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67.7</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58.6</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57.7</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55.7</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r>
              <w:rPr>
                <w:color w:val="000000"/>
                <w:sz w:val="20"/>
              </w:rPr>
              <w:t>59.4</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Default="0093152F" w:rsidP="0077337C">
            <w:pPr>
              <w:rPr>
                <w:color w:val="000000"/>
                <w:sz w:val="20"/>
              </w:rPr>
            </w:pPr>
            <w:r>
              <w:rPr>
                <w:color w:val="000000"/>
                <w:sz w:val="20"/>
              </w:rPr>
              <w:t>Got nauseated or vomited</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57.8</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57.2</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48.5</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48.9</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45.9</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47.2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r>
              <w:rPr>
                <w:color w:val="000000"/>
                <w:sz w:val="20"/>
              </w:rPr>
              <w:t>49.8</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93152F" w:rsidRDefault="0093152F" w:rsidP="0077337C">
            <w:pPr>
              <w:rPr>
                <w:color w:val="000000"/>
                <w:sz w:val="20"/>
              </w:rPr>
            </w:pPr>
            <w:r>
              <w:rPr>
                <w:color w:val="000000"/>
                <w:sz w:val="20"/>
              </w:rPr>
              <w:t>Had a memory loss</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38.9</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44.0</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31.3</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28.3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27.2</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27.1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r>
              <w:rPr>
                <w:color w:val="000000"/>
                <w:sz w:val="20"/>
              </w:rPr>
              <w:t>33.5</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Default="0093152F" w:rsidP="0077337C">
            <w:pPr>
              <w:rPr>
                <w:color w:val="000000"/>
                <w:sz w:val="20"/>
              </w:rPr>
            </w:pPr>
            <w:r>
              <w:rPr>
                <w:color w:val="000000"/>
                <w:sz w:val="20"/>
              </w:rPr>
              <w:t>Tried unsuccessfully to stop using</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5.7</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6.1</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7.2</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5.8</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5.1</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5.1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r>
              <w:rPr>
                <w:color w:val="000000"/>
                <w:sz w:val="20"/>
              </w:rPr>
              <w:t>4.4</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hideMark/>
          </w:tcPr>
          <w:p w:rsidR="0093152F" w:rsidRDefault="0093152F" w:rsidP="0077337C">
            <w:pPr>
              <w:rPr>
                <w:color w:val="000000"/>
                <w:sz w:val="20"/>
              </w:rPr>
            </w:pPr>
            <w:r>
              <w:rPr>
                <w:color w:val="000000"/>
                <w:sz w:val="20"/>
              </w:rPr>
              <w:t>Thought I might have a drinking or other drug problem</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13.1</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15.2</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12.6</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10.3</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93152F" w:rsidRDefault="0093152F" w:rsidP="0077337C">
            <w:pPr>
              <w:jc w:val="center"/>
              <w:rPr>
                <w:color w:val="000000"/>
                <w:sz w:val="20"/>
              </w:rPr>
            </w:pPr>
            <w:r>
              <w:rPr>
                <w:color w:val="000000"/>
                <w:sz w:val="20"/>
              </w:rPr>
              <w:t>9.1</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r>
              <w:rPr>
                <w:color w:val="000000"/>
                <w:sz w:val="20"/>
              </w:rPr>
              <w:t>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r>
              <w:rPr>
                <w:color w:val="000000"/>
                <w:sz w:val="20"/>
              </w:rPr>
              <w:t>8.8</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Pr="00067C01" w:rsidRDefault="0093152F" w:rsidP="0077337C">
            <w:pPr>
              <w:rPr>
                <w:b/>
                <w:color w:val="000000"/>
                <w:sz w:val="20"/>
              </w:rPr>
            </w:pPr>
            <w:r>
              <w:rPr>
                <w:color w:val="000000"/>
                <w:sz w:val="20"/>
              </w:rPr>
              <w:tab/>
            </w:r>
            <w:r w:rsidRPr="00067C01">
              <w:rPr>
                <w:b/>
                <w:color w:val="000000"/>
                <w:sz w:val="20"/>
              </w:rPr>
              <w:t>Mental Health Consequences</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Default="0093152F" w:rsidP="0077337C">
            <w:pPr>
              <w:jc w:val="center"/>
              <w:rPr>
                <w:color w:val="000000"/>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Default="0093152F" w:rsidP="0077337C">
            <w:pPr>
              <w:jc w:val="center"/>
              <w:rPr>
                <w:color w:val="000000"/>
                <w:sz w:val="20"/>
              </w:rPr>
            </w:pP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Default="0093152F" w:rsidP="0077337C">
            <w:pPr>
              <w:rPr>
                <w:color w:val="000000"/>
                <w:sz w:val="20"/>
              </w:rPr>
            </w:pPr>
            <w:r>
              <w:rPr>
                <w:color w:val="000000"/>
                <w:sz w:val="20"/>
              </w:rPr>
              <w:t>Did something I later regretted</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39.5</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40.6</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31.1</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30.8</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28.4</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29.2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067C01" w:rsidRDefault="0093152F" w:rsidP="0077337C">
            <w:pPr>
              <w:jc w:val="center"/>
              <w:rPr>
                <w:bCs/>
                <w:color w:val="000000"/>
                <w:sz w:val="20"/>
              </w:rPr>
            </w:pPr>
            <w:r w:rsidRPr="00067C01">
              <w:rPr>
                <w:bCs/>
                <w:color w:val="000000"/>
                <w:sz w:val="20"/>
              </w:rPr>
              <w:t>33.4</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Default="0093152F" w:rsidP="0077337C">
            <w:pPr>
              <w:rPr>
                <w:color w:val="000000"/>
                <w:sz w:val="20"/>
              </w:rPr>
            </w:pPr>
            <w:r>
              <w:rPr>
                <w:color w:val="000000"/>
                <w:sz w:val="20"/>
              </w:rPr>
              <w:t>Seriously thought about suicide</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4.1</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5.0</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4.9</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4.2</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4.0</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3.9</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067C01" w:rsidRDefault="0093152F" w:rsidP="0077337C">
            <w:pPr>
              <w:jc w:val="center"/>
              <w:rPr>
                <w:bCs/>
                <w:color w:val="000000"/>
                <w:sz w:val="20"/>
              </w:rPr>
            </w:pPr>
            <w:r w:rsidRPr="00067C01">
              <w:rPr>
                <w:bCs/>
                <w:color w:val="000000"/>
                <w:sz w:val="20"/>
              </w:rPr>
              <w:t>3.9</w:t>
            </w:r>
          </w:p>
        </w:tc>
      </w:tr>
      <w:tr w:rsidR="0093152F" w:rsidRPr="00425784" w:rsidTr="0077337C">
        <w:trPr>
          <w:trHeight w:val="255"/>
          <w:jc w:val="center"/>
        </w:trPr>
        <w:tc>
          <w:tcPr>
            <w:tcW w:w="4725" w:type="dxa"/>
            <w:tcBorders>
              <w:top w:val="single" w:sz="4" w:space="0" w:color="auto"/>
              <w:left w:val="single" w:sz="4" w:space="0" w:color="auto"/>
              <w:bottom w:val="single" w:sz="4" w:space="0" w:color="auto"/>
              <w:right w:val="single" w:sz="4" w:space="0" w:color="auto"/>
            </w:tcBorders>
            <w:noWrap/>
            <w:tcMar>
              <w:right w:w="0" w:type="dxa"/>
            </w:tcMar>
            <w:vAlign w:val="center"/>
          </w:tcPr>
          <w:p w:rsidR="0093152F" w:rsidRDefault="0093152F" w:rsidP="0077337C">
            <w:pPr>
              <w:rPr>
                <w:color w:val="000000"/>
                <w:sz w:val="20"/>
              </w:rPr>
            </w:pPr>
            <w:r>
              <w:rPr>
                <w:color w:val="000000"/>
                <w:sz w:val="20"/>
              </w:rPr>
              <w:t>Seriously tried to commit suicide</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1.3</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1.0</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1.4</w:t>
            </w:r>
          </w:p>
        </w:tc>
        <w:tc>
          <w:tcPr>
            <w:tcW w:w="630" w:type="dxa"/>
            <w:tcBorders>
              <w:top w:val="single" w:sz="4" w:space="0" w:color="auto"/>
              <w:left w:val="single" w:sz="4" w:space="0" w:color="auto"/>
              <w:bottom w:val="single" w:sz="4" w:space="0" w:color="auto"/>
              <w:right w:val="single" w:sz="4" w:space="0" w:color="auto"/>
            </w:tcBorders>
            <w:noWrap/>
            <w:vAlign w:val="center"/>
          </w:tcPr>
          <w:p w:rsidR="0093152F" w:rsidRPr="00067C01" w:rsidRDefault="0093152F" w:rsidP="0077337C">
            <w:pPr>
              <w:jc w:val="center"/>
              <w:rPr>
                <w:bCs/>
                <w:color w:val="000000"/>
                <w:sz w:val="20"/>
              </w:rPr>
            </w:pPr>
            <w:r w:rsidRPr="00067C01">
              <w:rPr>
                <w:bCs/>
                <w:color w:val="000000"/>
                <w:sz w:val="20"/>
              </w:rPr>
              <w:t>1.2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52F" w:rsidRPr="00067C01" w:rsidRDefault="0093152F" w:rsidP="0077337C">
            <w:pPr>
              <w:jc w:val="center"/>
              <w:rPr>
                <w:bCs/>
                <w:color w:val="000000"/>
                <w:sz w:val="20"/>
              </w:rPr>
            </w:pPr>
            <w:r w:rsidRPr="00067C01">
              <w:rPr>
                <w:bCs/>
                <w:color w:val="000000"/>
                <w:sz w:val="20"/>
              </w:rPr>
              <w:t>1.3</w:t>
            </w:r>
          </w:p>
        </w:tc>
      </w:tr>
      <w:tr w:rsidR="0093152F" w:rsidRPr="00425784" w:rsidTr="0077337C">
        <w:trPr>
          <w:trHeight w:val="728"/>
          <w:jc w:val="center"/>
        </w:trPr>
        <w:tc>
          <w:tcPr>
            <w:tcW w:w="9315" w:type="dxa"/>
            <w:gridSpan w:val="8"/>
            <w:tcBorders>
              <w:top w:val="single" w:sz="4" w:space="0" w:color="auto"/>
            </w:tcBorders>
            <w:noWrap/>
            <w:tcMar>
              <w:right w:w="0" w:type="dxa"/>
            </w:tcMar>
            <w:vAlign w:val="center"/>
          </w:tcPr>
          <w:p w:rsidR="0093152F" w:rsidRDefault="0093152F" w:rsidP="0077337C">
            <w:pPr>
              <w:rPr>
                <w:sz w:val="18"/>
                <w:szCs w:val="18"/>
              </w:rPr>
            </w:pPr>
            <w:r>
              <w:rPr>
                <w:sz w:val="18"/>
                <w:szCs w:val="18"/>
              </w:rPr>
              <w:t>“</w:t>
            </w:r>
            <w:proofErr w:type="spellStart"/>
            <w:proofErr w:type="gramStart"/>
            <w:r>
              <w:rPr>
                <w:sz w:val="18"/>
                <w:szCs w:val="18"/>
              </w:rPr>
              <w:t>na</w:t>
            </w:r>
            <w:proofErr w:type="spellEnd"/>
            <w:proofErr w:type="gramEnd"/>
            <w:r>
              <w:rPr>
                <w:sz w:val="18"/>
                <w:szCs w:val="18"/>
              </w:rPr>
              <w:t>” means data is not yet available in published reports.</w:t>
            </w:r>
          </w:p>
          <w:p w:rsidR="0093152F" w:rsidRPr="00544122" w:rsidRDefault="0093152F" w:rsidP="0077337C">
            <w:pPr>
              <w:rPr>
                <w:bCs/>
                <w:sz w:val="18"/>
                <w:szCs w:val="18"/>
              </w:rPr>
            </w:pPr>
            <w:r w:rsidRPr="00544122">
              <w:rPr>
                <w:sz w:val="18"/>
                <w:szCs w:val="18"/>
              </w:rPr>
              <w:t xml:space="preserve">Data Source: Louisiana Social Indicators - </w:t>
            </w:r>
            <w:hyperlink r:id="rId10" w:history="1">
              <w:r w:rsidRPr="00544122">
                <w:rPr>
                  <w:rStyle w:val="Hyperlink"/>
                  <w:sz w:val="18"/>
                  <w:szCs w:val="18"/>
                </w:rPr>
                <w:t>http://www.bach-harrison.com/lasocialindicators</w:t>
              </w:r>
            </w:hyperlink>
            <w:r w:rsidRPr="00544122">
              <w:rPr>
                <w:sz w:val="18"/>
                <w:szCs w:val="18"/>
              </w:rPr>
              <w:t xml:space="preserve"> (12/31/2013) as well as regional reports (</w:t>
            </w:r>
            <w:hyperlink r:id="rId11" w:history="1">
              <w:r w:rsidRPr="00544122">
                <w:rPr>
                  <w:rStyle w:val="Hyperlink"/>
                  <w:sz w:val="18"/>
                  <w:szCs w:val="18"/>
                </w:rPr>
                <w:t>http://uiswcmsweb.prod.lsu.edu/edco/lacasu/</w:t>
              </w:r>
            </w:hyperlink>
            <w:r w:rsidRPr="00544122">
              <w:rPr>
                <w:sz w:val="18"/>
                <w:szCs w:val="18"/>
              </w:rPr>
              <w:t xml:space="preserve"> ) and national reports (</w:t>
            </w:r>
            <w:hyperlink r:id="rId12" w:history="1">
              <w:r w:rsidRPr="00544122">
                <w:rPr>
                  <w:rStyle w:val="Hyperlink"/>
                  <w:sz w:val="18"/>
                  <w:szCs w:val="18"/>
                </w:rPr>
                <w:t>http://core.siu.edu/results/index.html</w:t>
              </w:r>
            </w:hyperlink>
            <w:r w:rsidRPr="00544122">
              <w:rPr>
                <w:sz w:val="18"/>
                <w:szCs w:val="18"/>
              </w:rPr>
              <w:t xml:space="preserve"> ).</w:t>
            </w:r>
          </w:p>
        </w:tc>
      </w:tr>
    </w:tbl>
    <w:p w:rsidR="0093152F" w:rsidRDefault="0093152F" w:rsidP="0093152F"/>
    <w:p w:rsidR="00391DC8" w:rsidRDefault="00391DC8" w:rsidP="0093152F">
      <w:pPr>
        <w:rPr>
          <w:u w:val="single"/>
        </w:rPr>
      </w:pPr>
      <w:r w:rsidRPr="00391DC8">
        <w:rPr>
          <w:u w:val="single"/>
        </w:rPr>
        <w:t>Mental Health Consequences</w:t>
      </w:r>
    </w:p>
    <w:p w:rsidR="00391DC8" w:rsidRDefault="00391DC8" w:rsidP="0093152F"/>
    <w:p w:rsidR="0093152F" w:rsidRDefault="0093152F" w:rsidP="0093152F">
      <w:r>
        <w:t xml:space="preserve">Among Greater New Orleans college students, 5 percent indicated they seriously thought about suicide </w:t>
      </w:r>
      <w:r w:rsidRPr="007E2CD4">
        <w:rPr>
          <w:i/>
        </w:rPr>
        <w:t>due to their drinking or drug use</w:t>
      </w:r>
      <w:r>
        <w:t xml:space="preserve"> during the past year while about 1 percent had seriously tried to commit suicide due to their drinking or drug use, based on the 2013 Core Institute Survey. The figures for Louisiana statewide and the 2011 national sample are similar to Greater New Orleans figures.</w:t>
      </w:r>
    </w:p>
    <w:p w:rsidR="0093152F" w:rsidRDefault="0093152F" w:rsidP="0093152F"/>
    <w:p w:rsidR="000F7581" w:rsidRDefault="000F7581" w:rsidP="000F7581"/>
    <w:p w:rsidR="000F7581" w:rsidRPr="000F7581" w:rsidRDefault="000F7581" w:rsidP="000F7581">
      <w:r w:rsidRPr="000F7581">
        <w:rPr>
          <w:b/>
        </w:rPr>
        <w:t>Contact for Further Information</w:t>
      </w:r>
    </w:p>
    <w:p w:rsidR="0093152F" w:rsidRPr="0093152F" w:rsidRDefault="0093152F" w:rsidP="0093152F"/>
    <w:p w:rsidR="0093152F" w:rsidRPr="0093152F" w:rsidRDefault="00B00F8D" w:rsidP="0093152F">
      <w:hyperlink r:id="rId13" w:history="1">
        <w:r w:rsidR="0093152F" w:rsidRPr="0093152F">
          <w:rPr>
            <w:rStyle w:val="Hyperlink"/>
          </w:rPr>
          <w:t>http://uiswcmsweb.prod.lsu.edu/edco/lacasu/</w:t>
        </w:r>
      </w:hyperlink>
    </w:p>
    <w:p w:rsidR="004F4264" w:rsidRDefault="004F4264" w:rsidP="004F4264"/>
    <w:p w:rsidR="004F4264" w:rsidRDefault="004F4264" w:rsidP="004F4264"/>
    <w:p w:rsidR="004F4264" w:rsidRPr="0093152F" w:rsidRDefault="0093152F" w:rsidP="004F4264">
      <w:pPr>
        <w:rPr>
          <w:sz w:val="20"/>
        </w:rPr>
      </w:pPr>
      <w:r w:rsidRPr="0093152F">
        <w:rPr>
          <w:sz w:val="20"/>
        </w:rPr>
        <w:t>Editor: Robert J Gallati (</w:t>
      </w:r>
      <w:hyperlink r:id="rId14" w:history="1">
        <w:r w:rsidRPr="0093152F">
          <w:rPr>
            <w:rStyle w:val="Hyperlink"/>
            <w:sz w:val="20"/>
          </w:rPr>
          <w:t>rjgallati@yaoo.com</w:t>
        </w:r>
      </w:hyperlink>
      <w:r w:rsidRPr="0093152F">
        <w:rPr>
          <w:sz w:val="20"/>
        </w:rPr>
        <w:t>), u</w:t>
      </w:r>
      <w:r w:rsidR="004F4264" w:rsidRPr="0093152F">
        <w:rPr>
          <w:sz w:val="20"/>
        </w:rPr>
        <w:t xml:space="preserve">pdated: </w:t>
      </w:r>
      <w:r w:rsidRPr="0093152F">
        <w:rPr>
          <w:sz w:val="20"/>
        </w:rPr>
        <w:t>0</w:t>
      </w:r>
      <w:r w:rsidR="00C64425">
        <w:rPr>
          <w:sz w:val="20"/>
        </w:rPr>
        <w:t>6</w:t>
      </w:r>
      <w:bookmarkStart w:id="0" w:name="_GoBack"/>
      <w:bookmarkEnd w:id="0"/>
      <w:r w:rsidRPr="0093152F">
        <w:rPr>
          <w:sz w:val="20"/>
        </w:rPr>
        <w:t>/30/14.</w:t>
      </w:r>
    </w:p>
    <w:sectPr w:rsidR="004F4264" w:rsidRPr="0093152F" w:rsidSect="007214C6">
      <w:headerReference w:type="default"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8D" w:rsidRDefault="00B00F8D" w:rsidP="001B31CC">
      <w:r>
        <w:separator/>
      </w:r>
    </w:p>
  </w:endnote>
  <w:endnote w:type="continuationSeparator" w:id="0">
    <w:p w:rsidR="00B00F8D" w:rsidRDefault="00B00F8D"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0678C4">
    <w:pPr>
      <w:pStyle w:val="Footer"/>
    </w:pPr>
    <w:fldSimple w:instr=" FILENAME   \* MERGEFORMAT ">
      <w:r w:rsidR="00C64425">
        <w:fldChar w:fldCharType="begin"/>
      </w:r>
      <w:r w:rsidR="00C64425">
        <w:instrText xml:space="preserve"> FILENAME   \* MERGEFORMAT </w:instrText>
      </w:r>
      <w:r w:rsidR="00C64425">
        <w:fldChar w:fldCharType="separate"/>
      </w:r>
      <w:r w:rsidR="00C64425">
        <w:rPr>
          <w:noProof/>
        </w:rPr>
        <w:t>5_0105_SUDs-Core_200140630.docx</w:t>
      </w:r>
      <w:r w:rsidR="00C64425">
        <w:fldChar w:fldCharType="end"/>
      </w:r>
    </w:fldSimple>
    <w:r w:rsidR="001B31CC">
      <w:tab/>
    </w:r>
    <w:r w:rsidR="00726497">
      <w:fldChar w:fldCharType="begin"/>
    </w:r>
    <w:r w:rsidR="001B31CC">
      <w:instrText xml:space="preserve"> PAGE   \* MERGEFORMAT </w:instrText>
    </w:r>
    <w:r w:rsidR="00726497">
      <w:fldChar w:fldCharType="separate"/>
    </w:r>
    <w:r w:rsidR="00C64425">
      <w:rPr>
        <w:noProof/>
      </w:rPr>
      <w:t>2</w:t>
    </w:r>
    <w:r w:rsidR="00726497">
      <w:fldChar w:fldCharType="end"/>
    </w:r>
    <w:r w:rsidR="001B31CC">
      <w:t xml:space="preserve"> of </w:t>
    </w:r>
    <w:fldSimple w:instr=" NUMPAGES   \* MERGEFORMAT ">
      <w:r w:rsidR="00C64425">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8D" w:rsidRDefault="00B00F8D" w:rsidP="001B31CC">
      <w:r>
        <w:separator/>
      </w:r>
    </w:p>
  </w:footnote>
  <w:footnote w:type="continuationSeparator" w:id="0">
    <w:p w:rsidR="00B00F8D" w:rsidRDefault="00B00F8D" w:rsidP="001B31CC">
      <w:r>
        <w:continuationSeparator/>
      </w:r>
    </w:p>
  </w:footnote>
  <w:footnote w:id="1">
    <w:p w:rsidR="008543CD" w:rsidRDefault="008543CD" w:rsidP="008543CD">
      <w:pPr>
        <w:pStyle w:val="FootnoteText"/>
      </w:pPr>
      <w:r>
        <w:rPr>
          <w:rStyle w:val="FootnoteReference"/>
        </w:rPr>
        <w:footnoteRef/>
      </w:r>
      <w:r>
        <w:t xml:space="preserve"> </w:t>
      </w:r>
      <w:proofErr w:type="gramStart"/>
      <w:r>
        <w:t>American Psychiatric Association.</w:t>
      </w:r>
      <w:proofErr w:type="gramEnd"/>
      <w:r>
        <w:t xml:space="preserve"> </w:t>
      </w:r>
      <w:proofErr w:type="gramStart"/>
      <w:r w:rsidRPr="007A1668">
        <w:rPr>
          <w:i/>
        </w:rPr>
        <w:t>Diagnostic and Statistical Manual of Mental Disorders, Fourth Edition</w:t>
      </w:r>
      <w:r>
        <w:t xml:space="preserve"> (DSM-IV).</w:t>
      </w:r>
      <w:proofErr w:type="gramEnd"/>
      <w:r>
        <w:t xml:space="preserve"> Washington DC, 1994, pp. 181-2. </w:t>
      </w:r>
      <w:r w:rsidRPr="001C2E89">
        <w:t xml:space="preserve">Separate criteria are provided for dependence and abuse. </w:t>
      </w:r>
      <w:r w:rsidRPr="00D2029D">
        <w:rPr>
          <w:i/>
        </w:rPr>
        <w:t>Dependence</w:t>
      </w:r>
      <w:r w:rsidRPr="001C2E89">
        <w:t xml:space="preserve"> criteria </w:t>
      </w:r>
      <w:r>
        <w:t>are the following (paraphrased)</w:t>
      </w:r>
      <w:r w:rsidRPr="001C2E89">
        <w:t>:</w:t>
      </w:r>
      <w:r>
        <w:t xml:space="preserve"> tolerance; withdrawal; loss of control; unsuccessful attempts to control use; preoccupation with obtaining or using; reduced social, occupational or recreational activities; continued use despite negative consequences. Presence of any 3 of these 7 criteria indicates dependence. (</w:t>
      </w:r>
      <w:r w:rsidRPr="00D2029D">
        <w:t>Phy</w:t>
      </w:r>
      <w:r>
        <w:t>siological dependence symptoms,</w:t>
      </w:r>
      <w:r w:rsidRPr="00D2029D">
        <w:t xml:space="preserve"> withdrawal and/or tolerance</w:t>
      </w:r>
      <w:r>
        <w:t>,</w:t>
      </w:r>
      <w:r w:rsidRPr="00D2029D">
        <w:t xml:space="preserve"> are neither necessary nor sufficient conditions for a dependence diagnosis since 3 of 7 criteria must be met.</w:t>
      </w:r>
      <w:r>
        <w:t xml:space="preserve">) </w:t>
      </w:r>
      <w:r w:rsidRPr="00D2029D">
        <w:rPr>
          <w:i/>
        </w:rPr>
        <w:t>Abuse</w:t>
      </w:r>
      <w:r w:rsidRPr="001C2E89">
        <w:t xml:space="preserve"> </w:t>
      </w:r>
      <w:r>
        <w:t>is the recurrent use despite: failure to fulfill important roles; hazardous situations; legal problems; social/interpersonal problems. Presence of any 1 of these 4 criteria is sufficient for an abuse diagnosis.</w:t>
      </w:r>
      <w:r w:rsidRPr="001C2E89">
        <w:t xml:space="preserve"> </w:t>
      </w:r>
      <w:r w:rsidRPr="00D2029D">
        <w:t>Thus dependence and abuse conditions have separate sets of criteria, although a diagnosis of dependence supersedes a diagnosis abuse.</w:t>
      </w:r>
      <w:r>
        <w:t xml:space="preserve"> Substance use disorders (</w:t>
      </w:r>
      <w:r w:rsidRPr="00C944DF">
        <w:t>SUDs</w:t>
      </w:r>
      <w:r>
        <w:t>)</w:t>
      </w:r>
      <w:r w:rsidRPr="00C944DF">
        <w:t xml:space="preserve"> are defined for different classes of substances </w:t>
      </w:r>
      <w:r>
        <w:t xml:space="preserve">using the same criteria.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8543CD" w:rsidRPr="008543CD" w:rsidRDefault="008543CD" w:rsidP="008543CD">
    <w:pPr>
      <w:pStyle w:val="Header"/>
      <w:rPr>
        <w:b/>
      </w:rPr>
    </w:pPr>
    <w:r w:rsidRPr="008543CD">
      <w:rPr>
        <w:b/>
      </w:rPr>
      <w:t>Consequences of Substance Use – Substance Use Disorders</w:t>
    </w:r>
  </w:p>
  <w:p w:rsidR="00DD1E24" w:rsidRPr="006E4BC1" w:rsidRDefault="00DD1E24" w:rsidP="008543CD">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E"/>
    <w:rsid w:val="00047859"/>
    <w:rsid w:val="0005363D"/>
    <w:rsid w:val="000678C4"/>
    <w:rsid w:val="000726C0"/>
    <w:rsid w:val="000C092D"/>
    <w:rsid w:val="000D188F"/>
    <w:rsid w:val="000E3853"/>
    <w:rsid w:val="000F3280"/>
    <w:rsid w:val="000F7581"/>
    <w:rsid w:val="001440D4"/>
    <w:rsid w:val="0015747A"/>
    <w:rsid w:val="001B31CC"/>
    <w:rsid w:val="001E7474"/>
    <w:rsid w:val="00201E5F"/>
    <w:rsid w:val="00202AD8"/>
    <w:rsid w:val="00213B5A"/>
    <w:rsid w:val="002315F0"/>
    <w:rsid w:val="002318EB"/>
    <w:rsid w:val="0024791A"/>
    <w:rsid w:val="002517AA"/>
    <w:rsid w:val="002838EF"/>
    <w:rsid w:val="0028675C"/>
    <w:rsid w:val="002B140C"/>
    <w:rsid w:val="002C5D2D"/>
    <w:rsid w:val="002E428C"/>
    <w:rsid w:val="00302423"/>
    <w:rsid w:val="003348D2"/>
    <w:rsid w:val="0036519E"/>
    <w:rsid w:val="00391DC8"/>
    <w:rsid w:val="00392126"/>
    <w:rsid w:val="0039218D"/>
    <w:rsid w:val="003D7190"/>
    <w:rsid w:val="00443DBE"/>
    <w:rsid w:val="004A474C"/>
    <w:rsid w:val="004D0603"/>
    <w:rsid w:val="004D57B2"/>
    <w:rsid w:val="004E7EF2"/>
    <w:rsid w:val="004F4264"/>
    <w:rsid w:val="00546230"/>
    <w:rsid w:val="00563573"/>
    <w:rsid w:val="005917EF"/>
    <w:rsid w:val="0060239C"/>
    <w:rsid w:val="00650C16"/>
    <w:rsid w:val="00684CF0"/>
    <w:rsid w:val="00693BBB"/>
    <w:rsid w:val="00694BCF"/>
    <w:rsid w:val="0069748D"/>
    <w:rsid w:val="006A65C8"/>
    <w:rsid w:val="006B22A9"/>
    <w:rsid w:val="006B2887"/>
    <w:rsid w:val="006D4F96"/>
    <w:rsid w:val="006E4BC1"/>
    <w:rsid w:val="007214C6"/>
    <w:rsid w:val="00722A7F"/>
    <w:rsid w:val="00726497"/>
    <w:rsid w:val="007439F1"/>
    <w:rsid w:val="0075355D"/>
    <w:rsid w:val="007619DF"/>
    <w:rsid w:val="007A023C"/>
    <w:rsid w:val="007A45AB"/>
    <w:rsid w:val="008020DA"/>
    <w:rsid w:val="00812E90"/>
    <w:rsid w:val="008302C3"/>
    <w:rsid w:val="008324A9"/>
    <w:rsid w:val="00843D1D"/>
    <w:rsid w:val="008543CD"/>
    <w:rsid w:val="00862080"/>
    <w:rsid w:val="008A34F9"/>
    <w:rsid w:val="008D578E"/>
    <w:rsid w:val="008F74AA"/>
    <w:rsid w:val="0093152F"/>
    <w:rsid w:val="0094555E"/>
    <w:rsid w:val="00952A84"/>
    <w:rsid w:val="0096217B"/>
    <w:rsid w:val="00962F2E"/>
    <w:rsid w:val="00975E1E"/>
    <w:rsid w:val="00985016"/>
    <w:rsid w:val="009C039F"/>
    <w:rsid w:val="009C534C"/>
    <w:rsid w:val="009D1DAB"/>
    <w:rsid w:val="009E292F"/>
    <w:rsid w:val="00A02D06"/>
    <w:rsid w:val="00A06288"/>
    <w:rsid w:val="00A37AD2"/>
    <w:rsid w:val="00A4227B"/>
    <w:rsid w:val="00A85D4E"/>
    <w:rsid w:val="00A8644E"/>
    <w:rsid w:val="00AB44E8"/>
    <w:rsid w:val="00AC3FD1"/>
    <w:rsid w:val="00AD6173"/>
    <w:rsid w:val="00AF5A02"/>
    <w:rsid w:val="00B00F8D"/>
    <w:rsid w:val="00B03D3C"/>
    <w:rsid w:val="00B964DB"/>
    <w:rsid w:val="00BB36AD"/>
    <w:rsid w:val="00BC0572"/>
    <w:rsid w:val="00BD41FF"/>
    <w:rsid w:val="00C13A65"/>
    <w:rsid w:val="00C17E6A"/>
    <w:rsid w:val="00C26DD8"/>
    <w:rsid w:val="00C33589"/>
    <w:rsid w:val="00C338CA"/>
    <w:rsid w:val="00C42104"/>
    <w:rsid w:val="00C64425"/>
    <w:rsid w:val="00C64A71"/>
    <w:rsid w:val="00C81ED2"/>
    <w:rsid w:val="00CB19AA"/>
    <w:rsid w:val="00CC1AAA"/>
    <w:rsid w:val="00CC58D0"/>
    <w:rsid w:val="00CF5D44"/>
    <w:rsid w:val="00D146B2"/>
    <w:rsid w:val="00D66870"/>
    <w:rsid w:val="00DC0DE1"/>
    <w:rsid w:val="00DD1E24"/>
    <w:rsid w:val="00DF1139"/>
    <w:rsid w:val="00E65EF6"/>
    <w:rsid w:val="00E77285"/>
    <w:rsid w:val="00E81BD9"/>
    <w:rsid w:val="00E82620"/>
    <w:rsid w:val="00E8405F"/>
    <w:rsid w:val="00E95D8C"/>
    <w:rsid w:val="00EA430E"/>
    <w:rsid w:val="00EB2A9A"/>
    <w:rsid w:val="00EB71B1"/>
    <w:rsid w:val="00EC04F1"/>
    <w:rsid w:val="00EC5CFD"/>
    <w:rsid w:val="00EE6935"/>
    <w:rsid w:val="00EF0510"/>
    <w:rsid w:val="00F7602E"/>
    <w:rsid w:val="00F77D5B"/>
    <w:rsid w:val="00F94B0C"/>
    <w:rsid w:val="00FA1B45"/>
    <w:rsid w:val="00FA1C4F"/>
    <w:rsid w:val="00FB20B9"/>
    <w:rsid w:val="00FB48D1"/>
    <w:rsid w:val="00FB615F"/>
    <w:rsid w:val="00FE43A9"/>
    <w:rsid w:val="00FF1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e.siu.edu/surveys/" TargetMode="External"/><Relationship Id="rId13" Type="http://schemas.openxmlformats.org/officeDocument/2006/relationships/hyperlink" Target="http://uiswcmsweb.prod.lsu.edu/edco/lacas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re.siu.edu/results/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iswcmsweb.prod.lsu.edu/edco/lacas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ach-harrison.com/lasocialindicators" TargetMode="External"/><Relationship Id="rId4" Type="http://schemas.openxmlformats.org/officeDocument/2006/relationships/settings" Target="settings.xml"/><Relationship Id="rId9" Type="http://schemas.openxmlformats.org/officeDocument/2006/relationships/hyperlink" Target="http://core.siu.edu/surveys/" TargetMode="External"/><Relationship Id="rId14" Type="http://schemas.openxmlformats.org/officeDocument/2006/relationships/hyperlink" Target="mailto:rjgallati@yao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4</cp:revision>
  <cp:lastPrinted>2014-05-16T20:27:00Z</cp:lastPrinted>
  <dcterms:created xsi:type="dcterms:W3CDTF">2014-07-24T13:23:00Z</dcterms:created>
  <dcterms:modified xsi:type="dcterms:W3CDTF">2014-07-24T17:10:00Z</dcterms:modified>
</cp:coreProperties>
</file>