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A7" w:rsidRDefault="00FE75A7" w:rsidP="00872A87">
      <w:pPr>
        <w:jc w:val="center"/>
        <w:rPr>
          <w:b/>
        </w:rPr>
      </w:pPr>
    </w:p>
    <w:p w:rsidR="00872A87" w:rsidRPr="003961C1" w:rsidRDefault="00872A87" w:rsidP="00872A87">
      <w:pPr>
        <w:jc w:val="center"/>
        <w:rPr>
          <w:b/>
        </w:rPr>
      </w:pPr>
      <w:r w:rsidRPr="003961C1">
        <w:rPr>
          <w:b/>
        </w:rPr>
        <w:t xml:space="preserve">Core Institute </w:t>
      </w:r>
      <w:r w:rsidR="00FE75A7">
        <w:rPr>
          <w:b/>
        </w:rPr>
        <w:t>Alcohol and Drug</w:t>
      </w:r>
      <w:r w:rsidRPr="003961C1">
        <w:rPr>
          <w:b/>
        </w:rPr>
        <w:t xml:space="preserve"> Survey </w:t>
      </w:r>
      <w:r w:rsidR="00FE75A7">
        <w:rPr>
          <w:b/>
        </w:rPr>
        <w:t>(of College Students)</w:t>
      </w:r>
    </w:p>
    <w:p w:rsidR="00872A87" w:rsidRDefault="00872A87" w:rsidP="00872A87">
      <w:pPr>
        <w:rPr>
          <w:u w:val="single"/>
        </w:rPr>
      </w:pPr>
    </w:p>
    <w:p w:rsidR="00872A87" w:rsidRPr="0031239F" w:rsidRDefault="00872A87" w:rsidP="00872A87">
      <w:pPr>
        <w:rPr>
          <w:b/>
        </w:rPr>
      </w:pPr>
      <w:r>
        <w:rPr>
          <w:b/>
        </w:rPr>
        <w:t>Survey Description</w:t>
      </w:r>
    </w:p>
    <w:p w:rsidR="00872A87" w:rsidRDefault="00872A87" w:rsidP="00872A87">
      <w:pPr>
        <w:rPr>
          <w:u w:val="single"/>
        </w:rPr>
      </w:pPr>
    </w:p>
    <w:p w:rsidR="00872A87" w:rsidRPr="00E552B8" w:rsidRDefault="00872A87" w:rsidP="00872A87">
      <w:r>
        <w:t>The Core I</w:t>
      </w:r>
      <w:r w:rsidRPr="00E552B8">
        <w:t>nstitute</w:t>
      </w:r>
      <w:r>
        <w:t xml:space="preserve"> at the</w:t>
      </w:r>
      <w:r w:rsidRPr="00E552B8">
        <w:t xml:space="preserve"> Southern</w:t>
      </w:r>
      <w:r>
        <w:t xml:space="preserve"> Illinois University Carbondale </w:t>
      </w:r>
      <w:r w:rsidRPr="00E552B8">
        <w:t>Student Health Center</w:t>
      </w:r>
      <w:r>
        <w:t xml:space="preserve"> </w:t>
      </w:r>
      <w:r w:rsidRPr="00E552B8">
        <w:t xml:space="preserve">began as a federally funded service </w:t>
      </w:r>
      <w:r>
        <w:t xml:space="preserve">but now </w:t>
      </w:r>
      <w:r w:rsidRPr="00E552B8">
        <w:t xml:space="preserve">operates on a cost recovery basis. </w:t>
      </w:r>
      <w:r w:rsidRPr="00F66281">
        <w:t xml:space="preserve">The surveys </w:t>
      </w:r>
      <w:r>
        <w:t>developed</w:t>
      </w:r>
      <w:r w:rsidRPr="00F66281">
        <w:t xml:space="preserve"> by the Core Institute quantify and document </w:t>
      </w:r>
      <w:r>
        <w:t xml:space="preserve">the </w:t>
      </w:r>
      <w:r w:rsidRPr="00F66281">
        <w:t xml:space="preserve">attitudes, perceptions, and opinions </w:t>
      </w:r>
      <w:r>
        <w:t>of college students, faculty and administrators regarding</w:t>
      </w:r>
      <w:r w:rsidRPr="00F66281">
        <w:t xml:space="preserve"> alcohol and drugs. The surveys also measure </w:t>
      </w:r>
      <w:r>
        <w:t>students’ alcohol and other drug</w:t>
      </w:r>
      <w:r w:rsidRPr="00F66281">
        <w:t xml:space="preserve"> use </w:t>
      </w:r>
      <w:r>
        <w:t xml:space="preserve">behaviors </w:t>
      </w:r>
      <w:r w:rsidRPr="00F66281">
        <w:t>and consequences of use.</w:t>
      </w:r>
      <w:r w:rsidRPr="00E552B8">
        <w:t xml:space="preserve"> </w:t>
      </w:r>
      <w:r>
        <w:t>The Institute has</w:t>
      </w:r>
      <w:r w:rsidRPr="00E552B8">
        <w:t xml:space="preserve"> the largest database on alcohol and other drug use at post-secondary educational institutions.</w:t>
      </w:r>
      <w:r>
        <w:t xml:space="preserve"> The principal survey offered by the Core Institute is the Core Alcohol and Drug Survey which is available in the Short Form (2 pages) and Long Form (4 pages). These can be administered as paper and pencil questionnaires or as online Web-based surveys. The Core Institute provides a standard statistical report to participating institutions and publishes statistical reports based on its national sample. </w:t>
      </w:r>
      <w:r w:rsidRPr="003F565C">
        <w:t>(</w:t>
      </w:r>
      <w:hyperlink r:id="rId8" w:history="1">
        <w:r w:rsidRPr="003F565C">
          <w:rPr>
            <w:rStyle w:val="Hyperlink"/>
          </w:rPr>
          <w:t>http://core.siu.edu</w:t>
        </w:r>
      </w:hyperlink>
      <w:r w:rsidRPr="003F565C">
        <w:t>)</w:t>
      </w:r>
    </w:p>
    <w:p w:rsidR="00872A87" w:rsidRPr="007C321D" w:rsidRDefault="00872A87" w:rsidP="00872A87"/>
    <w:p w:rsidR="00872A87" w:rsidRDefault="00872A87" w:rsidP="00872A87">
      <w:r>
        <w:t xml:space="preserve">The Louisiana Department of Health and Hospitals Office of Behavioral Health </w:t>
      </w:r>
      <w:proofErr w:type="gramStart"/>
      <w:r>
        <w:t>provides</w:t>
      </w:r>
      <w:proofErr w:type="gramEnd"/>
      <w:r>
        <w:t xml:space="preserve"> funding supporting the biennial administration of the Core Institute Survey. The</w:t>
      </w:r>
      <w:r w:rsidRPr="00EA3749">
        <w:rPr>
          <w:rFonts w:ascii="Helvetica" w:hAnsi="Helvetica" w:cs="Helvetica"/>
          <w:color w:val="000000"/>
          <w:sz w:val="18"/>
          <w:szCs w:val="18"/>
          <w:lang w:val="en"/>
        </w:rPr>
        <w:t xml:space="preserve"> </w:t>
      </w:r>
      <w:r w:rsidRPr="00EA3749">
        <w:rPr>
          <w:lang w:val="en"/>
        </w:rPr>
        <w:t>Louisiana Center Addressing Substance Use (</w:t>
      </w:r>
      <w:proofErr w:type="spellStart"/>
      <w:r w:rsidRPr="00EA3749">
        <w:rPr>
          <w:lang w:val="en"/>
        </w:rPr>
        <w:t>LaCASU</w:t>
      </w:r>
      <w:proofErr w:type="spellEnd"/>
      <w:r w:rsidRPr="00EA3749">
        <w:rPr>
          <w:lang w:val="en"/>
        </w:rPr>
        <w:t>)</w:t>
      </w:r>
      <w:r>
        <w:rPr>
          <w:lang w:val="en"/>
        </w:rPr>
        <w:t xml:space="preserve"> of Louisiana State University at Baton Rouge coordinates survey administration conducted by institutions of higher education (IHEs) throughout the state.</w:t>
      </w:r>
      <w:r>
        <w:t xml:space="preserve"> The most recent survey was completed in March 2013. </w:t>
      </w:r>
      <w:r w:rsidRPr="006303FF">
        <w:t xml:space="preserve">The Core </w:t>
      </w:r>
      <w:r>
        <w:t xml:space="preserve">Institute </w:t>
      </w:r>
      <w:r w:rsidRPr="006303FF">
        <w:t xml:space="preserve">provides </w:t>
      </w:r>
      <w:r>
        <w:t xml:space="preserve">each participating </w:t>
      </w:r>
      <w:r w:rsidRPr="006303FF">
        <w:t xml:space="preserve">institution of higher education (IHE) with </w:t>
      </w:r>
      <w:r>
        <w:t>a standard report enabling the school</w:t>
      </w:r>
      <w:r w:rsidRPr="006303FF">
        <w:t xml:space="preserve"> to assess </w:t>
      </w:r>
      <w:r>
        <w:t>its</w:t>
      </w:r>
      <w:r w:rsidRPr="006303FF">
        <w:t xml:space="preserve"> student population and campus environment. This information c</w:t>
      </w:r>
      <w:r>
        <w:t>an be used to develop preventive</w:t>
      </w:r>
      <w:r w:rsidRPr="006303FF">
        <w:t xml:space="preserve"> policy and programming, and to monitor change. This is consistent with the risk and protective framework used in other</w:t>
      </w:r>
      <w:r>
        <w:t xml:space="preserve"> prevention service</w:t>
      </w:r>
      <w:r w:rsidRPr="006303FF">
        <w:t xml:space="preserve"> settings.</w:t>
      </w:r>
      <w:r>
        <w:t xml:space="preserve"> Greater New Orleans</w:t>
      </w:r>
      <w:r w:rsidRPr="00F04FE2">
        <w:t xml:space="preserve"> </w:t>
      </w:r>
      <w:r>
        <w:t xml:space="preserve">institutions of higher education (IHEs) participating in the 2013 survey included: </w:t>
      </w:r>
      <w:r w:rsidRPr="00F04FE2">
        <w:t>Tulane University</w:t>
      </w:r>
      <w:r>
        <w:t xml:space="preserve">; </w:t>
      </w:r>
      <w:r w:rsidRPr="00F04FE2">
        <w:t>Southern University of New Orleans</w:t>
      </w:r>
      <w:r>
        <w:t xml:space="preserve">; </w:t>
      </w:r>
      <w:r w:rsidRPr="00F04FE2">
        <w:t>Loyola University of New Orleans</w:t>
      </w:r>
      <w:r>
        <w:t xml:space="preserve">; </w:t>
      </w:r>
      <w:r w:rsidRPr="00F04FE2">
        <w:t>Dillard University</w:t>
      </w:r>
      <w:r>
        <w:t xml:space="preserve">; </w:t>
      </w:r>
      <w:r w:rsidRPr="00F04FE2">
        <w:t>Delgado Community College</w:t>
      </w:r>
      <w:r>
        <w:t xml:space="preserve">; and </w:t>
      </w:r>
      <w:r w:rsidRPr="00F04FE2">
        <w:t>University of New Orleans</w:t>
      </w:r>
      <w:r>
        <w:t>.</w:t>
      </w:r>
    </w:p>
    <w:p w:rsidR="00872A87" w:rsidRDefault="00872A87" w:rsidP="00872A87"/>
    <w:p w:rsidR="00872A87" w:rsidRPr="00F04FE2" w:rsidRDefault="00872A87" w:rsidP="00872A87">
      <w:r>
        <w:t xml:space="preserve">Results of the 2013 Core Institute Alcohol and Drug Use Survey are available on the </w:t>
      </w:r>
      <w:proofErr w:type="spellStart"/>
      <w:r>
        <w:t>LaCASU</w:t>
      </w:r>
      <w:proofErr w:type="spellEnd"/>
      <w:r>
        <w:t xml:space="preserve"> Web site </w:t>
      </w:r>
      <w:r w:rsidRPr="00116E70">
        <w:t>(</w:t>
      </w:r>
      <w:hyperlink r:id="rId9" w:history="1">
        <w:r w:rsidRPr="00116E70">
          <w:rPr>
            <w:rStyle w:val="Hyperlink"/>
          </w:rPr>
          <w:t>http://uiswcmsweb.prod.lsu.edu/edco/lacasu/</w:t>
        </w:r>
      </w:hyperlink>
      <w:r w:rsidRPr="00116E70">
        <w:t>)</w:t>
      </w:r>
      <w:r>
        <w:t>. Selected indicators have also been entered into the Louisiana Social Indicators data base (</w:t>
      </w:r>
      <w:hyperlink r:id="rId10" w:history="1">
        <w:r w:rsidRPr="009C6D68">
          <w:rPr>
            <w:rStyle w:val="Hyperlink"/>
          </w:rPr>
          <w:t>http://www.bach-harrison.com/lasocialindicators/</w:t>
        </w:r>
      </w:hyperlink>
      <w:r>
        <w:t xml:space="preserve">) which includes regional results from 2009, 2011 and 2013. For 2013, Louisiana statewide and regional reports are based on the Short Form (2-page) version of the Core Institute Survey. The </w:t>
      </w:r>
      <w:hyperlink r:id="rId11" w:history="1">
        <w:r w:rsidRPr="00670606">
          <w:rPr>
            <w:rStyle w:val="Hyperlink"/>
          </w:rPr>
          <w:t>Short Form</w:t>
        </w:r>
      </w:hyperlink>
      <w:r>
        <w:t xml:space="preserve"> does </w:t>
      </w:r>
      <w:r w:rsidRPr="009E2E42">
        <w:rPr>
          <w:u w:val="single"/>
        </w:rPr>
        <w:t>not</w:t>
      </w:r>
      <w:r>
        <w:t xml:space="preserve"> include most of risk and protective factor content and some of the consequences content available in the </w:t>
      </w:r>
      <w:hyperlink r:id="rId12" w:history="1">
        <w:r w:rsidRPr="00670606">
          <w:rPr>
            <w:rStyle w:val="Hyperlink"/>
          </w:rPr>
          <w:t>Long Form</w:t>
        </w:r>
      </w:hyperlink>
      <w:r w:rsidRPr="00F54127">
        <w:t>. Responses to Long Form items were available at the state and regional levels for 2011, but are not available for the 2013.</w:t>
      </w:r>
      <w:r>
        <w:t xml:space="preserve"> </w:t>
      </w:r>
    </w:p>
    <w:p w:rsidR="00872A87" w:rsidRDefault="00872A87" w:rsidP="00872A87"/>
    <w:p w:rsidR="00872A87" w:rsidRDefault="00872A87" w:rsidP="00872A87">
      <w:pPr>
        <w:rPr>
          <w:lang w:val="en"/>
        </w:rPr>
      </w:pPr>
      <w:r>
        <w:t>Presentation of Core Institute Survey findings by staff of the</w:t>
      </w:r>
      <w:r w:rsidRPr="00A454F4">
        <w:rPr>
          <w:lang w:val="en"/>
        </w:rPr>
        <w:t xml:space="preserve"> Louisiana Center Addressing Substance Use</w:t>
      </w:r>
      <w:r>
        <w:rPr>
          <w:lang w:val="en"/>
        </w:rPr>
        <w:t xml:space="preserve"> (</w:t>
      </w:r>
      <w:proofErr w:type="spellStart"/>
      <w:r>
        <w:rPr>
          <w:lang w:val="en"/>
        </w:rPr>
        <w:t>LaCASU</w:t>
      </w:r>
      <w:proofErr w:type="spellEnd"/>
      <w:r>
        <w:rPr>
          <w:lang w:val="en"/>
        </w:rPr>
        <w:t>) have noted potential limitations including: levels of school participation and turnover; general social desirability response bias especially when asking about stigmatized or illegal behaviors; low response rates to Web-based surveys; and oversampling female students.</w:t>
      </w:r>
    </w:p>
    <w:p w:rsidR="0025224C" w:rsidRDefault="0025224C" w:rsidP="00872A87">
      <w:pPr>
        <w:rPr>
          <w:lang w:val="en"/>
        </w:rPr>
      </w:pPr>
    </w:p>
    <w:tbl>
      <w:tblPr>
        <w:tblpPr w:leftFromText="180" w:rightFromText="180" w:vertAnchor="text" w:horzAnchor="margin" w:tblpXSpec="right" w:tblpY="141"/>
        <w:tblOverlap w:val="never"/>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990"/>
        <w:gridCol w:w="990"/>
        <w:gridCol w:w="918"/>
      </w:tblGrid>
      <w:tr w:rsidR="00DE32BD" w:rsidRPr="00112A98" w:rsidTr="00B62A6C">
        <w:trPr>
          <w:trHeight w:val="279"/>
        </w:trPr>
        <w:tc>
          <w:tcPr>
            <w:tcW w:w="5058" w:type="dxa"/>
            <w:gridSpan w:val="4"/>
            <w:tcBorders>
              <w:top w:val="nil"/>
              <w:left w:val="nil"/>
              <w:right w:val="nil"/>
            </w:tcBorders>
            <w:vAlign w:val="center"/>
          </w:tcPr>
          <w:p w:rsidR="00DE32BD" w:rsidRDefault="00B62A6C" w:rsidP="00DE32BD">
            <w:pPr>
              <w:jc w:val="center"/>
              <w:rPr>
                <w:b/>
                <w:sz w:val="20"/>
              </w:rPr>
            </w:pPr>
            <w:r>
              <w:rPr>
                <w:b/>
                <w:sz w:val="20"/>
              </w:rPr>
              <w:lastRenderedPageBreak/>
              <w:t>Table 1</w:t>
            </w:r>
            <w:r w:rsidR="00DE32BD">
              <w:rPr>
                <w:b/>
                <w:sz w:val="20"/>
              </w:rPr>
              <w:t xml:space="preserve">: </w:t>
            </w:r>
            <w:r w:rsidR="00DE32BD" w:rsidRPr="00E466FD">
              <w:rPr>
                <w:b/>
                <w:sz w:val="20"/>
              </w:rPr>
              <w:t>Number of Institutions of Higher Education (IHE</w:t>
            </w:r>
            <w:r w:rsidR="00DE32BD">
              <w:rPr>
                <w:b/>
                <w:sz w:val="20"/>
              </w:rPr>
              <w:t>s</w:t>
            </w:r>
            <w:r w:rsidR="00DE32BD" w:rsidRPr="00E466FD">
              <w:rPr>
                <w:b/>
                <w:sz w:val="20"/>
              </w:rPr>
              <w:t xml:space="preserve">) </w:t>
            </w:r>
            <w:r w:rsidR="00DE32BD">
              <w:rPr>
                <w:b/>
                <w:sz w:val="20"/>
              </w:rPr>
              <w:t xml:space="preserve">and Students </w:t>
            </w:r>
            <w:r w:rsidR="00DE32BD" w:rsidRPr="00E466FD">
              <w:rPr>
                <w:b/>
                <w:sz w:val="20"/>
              </w:rPr>
              <w:t xml:space="preserve">Participating in the Core </w:t>
            </w:r>
          </w:p>
          <w:p w:rsidR="00DE32BD" w:rsidRPr="00E466FD" w:rsidRDefault="00DE32BD" w:rsidP="00DE32BD">
            <w:pPr>
              <w:jc w:val="center"/>
              <w:rPr>
                <w:b/>
                <w:sz w:val="20"/>
              </w:rPr>
            </w:pPr>
            <w:r w:rsidRPr="00E466FD">
              <w:rPr>
                <w:b/>
                <w:sz w:val="20"/>
              </w:rPr>
              <w:t>Institute Survey by Year of Administration</w:t>
            </w:r>
          </w:p>
        </w:tc>
      </w:tr>
      <w:tr w:rsidR="00DE32BD" w:rsidRPr="00112A98" w:rsidTr="00DE32BD">
        <w:trPr>
          <w:trHeight w:val="279"/>
        </w:trPr>
        <w:tc>
          <w:tcPr>
            <w:tcW w:w="2160" w:type="dxa"/>
            <w:vAlign w:val="center"/>
          </w:tcPr>
          <w:p w:rsidR="00DE32BD" w:rsidRPr="00E466FD" w:rsidRDefault="00DE32BD" w:rsidP="00DE32BD">
            <w:pPr>
              <w:jc w:val="center"/>
              <w:rPr>
                <w:b/>
                <w:sz w:val="20"/>
              </w:rPr>
            </w:pPr>
            <w:r w:rsidRPr="00E466FD">
              <w:rPr>
                <w:b/>
                <w:sz w:val="20"/>
              </w:rPr>
              <w:t>Type of Institution</w:t>
            </w:r>
          </w:p>
        </w:tc>
        <w:tc>
          <w:tcPr>
            <w:tcW w:w="990" w:type="dxa"/>
            <w:vAlign w:val="center"/>
          </w:tcPr>
          <w:p w:rsidR="00DE32BD" w:rsidRPr="00E466FD" w:rsidRDefault="00DE32BD" w:rsidP="00DE32BD">
            <w:pPr>
              <w:jc w:val="center"/>
              <w:rPr>
                <w:b/>
                <w:sz w:val="20"/>
              </w:rPr>
            </w:pPr>
            <w:r w:rsidRPr="00E466FD">
              <w:rPr>
                <w:b/>
                <w:sz w:val="20"/>
              </w:rPr>
              <w:t>Spring 2009</w:t>
            </w:r>
          </w:p>
        </w:tc>
        <w:tc>
          <w:tcPr>
            <w:tcW w:w="990" w:type="dxa"/>
            <w:vAlign w:val="center"/>
          </w:tcPr>
          <w:p w:rsidR="00DE32BD" w:rsidRPr="00E466FD" w:rsidRDefault="00DE32BD" w:rsidP="00DE32BD">
            <w:pPr>
              <w:jc w:val="center"/>
              <w:rPr>
                <w:b/>
                <w:sz w:val="20"/>
              </w:rPr>
            </w:pPr>
            <w:r w:rsidRPr="00E466FD">
              <w:rPr>
                <w:b/>
                <w:sz w:val="20"/>
              </w:rPr>
              <w:t>Spring 2011</w:t>
            </w:r>
          </w:p>
        </w:tc>
        <w:tc>
          <w:tcPr>
            <w:tcW w:w="918" w:type="dxa"/>
            <w:vAlign w:val="center"/>
          </w:tcPr>
          <w:p w:rsidR="00DE32BD" w:rsidRPr="00E466FD" w:rsidRDefault="00DE32BD" w:rsidP="00DE32BD">
            <w:pPr>
              <w:jc w:val="center"/>
              <w:rPr>
                <w:b/>
                <w:sz w:val="20"/>
              </w:rPr>
            </w:pPr>
            <w:r w:rsidRPr="00E466FD">
              <w:rPr>
                <w:b/>
                <w:sz w:val="20"/>
              </w:rPr>
              <w:t>Spring 2013</w:t>
            </w:r>
          </w:p>
        </w:tc>
      </w:tr>
      <w:tr w:rsidR="00DE32BD" w:rsidRPr="00112A98" w:rsidTr="00DE32BD">
        <w:trPr>
          <w:trHeight w:val="297"/>
        </w:trPr>
        <w:tc>
          <w:tcPr>
            <w:tcW w:w="2160" w:type="dxa"/>
            <w:vAlign w:val="center"/>
          </w:tcPr>
          <w:p w:rsidR="00DE32BD" w:rsidRPr="007A3F05" w:rsidRDefault="00DE32BD" w:rsidP="00DE32BD">
            <w:pPr>
              <w:rPr>
                <w:sz w:val="20"/>
              </w:rPr>
            </w:pPr>
            <w:r w:rsidRPr="007A3F05">
              <w:rPr>
                <w:sz w:val="20"/>
              </w:rPr>
              <w:t xml:space="preserve">Four-Year Universities </w:t>
            </w:r>
          </w:p>
        </w:tc>
        <w:tc>
          <w:tcPr>
            <w:tcW w:w="990" w:type="dxa"/>
            <w:vAlign w:val="center"/>
          </w:tcPr>
          <w:p w:rsidR="00DE32BD" w:rsidRPr="007A3F05" w:rsidRDefault="00DE32BD" w:rsidP="00DE32BD">
            <w:pPr>
              <w:jc w:val="center"/>
              <w:rPr>
                <w:sz w:val="20"/>
              </w:rPr>
            </w:pPr>
            <w:r w:rsidRPr="007A3F05">
              <w:rPr>
                <w:sz w:val="20"/>
              </w:rPr>
              <w:t>19</w:t>
            </w:r>
          </w:p>
        </w:tc>
        <w:tc>
          <w:tcPr>
            <w:tcW w:w="990" w:type="dxa"/>
            <w:vAlign w:val="center"/>
          </w:tcPr>
          <w:p w:rsidR="00DE32BD" w:rsidRPr="007A3F05" w:rsidRDefault="00DE32BD" w:rsidP="00DE32BD">
            <w:pPr>
              <w:jc w:val="center"/>
              <w:rPr>
                <w:sz w:val="20"/>
              </w:rPr>
            </w:pPr>
            <w:r w:rsidRPr="007A3F05">
              <w:rPr>
                <w:sz w:val="20"/>
              </w:rPr>
              <w:t>21</w:t>
            </w:r>
          </w:p>
        </w:tc>
        <w:tc>
          <w:tcPr>
            <w:tcW w:w="918" w:type="dxa"/>
            <w:vAlign w:val="center"/>
          </w:tcPr>
          <w:p w:rsidR="00DE32BD" w:rsidRPr="007A3F05" w:rsidRDefault="00DE32BD" w:rsidP="00DE32BD">
            <w:pPr>
              <w:jc w:val="center"/>
              <w:rPr>
                <w:sz w:val="20"/>
              </w:rPr>
            </w:pPr>
            <w:r w:rsidRPr="007A3F05">
              <w:rPr>
                <w:sz w:val="20"/>
              </w:rPr>
              <w:t>17</w:t>
            </w:r>
          </w:p>
        </w:tc>
      </w:tr>
      <w:tr w:rsidR="00DE32BD" w:rsidRPr="00112A98" w:rsidTr="00DE32BD">
        <w:trPr>
          <w:trHeight w:val="279"/>
        </w:trPr>
        <w:tc>
          <w:tcPr>
            <w:tcW w:w="2160" w:type="dxa"/>
            <w:vAlign w:val="center"/>
          </w:tcPr>
          <w:p w:rsidR="00DE32BD" w:rsidRPr="007A3F05" w:rsidRDefault="00DE32BD" w:rsidP="00DE32BD">
            <w:pPr>
              <w:rPr>
                <w:sz w:val="20"/>
              </w:rPr>
            </w:pPr>
            <w:r w:rsidRPr="007A3F05">
              <w:rPr>
                <w:sz w:val="20"/>
              </w:rPr>
              <w:t xml:space="preserve">Two-Year Universities </w:t>
            </w:r>
          </w:p>
        </w:tc>
        <w:tc>
          <w:tcPr>
            <w:tcW w:w="990" w:type="dxa"/>
            <w:vAlign w:val="center"/>
          </w:tcPr>
          <w:p w:rsidR="00DE32BD" w:rsidRPr="007A3F05" w:rsidRDefault="00DE32BD" w:rsidP="00DE32BD">
            <w:pPr>
              <w:jc w:val="center"/>
              <w:rPr>
                <w:sz w:val="20"/>
              </w:rPr>
            </w:pPr>
            <w:r w:rsidRPr="007A3F05">
              <w:rPr>
                <w:sz w:val="20"/>
              </w:rPr>
              <w:t>7</w:t>
            </w:r>
          </w:p>
        </w:tc>
        <w:tc>
          <w:tcPr>
            <w:tcW w:w="990" w:type="dxa"/>
            <w:vAlign w:val="center"/>
          </w:tcPr>
          <w:p w:rsidR="00DE32BD" w:rsidRPr="007A3F05" w:rsidRDefault="00DE32BD" w:rsidP="00DE32BD">
            <w:pPr>
              <w:jc w:val="center"/>
              <w:rPr>
                <w:sz w:val="20"/>
              </w:rPr>
            </w:pPr>
            <w:r w:rsidRPr="007A3F05">
              <w:rPr>
                <w:sz w:val="20"/>
              </w:rPr>
              <w:t>6</w:t>
            </w:r>
          </w:p>
        </w:tc>
        <w:tc>
          <w:tcPr>
            <w:tcW w:w="918" w:type="dxa"/>
            <w:vAlign w:val="center"/>
          </w:tcPr>
          <w:p w:rsidR="00DE32BD" w:rsidRPr="007A3F05" w:rsidRDefault="00DE32BD" w:rsidP="00DE32BD">
            <w:pPr>
              <w:jc w:val="center"/>
              <w:rPr>
                <w:sz w:val="20"/>
              </w:rPr>
            </w:pPr>
            <w:r w:rsidRPr="007A3F05">
              <w:rPr>
                <w:sz w:val="20"/>
              </w:rPr>
              <w:t>4</w:t>
            </w:r>
          </w:p>
        </w:tc>
      </w:tr>
      <w:tr w:rsidR="00DE32BD" w:rsidRPr="00112A98" w:rsidTr="00DE32BD">
        <w:trPr>
          <w:trHeight w:val="279"/>
        </w:trPr>
        <w:tc>
          <w:tcPr>
            <w:tcW w:w="2160" w:type="dxa"/>
            <w:vAlign w:val="center"/>
          </w:tcPr>
          <w:p w:rsidR="00DE32BD" w:rsidRPr="007A3F05" w:rsidRDefault="00DE32BD" w:rsidP="00DE32BD">
            <w:pPr>
              <w:rPr>
                <w:sz w:val="20"/>
              </w:rPr>
            </w:pPr>
            <w:r w:rsidRPr="007A3F05">
              <w:rPr>
                <w:sz w:val="20"/>
              </w:rPr>
              <w:t xml:space="preserve">Technical Colleges </w:t>
            </w:r>
          </w:p>
        </w:tc>
        <w:tc>
          <w:tcPr>
            <w:tcW w:w="990" w:type="dxa"/>
            <w:vAlign w:val="center"/>
          </w:tcPr>
          <w:p w:rsidR="00DE32BD" w:rsidRPr="007A3F05" w:rsidRDefault="00DE32BD" w:rsidP="00DE32BD">
            <w:pPr>
              <w:jc w:val="center"/>
              <w:rPr>
                <w:sz w:val="20"/>
              </w:rPr>
            </w:pPr>
            <w:r w:rsidRPr="007A3F05">
              <w:rPr>
                <w:sz w:val="20"/>
              </w:rPr>
              <w:t>7</w:t>
            </w:r>
          </w:p>
        </w:tc>
        <w:tc>
          <w:tcPr>
            <w:tcW w:w="990" w:type="dxa"/>
            <w:vAlign w:val="center"/>
          </w:tcPr>
          <w:p w:rsidR="00DE32BD" w:rsidRPr="007A3F05" w:rsidRDefault="00DE32BD" w:rsidP="00DE32BD">
            <w:pPr>
              <w:jc w:val="center"/>
              <w:rPr>
                <w:sz w:val="20"/>
              </w:rPr>
            </w:pPr>
            <w:r w:rsidRPr="007A3F05">
              <w:rPr>
                <w:sz w:val="20"/>
              </w:rPr>
              <w:t>8</w:t>
            </w:r>
          </w:p>
        </w:tc>
        <w:tc>
          <w:tcPr>
            <w:tcW w:w="918" w:type="dxa"/>
            <w:vAlign w:val="center"/>
          </w:tcPr>
          <w:p w:rsidR="00DE32BD" w:rsidRPr="007A3F05" w:rsidRDefault="00DE32BD" w:rsidP="00DE32BD">
            <w:pPr>
              <w:jc w:val="center"/>
              <w:rPr>
                <w:sz w:val="20"/>
              </w:rPr>
            </w:pPr>
            <w:r w:rsidRPr="007A3F05">
              <w:rPr>
                <w:sz w:val="20"/>
              </w:rPr>
              <w:t>1</w:t>
            </w:r>
          </w:p>
        </w:tc>
      </w:tr>
      <w:tr w:rsidR="00DE32BD" w:rsidRPr="00112A98" w:rsidTr="00DE32BD">
        <w:trPr>
          <w:trHeight w:val="279"/>
        </w:trPr>
        <w:tc>
          <w:tcPr>
            <w:tcW w:w="2160" w:type="dxa"/>
            <w:vAlign w:val="center"/>
          </w:tcPr>
          <w:p w:rsidR="00DE32BD" w:rsidRPr="008A2A2D" w:rsidRDefault="00DE32BD" w:rsidP="00DE32BD">
            <w:pPr>
              <w:jc w:val="center"/>
              <w:rPr>
                <w:b/>
                <w:sz w:val="20"/>
              </w:rPr>
            </w:pPr>
            <w:r w:rsidRPr="008A2A2D">
              <w:rPr>
                <w:b/>
                <w:sz w:val="20"/>
              </w:rPr>
              <w:t>Total</w:t>
            </w:r>
            <w:r>
              <w:rPr>
                <w:b/>
                <w:sz w:val="20"/>
              </w:rPr>
              <w:t xml:space="preserve"> IHEs</w:t>
            </w:r>
          </w:p>
        </w:tc>
        <w:tc>
          <w:tcPr>
            <w:tcW w:w="990" w:type="dxa"/>
            <w:vAlign w:val="center"/>
          </w:tcPr>
          <w:p w:rsidR="00DE32BD" w:rsidRPr="007A3F05" w:rsidRDefault="00DE32BD" w:rsidP="00DE32BD">
            <w:pPr>
              <w:jc w:val="center"/>
              <w:rPr>
                <w:sz w:val="20"/>
              </w:rPr>
            </w:pPr>
            <w:r w:rsidRPr="007A3F05">
              <w:rPr>
                <w:sz w:val="20"/>
              </w:rPr>
              <w:t>33</w:t>
            </w:r>
          </w:p>
        </w:tc>
        <w:tc>
          <w:tcPr>
            <w:tcW w:w="990" w:type="dxa"/>
            <w:vAlign w:val="center"/>
          </w:tcPr>
          <w:p w:rsidR="00DE32BD" w:rsidRPr="007A3F05" w:rsidRDefault="00DE32BD" w:rsidP="00DE32BD">
            <w:pPr>
              <w:jc w:val="center"/>
              <w:rPr>
                <w:sz w:val="20"/>
              </w:rPr>
            </w:pPr>
            <w:r w:rsidRPr="007A3F05">
              <w:rPr>
                <w:sz w:val="20"/>
              </w:rPr>
              <w:t>35</w:t>
            </w:r>
          </w:p>
        </w:tc>
        <w:tc>
          <w:tcPr>
            <w:tcW w:w="918" w:type="dxa"/>
            <w:vAlign w:val="center"/>
          </w:tcPr>
          <w:p w:rsidR="00DE32BD" w:rsidRPr="007A3F05" w:rsidRDefault="00DE32BD" w:rsidP="00DE32BD">
            <w:pPr>
              <w:jc w:val="center"/>
              <w:rPr>
                <w:sz w:val="20"/>
              </w:rPr>
            </w:pPr>
            <w:r w:rsidRPr="007A3F05">
              <w:rPr>
                <w:sz w:val="20"/>
              </w:rPr>
              <w:t>22</w:t>
            </w:r>
          </w:p>
        </w:tc>
      </w:tr>
      <w:tr w:rsidR="00DE32BD" w:rsidRPr="00112A98" w:rsidTr="00B62A6C">
        <w:trPr>
          <w:trHeight w:val="279"/>
        </w:trPr>
        <w:tc>
          <w:tcPr>
            <w:tcW w:w="2160" w:type="dxa"/>
            <w:tcBorders>
              <w:bottom w:val="single" w:sz="4" w:space="0" w:color="auto"/>
            </w:tcBorders>
            <w:vAlign w:val="center"/>
          </w:tcPr>
          <w:p w:rsidR="00DE32BD" w:rsidRPr="00981C6D" w:rsidRDefault="00DE32BD" w:rsidP="00DE32BD">
            <w:pPr>
              <w:rPr>
                <w:sz w:val="20"/>
              </w:rPr>
            </w:pPr>
            <w:r w:rsidRPr="00981C6D">
              <w:rPr>
                <w:sz w:val="20"/>
              </w:rPr>
              <w:t>Total Students</w:t>
            </w:r>
          </w:p>
        </w:tc>
        <w:tc>
          <w:tcPr>
            <w:tcW w:w="990" w:type="dxa"/>
            <w:tcBorders>
              <w:bottom w:val="single" w:sz="4" w:space="0" w:color="auto"/>
            </w:tcBorders>
            <w:vAlign w:val="center"/>
          </w:tcPr>
          <w:p w:rsidR="00DE32BD" w:rsidRPr="007A3F05" w:rsidRDefault="00DE32BD" w:rsidP="00DE32BD">
            <w:pPr>
              <w:jc w:val="center"/>
              <w:rPr>
                <w:sz w:val="20"/>
              </w:rPr>
            </w:pPr>
            <w:r>
              <w:rPr>
                <w:sz w:val="20"/>
              </w:rPr>
              <w:t>12,972</w:t>
            </w:r>
          </w:p>
        </w:tc>
        <w:tc>
          <w:tcPr>
            <w:tcW w:w="990" w:type="dxa"/>
            <w:tcBorders>
              <w:bottom w:val="single" w:sz="4" w:space="0" w:color="auto"/>
            </w:tcBorders>
            <w:vAlign w:val="center"/>
          </w:tcPr>
          <w:p w:rsidR="00DE32BD" w:rsidRPr="007A3F05" w:rsidRDefault="00DE32BD" w:rsidP="00DE32BD">
            <w:pPr>
              <w:jc w:val="center"/>
              <w:rPr>
                <w:sz w:val="20"/>
              </w:rPr>
            </w:pPr>
            <w:r>
              <w:rPr>
                <w:sz w:val="20"/>
              </w:rPr>
              <w:t>9,763</w:t>
            </w:r>
          </w:p>
        </w:tc>
        <w:tc>
          <w:tcPr>
            <w:tcW w:w="918" w:type="dxa"/>
            <w:tcBorders>
              <w:bottom w:val="single" w:sz="4" w:space="0" w:color="auto"/>
            </w:tcBorders>
            <w:vAlign w:val="center"/>
          </w:tcPr>
          <w:p w:rsidR="00DE32BD" w:rsidRPr="007A3F05" w:rsidRDefault="00DE32BD" w:rsidP="00DE32BD">
            <w:pPr>
              <w:jc w:val="center"/>
              <w:rPr>
                <w:sz w:val="20"/>
              </w:rPr>
            </w:pPr>
            <w:r>
              <w:rPr>
                <w:sz w:val="20"/>
              </w:rPr>
              <w:t>7,740</w:t>
            </w:r>
          </w:p>
        </w:tc>
      </w:tr>
      <w:tr w:rsidR="00DE32BD" w:rsidRPr="00112A98" w:rsidTr="00B62A6C">
        <w:trPr>
          <w:trHeight w:val="787"/>
        </w:trPr>
        <w:tc>
          <w:tcPr>
            <w:tcW w:w="5058" w:type="dxa"/>
            <w:gridSpan w:val="4"/>
            <w:tcBorders>
              <w:left w:val="nil"/>
              <w:bottom w:val="nil"/>
              <w:right w:val="nil"/>
            </w:tcBorders>
            <w:vAlign w:val="center"/>
          </w:tcPr>
          <w:p w:rsidR="00DE32BD" w:rsidRPr="009D6445" w:rsidRDefault="00DE32BD" w:rsidP="00DE32BD">
            <w:pPr>
              <w:rPr>
                <w:sz w:val="18"/>
                <w:szCs w:val="18"/>
              </w:rPr>
            </w:pPr>
            <w:r w:rsidRPr="009D6445">
              <w:rPr>
                <w:sz w:val="18"/>
                <w:szCs w:val="18"/>
              </w:rPr>
              <w:t xml:space="preserve">Data Source: B. Blackmon et al. “The College Party? Drinking and Drug Use Trends among College Students in Louisiana” presented July 30, 2013. </w:t>
            </w:r>
            <w:hyperlink r:id="rId13" w:history="1">
              <w:r w:rsidRPr="009D6445">
                <w:rPr>
                  <w:rStyle w:val="Hyperlink"/>
                  <w:sz w:val="18"/>
                  <w:szCs w:val="18"/>
                </w:rPr>
                <w:t>http://uiswcmsweb.prod.lsu.edu/edco/lacasu/</w:t>
              </w:r>
            </w:hyperlink>
            <w:r w:rsidRPr="009D6445">
              <w:rPr>
                <w:sz w:val="18"/>
                <w:szCs w:val="18"/>
              </w:rPr>
              <w:t xml:space="preserve"> .</w:t>
            </w:r>
          </w:p>
        </w:tc>
      </w:tr>
    </w:tbl>
    <w:p w:rsidR="0025224C" w:rsidRPr="0025224C" w:rsidRDefault="0025224C" w:rsidP="00872A87">
      <w:pPr>
        <w:rPr>
          <w:b/>
          <w:lang w:val="en"/>
        </w:rPr>
      </w:pPr>
      <w:r w:rsidRPr="0025224C">
        <w:rPr>
          <w:b/>
          <w:lang w:val="en"/>
        </w:rPr>
        <w:t>Participation by Institutions of Higher Education (IHEs)</w:t>
      </w:r>
    </w:p>
    <w:p w:rsidR="0025224C" w:rsidRPr="009E2E42" w:rsidRDefault="0025224C" w:rsidP="00872A87"/>
    <w:p w:rsidR="00872A87" w:rsidRDefault="00872A87" w:rsidP="00872A87">
      <w:r>
        <w:t>The number of institutions of higher education (IHEs) administering the Core Institute Survey was consistent from 2009 to 2011, but dropped one-third from 2011 to 2013, from 35 to 22 schools. The drop-off was especially great among the technical colleges (</w:t>
      </w:r>
      <w:r w:rsidR="003C2947">
        <w:t xml:space="preserve">from </w:t>
      </w:r>
      <w:r>
        <w:t>8 to 1</w:t>
      </w:r>
      <w:r w:rsidR="003C2947">
        <w:t>)</w:t>
      </w:r>
      <w:r>
        <w:t xml:space="preserve"> while participation among four-year colleges dropped 19 percent (21 to 17). Essentially, the technical colleges are not represented in the statewide statistics for 2013.</w:t>
      </w:r>
    </w:p>
    <w:p w:rsidR="00872A87" w:rsidRDefault="00872A87" w:rsidP="00872A87"/>
    <w:p w:rsidR="00DE32BD" w:rsidRPr="00DE32BD" w:rsidRDefault="00DE32BD" w:rsidP="00872A87">
      <w:pPr>
        <w:rPr>
          <w:b/>
        </w:rPr>
      </w:pPr>
      <w:r w:rsidRPr="00DE32BD">
        <w:rPr>
          <w:b/>
        </w:rPr>
        <w:t>Characteristics of Sample</w:t>
      </w:r>
    </w:p>
    <w:tbl>
      <w:tblPr>
        <w:tblStyle w:val="TableGrid"/>
        <w:tblpPr w:leftFromText="180" w:rightFromText="180" w:vertAnchor="text" w:horzAnchor="margin" w:tblpXSpec="right" w:tblpY="232"/>
        <w:tblOverlap w:val="never"/>
        <w:tblW w:w="0" w:type="auto"/>
        <w:tblLayout w:type="fixed"/>
        <w:tblLook w:val="04A0" w:firstRow="1" w:lastRow="0" w:firstColumn="1" w:lastColumn="0" w:noHBand="0" w:noVBand="1"/>
      </w:tblPr>
      <w:tblGrid>
        <w:gridCol w:w="22"/>
        <w:gridCol w:w="2138"/>
        <w:gridCol w:w="966"/>
        <w:gridCol w:w="966"/>
        <w:gridCol w:w="966"/>
      </w:tblGrid>
      <w:tr w:rsidR="00DE32BD" w:rsidRPr="001A1ADD" w:rsidTr="00B62A6C">
        <w:tc>
          <w:tcPr>
            <w:tcW w:w="5058" w:type="dxa"/>
            <w:gridSpan w:val="5"/>
            <w:tcBorders>
              <w:top w:val="nil"/>
              <w:left w:val="nil"/>
              <w:right w:val="nil"/>
            </w:tcBorders>
            <w:vAlign w:val="center"/>
          </w:tcPr>
          <w:p w:rsidR="00DE32BD" w:rsidRDefault="00DE32BD" w:rsidP="0073130F">
            <w:pPr>
              <w:jc w:val="center"/>
              <w:rPr>
                <w:b/>
                <w:color w:val="000000"/>
                <w:sz w:val="20"/>
              </w:rPr>
            </w:pPr>
            <w:r>
              <w:rPr>
                <w:b/>
                <w:color w:val="000000"/>
                <w:sz w:val="20"/>
              </w:rPr>
              <w:t xml:space="preserve">Table </w:t>
            </w:r>
            <w:r w:rsidR="00C24C51">
              <w:rPr>
                <w:b/>
                <w:color w:val="000000"/>
                <w:sz w:val="20"/>
              </w:rPr>
              <w:t>2</w:t>
            </w:r>
            <w:r>
              <w:rPr>
                <w:b/>
                <w:color w:val="000000"/>
                <w:sz w:val="20"/>
              </w:rPr>
              <w:t xml:space="preserve">: Percentage Distribution of Demographic Characteristics of Students Responding to the </w:t>
            </w:r>
          </w:p>
          <w:p w:rsidR="00DE32BD" w:rsidRPr="001A1ADD" w:rsidRDefault="00DE32BD" w:rsidP="0073130F">
            <w:pPr>
              <w:jc w:val="center"/>
              <w:rPr>
                <w:b/>
                <w:color w:val="000000"/>
                <w:sz w:val="20"/>
              </w:rPr>
            </w:pPr>
            <w:r>
              <w:rPr>
                <w:b/>
                <w:color w:val="000000"/>
                <w:sz w:val="20"/>
              </w:rPr>
              <w:t xml:space="preserve">Core Institute Survey for 2013 Greater New Orleans, 2013 Statewide and 2011 National Samples </w:t>
            </w:r>
          </w:p>
        </w:tc>
      </w:tr>
      <w:tr w:rsidR="00DE32BD" w:rsidRPr="001A1ADD" w:rsidTr="0073130F">
        <w:tc>
          <w:tcPr>
            <w:tcW w:w="2160" w:type="dxa"/>
            <w:gridSpan w:val="2"/>
            <w:vAlign w:val="center"/>
          </w:tcPr>
          <w:p w:rsidR="00DE32BD" w:rsidRPr="001A1ADD" w:rsidRDefault="00DE32BD" w:rsidP="0073130F">
            <w:pPr>
              <w:jc w:val="center"/>
              <w:rPr>
                <w:b/>
                <w:sz w:val="20"/>
              </w:rPr>
            </w:pPr>
            <w:r w:rsidRPr="001A1ADD">
              <w:rPr>
                <w:b/>
                <w:sz w:val="20"/>
              </w:rPr>
              <w:t>Sample Demographics</w:t>
            </w:r>
          </w:p>
        </w:tc>
        <w:tc>
          <w:tcPr>
            <w:tcW w:w="966" w:type="dxa"/>
            <w:vAlign w:val="center"/>
          </w:tcPr>
          <w:p w:rsidR="00DE32BD" w:rsidRDefault="00DE32BD" w:rsidP="0073130F">
            <w:pPr>
              <w:jc w:val="center"/>
              <w:rPr>
                <w:b/>
                <w:color w:val="000000"/>
                <w:sz w:val="20"/>
              </w:rPr>
            </w:pPr>
            <w:r w:rsidRPr="001A1ADD">
              <w:rPr>
                <w:b/>
                <w:color w:val="000000"/>
                <w:sz w:val="20"/>
              </w:rPr>
              <w:t>Greater New Orleans</w:t>
            </w:r>
          </w:p>
          <w:p w:rsidR="00DE32BD" w:rsidRPr="001A1ADD" w:rsidRDefault="00DE32BD" w:rsidP="0073130F">
            <w:pPr>
              <w:jc w:val="center"/>
              <w:rPr>
                <w:b/>
                <w:color w:val="000000"/>
                <w:sz w:val="20"/>
              </w:rPr>
            </w:pPr>
            <w:r>
              <w:rPr>
                <w:b/>
                <w:color w:val="000000"/>
                <w:sz w:val="20"/>
              </w:rPr>
              <w:t>(2013)</w:t>
            </w:r>
          </w:p>
        </w:tc>
        <w:tc>
          <w:tcPr>
            <w:tcW w:w="966" w:type="dxa"/>
            <w:vAlign w:val="center"/>
          </w:tcPr>
          <w:p w:rsidR="00DE32BD" w:rsidRDefault="00DE32BD" w:rsidP="0073130F">
            <w:pPr>
              <w:jc w:val="center"/>
              <w:rPr>
                <w:b/>
                <w:color w:val="000000"/>
                <w:sz w:val="20"/>
              </w:rPr>
            </w:pPr>
            <w:r w:rsidRPr="001A1ADD">
              <w:rPr>
                <w:b/>
                <w:color w:val="000000"/>
                <w:sz w:val="20"/>
              </w:rPr>
              <w:t>State-wide</w:t>
            </w:r>
          </w:p>
          <w:p w:rsidR="00DE32BD" w:rsidRPr="001A1ADD" w:rsidRDefault="00DE32BD" w:rsidP="0073130F">
            <w:pPr>
              <w:jc w:val="center"/>
              <w:rPr>
                <w:b/>
                <w:color w:val="000000"/>
                <w:sz w:val="20"/>
              </w:rPr>
            </w:pPr>
            <w:r>
              <w:rPr>
                <w:b/>
                <w:color w:val="000000"/>
                <w:sz w:val="20"/>
              </w:rPr>
              <w:t>(2013)</w:t>
            </w:r>
          </w:p>
        </w:tc>
        <w:tc>
          <w:tcPr>
            <w:tcW w:w="966" w:type="dxa"/>
            <w:vAlign w:val="center"/>
          </w:tcPr>
          <w:p w:rsidR="00DE32BD" w:rsidRDefault="00DE32BD" w:rsidP="0073130F">
            <w:pPr>
              <w:jc w:val="center"/>
              <w:rPr>
                <w:b/>
                <w:color w:val="000000"/>
                <w:sz w:val="20"/>
              </w:rPr>
            </w:pPr>
            <w:r w:rsidRPr="001A1ADD">
              <w:rPr>
                <w:b/>
                <w:color w:val="000000"/>
                <w:sz w:val="20"/>
              </w:rPr>
              <w:t>National</w:t>
            </w:r>
          </w:p>
          <w:p w:rsidR="00DE32BD" w:rsidRDefault="00DE32BD" w:rsidP="0073130F">
            <w:pPr>
              <w:jc w:val="center"/>
              <w:rPr>
                <w:b/>
                <w:color w:val="000000"/>
                <w:sz w:val="20"/>
              </w:rPr>
            </w:pPr>
            <w:r>
              <w:rPr>
                <w:b/>
                <w:color w:val="000000"/>
                <w:sz w:val="20"/>
              </w:rPr>
              <w:t>Sample</w:t>
            </w:r>
          </w:p>
          <w:p w:rsidR="00DE32BD" w:rsidRPr="001A1ADD" w:rsidRDefault="00DE32BD" w:rsidP="0073130F">
            <w:pPr>
              <w:jc w:val="center"/>
              <w:rPr>
                <w:b/>
                <w:color w:val="000000"/>
                <w:sz w:val="20"/>
              </w:rPr>
            </w:pPr>
            <w:r>
              <w:rPr>
                <w:b/>
                <w:color w:val="000000"/>
                <w:sz w:val="20"/>
              </w:rPr>
              <w:t>(2011)</w:t>
            </w:r>
          </w:p>
        </w:tc>
      </w:tr>
      <w:tr w:rsidR="00DE32BD" w:rsidRPr="001A1ADD" w:rsidTr="0073130F">
        <w:tc>
          <w:tcPr>
            <w:tcW w:w="2160" w:type="dxa"/>
            <w:gridSpan w:val="2"/>
            <w:tcBorders>
              <w:bottom w:val="single" w:sz="4" w:space="0" w:color="auto"/>
            </w:tcBorders>
            <w:vAlign w:val="center"/>
          </w:tcPr>
          <w:p w:rsidR="00DE32BD" w:rsidRPr="006D3B4D" w:rsidRDefault="00DE32BD" w:rsidP="0073130F">
            <w:pPr>
              <w:jc w:val="right"/>
              <w:rPr>
                <w:b/>
                <w:sz w:val="18"/>
                <w:szCs w:val="18"/>
              </w:rPr>
            </w:pPr>
            <w:r w:rsidRPr="006D3B4D">
              <w:rPr>
                <w:b/>
                <w:sz w:val="18"/>
                <w:szCs w:val="18"/>
              </w:rPr>
              <w:t>Sample N=</w:t>
            </w:r>
          </w:p>
        </w:tc>
        <w:tc>
          <w:tcPr>
            <w:tcW w:w="966" w:type="dxa"/>
            <w:tcBorders>
              <w:bottom w:val="single" w:sz="4" w:space="0" w:color="auto"/>
            </w:tcBorders>
            <w:vAlign w:val="center"/>
          </w:tcPr>
          <w:p w:rsidR="00DE32BD" w:rsidRPr="006D3B4D" w:rsidRDefault="00DE32BD" w:rsidP="0073130F">
            <w:pPr>
              <w:jc w:val="center"/>
              <w:rPr>
                <w:sz w:val="18"/>
                <w:szCs w:val="18"/>
              </w:rPr>
            </w:pPr>
            <w:proofErr w:type="spellStart"/>
            <w:r>
              <w:rPr>
                <w:sz w:val="18"/>
                <w:szCs w:val="18"/>
              </w:rPr>
              <w:t>na</w:t>
            </w:r>
            <w:proofErr w:type="spellEnd"/>
          </w:p>
        </w:tc>
        <w:tc>
          <w:tcPr>
            <w:tcW w:w="966" w:type="dxa"/>
            <w:tcBorders>
              <w:bottom w:val="single" w:sz="4" w:space="0" w:color="auto"/>
            </w:tcBorders>
            <w:vAlign w:val="center"/>
          </w:tcPr>
          <w:p w:rsidR="00DE32BD" w:rsidRPr="006D3B4D" w:rsidRDefault="00DE32BD" w:rsidP="0073130F">
            <w:pPr>
              <w:jc w:val="center"/>
              <w:rPr>
                <w:sz w:val="18"/>
                <w:szCs w:val="18"/>
              </w:rPr>
            </w:pPr>
            <w:r>
              <w:rPr>
                <w:sz w:val="18"/>
                <w:szCs w:val="18"/>
              </w:rPr>
              <w:t>7,740</w:t>
            </w:r>
          </w:p>
        </w:tc>
        <w:tc>
          <w:tcPr>
            <w:tcW w:w="966" w:type="dxa"/>
            <w:tcBorders>
              <w:bottom w:val="single" w:sz="4" w:space="0" w:color="auto"/>
            </w:tcBorders>
            <w:vAlign w:val="center"/>
          </w:tcPr>
          <w:p w:rsidR="00DE32BD" w:rsidRPr="006D3B4D" w:rsidRDefault="00DE32BD" w:rsidP="0073130F">
            <w:pPr>
              <w:jc w:val="center"/>
              <w:rPr>
                <w:sz w:val="18"/>
                <w:szCs w:val="18"/>
              </w:rPr>
            </w:pPr>
            <w:r w:rsidRPr="006D3B4D">
              <w:rPr>
                <w:sz w:val="18"/>
                <w:szCs w:val="18"/>
              </w:rPr>
              <w:t>50,505</w:t>
            </w:r>
          </w:p>
        </w:tc>
      </w:tr>
      <w:tr w:rsidR="00DE32BD" w:rsidRPr="001A1ADD" w:rsidTr="0073130F">
        <w:trPr>
          <w:gridBefore w:val="1"/>
          <w:wBefore w:w="22" w:type="dxa"/>
        </w:trPr>
        <w:tc>
          <w:tcPr>
            <w:tcW w:w="2138" w:type="dxa"/>
            <w:tcBorders>
              <w:bottom w:val="nil"/>
            </w:tcBorders>
            <w:tcMar>
              <w:left w:w="86" w:type="dxa"/>
              <w:right w:w="0" w:type="dxa"/>
            </w:tcMar>
            <w:vAlign w:val="center"/>
          </w:tcPr>
          <w:p w:rsidR="00DE32BD" w:rsidRPr="001A1ADD" w:rsidRDefault="00DE32BD" w:rsidP="0073130F">
            <w:pPr>
              <w:rPr>
                <w:sz w:val="20"/>
              </w:rPr>
            </w:pPr>
            <w:r w:rsidRPr="001A1ADD">
              <w:rPr>
                <w:sz w:val="20"/>
              </w:rPr>
              <w:t>Freshman</w:t>
            </w:r>
          </w:p>
        </w:tc>
        <w:tc>
          <w:tcPr>
            <w:tcW w:w="966" w:type="dxa"/>
            <w:tcBorders>
              <w:bottom w:val="nil"/>
            </w:tcBorders>
            <w:vAlign w:val="center"/>
          </w:tcPr>
          <w:p w:rsidR="00DE32BD" w:rsidRPr="001A1ADD" w:rsidRDefault="00DE32BD" w:rsidP="0073130F">
            <w:pPr>
              <w:jc w:val="center"/>
              <w:rPr>
                <w:sz w:val="20"/>
              </w:rPr>
            </w:pPr>
            <w:proofErr w:type="spellStart"/>
            <w:r>
              <w:rPr>
                <w:sz w:val="20"/>
              </w:rPr>
              <w:t>na</w:t>
            </w:r>
            <w:proofErr w:type="spellEnd"/>
          </w:p>
        </w:tc>
        <w:tc>
          <w:tcPr>
            <w:tcW w:w="966" w:type="dxa"/>
            <w:tcBorders>
              <w:bottom w:val="nil"/>
            </w:tcBorders>
            <w:vAlign w:val="center"/>
          </w:tcPr>
          <w:p w:rsidR="00DE32BD" w:rsidRPr="001A1ADD" w:rsidRDefault="00DE32BD" w:rsidP="0073130F">
            <w:pPr>
              <w:jc w:val="center"/>
              <w:textAlignment w:val="baseline"/>
              <w:rPr>
                <w:rFonts w:eastAsia="Arial"/>
                <w:color w:val="000000"/>
                <w:spacing w:val="-1"/>
                <w:sz w:val="20"/>
              </w:rPr>
            </w:pPr>
            <w:r w:rsidRPr="00343483">
              <w:rPr>
                <w:rFonts w:eastAsia="Arial"/>
                <w:color w:val="000000"/>
                <w:spacing w:val="-1"/>
                <w:sz w:val="20"/>
              </w:rPr>
              <w:t>27.6</w:t>
            </w:r>
          </w:p>
        </w:tc>
        <w:tc>
          <w:tcPr>
            <w:tcW w:w="966" w:type="dxa"/>
            <w:tcBorders>
              <w:bottom w:val="nil"/>
            </w:tcBorders>
            <w:vAlign w:val="center"/>
          </w:tcPr>
          <w:p w:rsidR="00DE32BD" w:rsidRPr="001A1ADD" w:rsidRDefault="00DE32BD" w:rsidP="0073130F">
            <w:pPr>
              <w:jc w:val="center"/>
              <w:rPr>
                <w:sz w:val="20"/>
              </w:rPr>
            </w:pPr>
            <w:r>
              <w:rPr>
                <w:sz w:val="20"/>
              </w:rPr>
              <w:t>28.5</w:t>
            </w:r>
          </w:p>
        </w:tc>
      </w:tr>
      <w:tr w:rsidR="00DE32BD" w:rsidRPr="001A1ADD" w:rsidTr="0073130F">
        <w:trPr>
          <w:gridBefore w:val="1"/>
          <w:wBefore w:w="22" w:type="dxa"/>
        </w:trPr>
        <w:tc>
          <w:tcPr>
            <w:tcW w:w="2138" w:type="dxa"/>
            <w:tcBorders>
              <w:top w:val="nil"/>
              <w:bottom w:val="nil"/>
            </w:tcBorders>
            <w:tcMar>
              <w:left w:w="86" w:type="dxa"/>
              <w:right w:w="0" w:type="dxa"/>
            </w:tcMar>
            <w:vAlign w:val="center"/>
          </w:tcPr>
          <w:p w:rsidR="00DE32BD" w:rsidRPr="001A1ADD" w:rsidRDefault="00DE32BD" w:rsidP="0073130F">
            <w:pPr>
              <w:rPr>
                <w:sz w:val="20"/>
              </w:rPr>
            </w:pPr>
            <w:r w:rsidRPr="001A1ADD">
              <w:rPr>
                <w:sz w:val="20"/>
              </w:rPr>
              <w:t>Sophomore</w:t>
            </w:r>
          </w:p>
        </w:tc>
        <w:tc>
          <w:tcPr>
            <w:tcW w:w="966" w:type="dxa"/>
            <w:tcBorders>
              <w:top w:val="nil"/>
              <w:bottom w:val="nil"/>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top w:val="nil"/>
              <w:bottom w:val="nil"/>
            </w:tcBorders>
            <w:vAlign w:val="center"/>
          </w:tcPr>
          <w:p w:rsidR="00DE32BD" w:rsidRPr="001A1ADD" w:rsidRDefault="00DE32BD" w:rsidP="0073130F">
            <w:pPr>
              <w:jc w:val="center"/>
              <w:textAlignment w:val="baseline"/>
              <w:rPr>
                <w:rFonts w:eastAsia="Arial"/>
                <w:color w:val="000000"/>
                <w:spacing w:val="-1"/>
                <w:sz w:val="20"/>
              </w:rPr>
            </w:pPr>
            <w:r w:rsidRPr="00343483">
              <w:rPr>
                <w:rFonts w:eastAsia="Arial"/>
                <w:color w:val="000000"/>
                <w:spacing w:val="-1"/>
                <w:sz w:val="20"/>
              </w:rPr>
              <w:t>24.1</w:t>
            </w:r>
          </w:p>
        </w:tc>
        <w:tc>
          <w:tcPr>
            <w:tcW w:w="966" w:type="dxa"/>
            <w:tcBorders>
              <w:top w:val="nil"/>
              <w:bottom w:val="nil"/>
            </w:tcBorders>
            <w:vAlign w:val="center"/>
          </w:tcPr>
          <w:p w:rsidR="00DE32BD" w:rsidRPr="001A1ADD" w:rsidRDefault="00DE32BD" w:rsidP="0073130F">
            <w:pPr>
              <w:jc w:val="center"/>
              <w:rPr>
                <w:sz w:val="20"/>
              </w:rPr>
            </w:pPr>
            <w:r>
              <w:rPr>
                <w:sz w:val="20"/>
              </w:rPr>
              <w:t>24.3</w:t>
            </w:r>
          </w:p>
        </w:tc>
      </w:tr>
      <w:tr w:rsidR="00DE32BD" w:rsidRPr="001A1ADD" w:rsidTr="0073130F">
        <w:trPr>
          <w:gridBefore w:val="1"/>
          <w:wBefore w:w="22" w:type="dxa"/>
        </w:trPr>
        <w:tc>
          <w:tcPr>
            <w:tcW w:w="2138" w:type="dxa"/>
            <w:tcBorders>
              <w:top w:val="nil"/>
              <w:bottom w:val="nil"/>
            </w:tcBorders>
            <w:tcMar>
              <w:left w:w="86" w:type="dxa"/>
              <w:right w:w="0" w:type="dxa"/>
            </w:tcMar>
            <w:vAlign w:val="center"/>
          </w:tcPr>
          <w:p w:rsidR="00DE32BD" w:rsidRPr="001A1ADD" w:rsidRDefault="00DE32BD" w:rsidP="0073130F">
            <w:pPr>
              <w:rPr>
                <w:sz w:val="20"/>
              </w:rPr>
            </w:pPr>
            <w:r w:rsidRPr="001A1ADD">
              <w:rPr>
                <w:sz w:val="20"/>
              </w:rPr>
              <w:t>Junior</w:t>
            </w:r>
          </w:p>
        </w:tc>
        <w:tc>
          <w:tcPr>
            <w:tcW w:w="966" w:type="dxa"/>
            <w:tcBorders>
              <w:top w:val="nil"/>
              <w:bottom w:val="nil"/>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top w:val="nil"/>
              <w:bottom w:val="nil"/>
            </w:tcBorders>
            <w:vAlign w:val="center"/>
          </w:tcPr>
          <w:p w:rsidR="00DE32BD" w:rsidRPr="001A1ADD" w:rsidRDefault="00DE32BD" w:rsidP="0073130F">
            <w:pPr>
              <w:jc w:val="center"/>
              <w:textAlignment w:val="baseline"/>
              <w:rPr>
                <w:rFonts w:eastAsia="Arial"/>
                <w:color w:val="000000"/>
                <w:spacing w:val="-1"/>
                <w:sz w:val="20"/>
              </w:rPr>
            </w:pPr>
            <w:r w:rsidRPr="00343483">
              <w:rPr>
                <w:rFonts w:eastAsia="Arial"/>
                <w:color w:val="000000"/>
                <w:spacing w:val="-1"/>
                <w:sz w:val="20"/>
              </w:rPr>
              <w:t>23.7</w:t>
            </w:r>
          </w:p>
        </w:tc>
        <w:tc>
          <w:tcPr>
            <w:tcW w:w="966" w:type="dxa"/>
            <w:tcBorders>
              <w:top w:val="nil"/>
              <w:bottom w:val="nil"/>
            </w:tcBorders>
            <w:vAlign w:val="center"/>
          </w:tcPr>
          <w:p w:rsidR="00DE32BD" w:rsidRPr="001A1ADD" w:rsidRDefault="00DE32BD" w:rsidP="0073130F">
            <w:pPr>
              <w:jc w:val="center"/>
              <w:rPr>
                <w:sz w:val="20"/>
              </w:rPr>
            </w:pPr>
            <w:r>
              <w:rPr>
                <w:sz w:val="20"/>
              </w:rPr>
              <w:t>21.5</w:t>
            </w:r>
          </w:p>
        </w:tc>
      </w:tr>
      <w:tr w:rsidR="00DE32BD" w:rsidRPr="001A1ADD" w:rsidTr="0073130F">
        <w:trPr>
          <w:gridBefore w:val="1"/>
          <w:wBefore w:w="22" w:type="dxa"/>
        </w:trPr>
        <w:tc>
          <w:tcPr>
            <w:tcW w:w="2138" w:type="dxa"/>
            <w:tcBorders>
              <w:top w:val="nil"/>
              <w:bottom w:val="nil"/>
            </w:tcBorders>
            <w:tcMar>
              <w:left w:w="86" w:type="dxa"/>
              <w:right w:w="0" w:type="dxa"/>
            </w:tcMar>
            <w:vAlign w:val="center"/>
          </w:tcPr>
          <w:p w:rsidR="00DE32BD" w:rsidRPr="001A1ADD" w:rsidRDefault="00DE32BD" w:rsidP="0073130F">
            <w:pPr>
              <w:rPr>
                <w:sz w:val="20"/>
              </w:rPr>
            </w:pPr>
            <w:r w:rsidRPr="001A1ADD">
              <w:rPr>
                <w:sz w:val="20"/>
              </w:rPr>
              <w:t>Senior</w:t>
            </w:r>
          </w:p>
        </w:tc>
        <w:tc>
          <w:tcPr>
            <w:tcW w:w="966" w:type="dxa"/>
            <w:tcBorders>
              <w:top w:val="nil"/>
              <w:bottom w:val="nil"/>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top w:val="nil"/>
              <w:bottom w:val="nil"/>
            </w:tcBorders>
            <w:vAlign w:val="center"/>
          </w:tcPr>
          <w:p w:rsidR="00DE32BD" w:rsidRPr="001A1ADD" w:rsidRDefault="00DE32BD" w:rsidP="0073130F">
            <w:pPr>
              <w:jc w:val="center"/>
              <w:textAlignment w:val="baseline"/>
              <w:rPr>
                <w:rFonts w:eastAsia="Arial"/>
                <w:color w:val="000000"/>
                <w:spacing w:val="-1"/>
                <w:sz w:val="20"/>
              </w:rPr>
            </w:pPr>
            <w:r w:rsidRPr="00343483">
              <w:rPr>
                <w:rFonts w:eastAsia="Arial"/>
                <w:color w:val="000000"/>
                <w:spacing w:val="-1"/>
                <w:sz w:val="20"/>
              </w:rPr>
              <w:t>22.8</w:t>
            </w:r>
          </w:p>
        </w:tc>
        <w:tc>
          <w:tcPr>
            <w:tcW w:w="966" w:type="dxa"/>
            <w:tcBorders>
              <w:top w:val="nil"/>
              <w:bottom w:val="nil"/>
            </w:tcBorders>
            <w:vAlign w:val="center"/>
          </w:tcPr>
          <w:p w:rsidR="00DE32BD" w:rsidRPr="001A1ADD" w:rsidRDefault="00DE32BD" w:rsidP="0073130F">
            <w:pPr>
              <w:jc w:val="center"/>
              <w:rPr>
                <w:sz w:val="20"/>
              </w:rPr>
            </w:pPr>
            <w:r>
              <w:rPr>
                <w:sz w:val="20"/>
              </w:rPr>
              <w:t>20.1</w:t>
            </w:r>
          </w:p>
        </w:tc>
      </w:tr>
      <w:tr w:rsidR="00DE32BD" w:rsidRPr="001A1ADD" w:rsidTr="0073130F">
        <w:trPr>
          <w:gridBefore w:val="1"/>
          <w:wBefore w:w="22" w:type="dxa"/>
        </w:trPr>
        <w:tc>
          <w:tcPr>
            <w:tcW w:w="2138" w:type="dxa"/>
            <w:tcBorders>
              <w:top w:val="nil"/>
              <w:bottom w:val="nil"/>
            </w:tcBorders>
            <w:tcMar>
              <w:left w:w="86" w:type="dxa"/>
              <w:right w:w="0" w:type="dxa"/>
            </w:tcMar>
            <w:vAlign w:val="center"/>
          </w:tcPr>
          <w:p w:rsidR="00DE32BD" w:rsidRPr="001A1ADD" w:rsidRDefault="00DE32BD" w:rsidP="0073130F">
            <w:pPr>
              <w:rPr>
                <w:sz w:val="20"/>
              </w:rPr>
            </w:pPr>
            <w:r w:rsidRPr="001A1ADD">
              <w:rPr>
                <w:sz w:val="20"/>
              </w:rPr>
              <w:t>Graduate</w:t>
            </w:r>
            <w:r>
              <w:rPr>
                <w:sz w:val="20"/>
              </w:rPr>
              <w:t xml:space="preserve"> student</w:t>
            </w:r>
          </w:p>
        </w:tc>
        <w:tc>
          <w:tcPr>
            <w:tcW w:w="966" w:type="dxa"/>
            <w:tcBorders>
              <w:top w:val="nil"/>
              <w:bottom w:val="nil"/>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top w:val="nil"/>
              <w:bottom w:val="nil"/>
            </w:tcBorders>
            <w:vAlign w:val="center"/>
          </w:tcPr>
          <w:p w:rsidR="00DE32BD" w:rsidRPr="001A1ADD" w:rsidRDefault="00DE32BD" w:rsidP="0073130F">
            <w:pPr>
              <w:jc w:val="center"/>
              <w:textAlignment w:val="baseline"/>
              <w:rPr>
                <w:rFonts w:eastAsia="Arial"/>
                <w:color w:val="000000"/>
                <w:sz w:val="20"/>
              </w:rPr>
            </w:pPr>
            <w:r w:rsidRPr="001A1ADD">
              <w:rPr>
                <w:rFonts w:eastAsia="Arial"/>
                <w:color w:val="000000"/>
                <w:sz w:val="20"/>
              </w:rPr>
              <w:t>0.</w:t>
            </w:r>
            <w:r w:rsidRPr="00343483">
              <w:rPr>
                <w:rFonts w:eastAsia="Arial"/>
                <w:color w:val="000000"/>
                <w:sz w:val="20"/>
              </w:rPr>
              <w:t>5</w:t>
            </w:r>
          </w:p>
        </w:tc>
        <w:tc>
          <w:tcPr>
            <w:tcW w:w="966" w:type="dxa"/>
            <w:tcBorders>
              <w:top w:val="nil"/>
              <w:bottom w:val="nil"/>
            </w:tcBorders>
            <w:vAlign w:val="center"/>
          </w:tcPr>
          <w:p w:rsidR="00DE32BD" w:rsidRPr="001A1ADD" w:rsidRDefault="00DE32BD" w:rsidP="0073130F">
            <w:pPr>
              <w:jc w:val="center"/>
              <w:rPr>
                <w:sz w:val="20"/>
              </w:rPr>
            </w:pPr>
            <w:r>
              <w:rPr>
                <w:sz w:val="20"/>
              </w:rPr>
              <w:t>4.5</w:t>
            </w:r>
          </w:p>
        </w:tc>
      </w:tr>
      <w:tr w:rsidR="00DE32BD" w:rsidRPr="001A1ADD" w:rsidTr="0073130F">
        <w:trPr>
          <w:gridBefore w:val="1"/>
          <w:wBefore w:w="22" w:type="dxa"/>
        </w:trPr>
        <w:tc>
          <w:tcPr>
            <w:tcW w:w="2138" w:type="dxa"/>
            <w:tcBorders>
              <w:top w:val="nil"/>
              <w:bottom w:val="single" w:sz="4" w:space="0" w:color="auto"/>
            </w:tcBorders>
            <w:tcMar>
              <w:left w:w="86" w:type="dxa"/>
              <w:right w:w="0" w:type="dxa"/>
            </w:tcMar>
            <w:vAlign w:val="center"/>
          </w:tcPr>
          <w:p w:rsidR="00DE32BD" w:rsidRPr="001A1ADD" w:rsidRDefault="00DE32BD" w:rsidP="0073130F">
            <w:pPr>
              <w:rPr>
                <w:sz w:val="20"/>
              </w:rPr>
            </w:pPr>
            <w:r w:rsidRPr="001A1ADD">
              <w:rPr>
                <w:sz w:val="20"/>
              </w:rPr>
              <w:t>Other</w:t>
            </w:r>
            <w:r>
              <w:rPr>
                <w:sz w:val="20"/>
              </w:rPr>
              <w:t xml:space="preserve"> </w:t>
            </w:r>
          </w:p>
        </w:tc>
        <w:tc>
          <w:tcPr>
            <w:tcW w:w="966" w:type="dxa"/>
            <w:tcBorders>
              <w:top w:val="nil"/>
              <w:bottom w:val="single" w:sz="4" w:space="0" w:color="auto"/>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top w:val="nil"/>
              <w:bottom w:val="single" w:sz="4" w:space="0" w:color="auto"/>
            </w:tcBorders>
            <w:vAlign w:val="center"/>
          </w:tcPr>
          <w:p w:rsidR="00DE32BD" w:rsidRPr="001A1ADD" w:rsidRDefault="00DE32BD" w:rsidP="0073130F">
            <w:pPr>
              <w:jc w:val="center"/>
              <w:textAlignment w:val="baseline"/>
              <w:rPr>
                <w:rFonts w:eastAsia="Arial"/>
                <w:color w:val="000000"/>
                <w:sz w:val="20"/>
              </w:rPr>
            </w:pPr>
            <w:r w:rsidRPr="00343483">
              <w:rPr>
                <w:rFonts w:eastAsia="Arial"/>
                <w:color w:val="000000"/>
                <w:sz w:val="20"/>
              </w:rPr>
              <w:t>1.3</w:t>
            </w:r>
          </w:p>
        </w:tc>
        <w:tc>
          <w:tcPr>
            <w:tcW w:w="966" w:type="dxa"/>
            <w:tcBorders>
              <w:top w:val="nil"/>
              <w:bottom w:val="single" w:sz="4" w:space="0" w:color="auto"/>
            </w:tcBorders>
            <w:vAlign w:val="center"/>
          </w:tcPr>
          <w:p w:rsidR="00DE32BD" w:rsidRPr="001A1ADD" w:rsidRDefault="00DE32BD" w:rsidP="0073130F">
            <w:pPr>
              <w:jc w:val="center"/>
              <w:rPr>
                <w:sz w:val="20"/>
              </w:rPr>
            </w:pPr>
            <w:r>
              <w:rPr>
                <w:sz w:val="20"/>
              </w:rPr>
              <w:t>1.1</w:t>
            </w:r>
          </w:p>
        </w:tc>
      </w:tr>
      <w:tr w:rsidR="00DE32BD" w:rsidRPr="001A1ADD" w:rsidTr="0073130F">
        <w:trPr>
          <w:gridBefore w:val="1"/>
          <w:wBefore w:w="22" w:type="dxa"/>
        </w:trPr>
        <w:tc>
          <w:tcPr>
            <w:tcW w:w="2138" w:type="dxa"/>
            <w:tcBorders>
              <w:bottom w:val="nil"/>
            </w:tcBorders>
            <w:tcMar>
              <w:left w:w="86" w:type="dxa"/>
              <w:right w:w="0" w:type="dxa"/>
            </w:tcMar>
            <w:vAlign w:val="center"/>
          </w:tcPr>
          <w:p w:rsidR="00DE32BD" w:rsidRPr="001A1ADD" w:rsidRDefault="00DE32BD" w:rsidP="0073130F">
            <w:pPr>
              <w:rPr>
                <w:sz w:val="20"/>
              </w:rPr>
            </w:pPr>
            <w:r w:rsidRPr="001A1ADD">
              <w:rPr>
                <w:sz w:val="20"/>
              </w:rPr>
              <w:t>Age 18-22</w:t>
            </w:r>
          </w:p>
        </w:tc>
        <w:tc>
          <w:tcPr>
            <w:tcW w:w="966" w:type="dxa"/>
            <w:tcBorders>
              <w:bottom w:val="nil"/>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bottom w:val="nil"/>
            </w:tcBorders>
            <w:vAlign w:val="center"/>
          </w:tcPr>
          <w:p w:rsidR="00DE32BD" w:rsidRPr="001A1ADD" w:rsidRDefault="00DE32BD" w:rsidP="0073130F">
            <w:pPr>
              <w:jc w:val="center"/>
              <w:textAlignment w:val="baseline"/>
              <w:rPr>
                <w:rFonts w:eastAsia="Arial"/>
                <w:color w:val="000000"/>
                <w:sz w:val="20"/>
              </w:rPr>
            </w:pPr>
            <w:r w:rsidRPr="00343483">
              <w:rPr>
                <w:rFonts w:eastAsia="Arial"/>
                <w:color w:val="000000"/>
                <w:sz w:val="20"/>
              </w:rPr>
              <w:t>75.2</w:t>
            </w:r>
          </w:p>
        </w:tc>
        <w:tc>
          <w:tcPr>
            <w:tcW w:w="966" w:type="dxa"/>
            <w:tcBorders>
              <w:bottom w:val="nil"/>
            </w:tcBorders>
            <w:vAlign w:val="center"/>
          </w:tcPr>
          <w:p w:rsidR="00DE32BD" w:rsidRPr="001A1ADD" w:rsidRDefault="00DE32BD" w:rsidP="0073130F">
            <w:pPr>
              <w:jc w:val="center"/>
              <w:rPr>
                <w:sz w:val="20"/>
              </w:rPr>
            </w:pPr>
            <w:r>
              <w:rPr>
                <w:sz w:val="20"/>
              </w:rPr>
              <w:t>83.1</w:t>
            </w:r>
          </w:p>
        </w:tc>
      </w:tr>
      <w:tr w:rsidR="00DE32BD" w:rsidRPr="001A1ADD" w:rsidTr="0073130F">
        <w:trPr>
          <w:gridBefore w:val="1"/>
          <w:wBefore w:w="22" w:type="dxa"/>
        </w:trPr>
        <w:tc>
          <w:tcPr>
            <w:tcW w:w="2138" w:type="dxa"/>
            <w:tcBorders>
              <w:top w:val="nil"/>
            </w:tcBorders>
            <w:tcMar>
              <w:left w:w="86" w:type="dxa"/>
              <w:right w:w="0" w:type="dxa"/>
            </w:tcMar>
            <w:vAlign w:val="center"/>
          </w:tcPr>
          <w:p w:rsidR="00DE32BD" w:rsidRPr="001A1ADD" w:rsidRDefault="00DE32BD" w:rsidP="0073130F">
            <w:pPr>
              <w:rPr>
                <w:sz w:val="20"/>
              </w:rPr>
            </w:pPr>
            <w:r w:rsidRPr="001A1ADD">
              <w:rPr>
                <w:sz w:val="20"/>
              </w:rPr>
              <w:t>Female</w:t>
            </w:r>
          </w:p>
        </w:tc>
        <w:tc>
          <w:tcPr>
            <w:tcW w:w="966" w:type="dxa"/>
            <w:tcBorders>
              <w:top w:val="nil"/>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top w:val="nil"/>
            </w:tcBorders>
            <w:vAlign w:val="center"/>
          </w:tcPr>
          <w:p w:rsidR="00DE32BD" w:rsidRPr="001A1ADD" w:rsidRDefault="00DE32BD" w:rsidP="0073130F">
            <w:pPr>
              <w:jc w:val="center"/>
              <w:textAlignment w:val="baseline"/>
              <w:rPr>
                <w:rFonts w:eastAsia="Arial"/>
                <w:color w:val="000000"/>
                <w:sz w:val="20"/>
              </w:rPr>
            </w:pPr>
            <w:r w:rsidRPr="00343483">
              <w:rPr>
                <w:rFonts w:eastAsia="Arial"/>
                <w:color w:val="000000"/>
                <w:sz w:val="20"/>
              </w:rPr>
              <w:t>66.9</w:t>
            </w:r>
          </w:p>
        </w:tc>
        <w:tc>
          <w:tcPr>
            <w:tcW w:w="966" w:type="dxa"/>
            <w:tcBorders>
              <w:top w:val="nil"/>
            </w:tcBorders>
            <w:vAlign w:val="center"/>
          </w:tcPr>
          <w:p w:rsidR="00DE32BD" w:rsidRPr="001A1ADD" w:rsidRDefault="00DE32BD" w:rsidP="0073130F">
            <w:pPr>
              <w:jc w:val="center"/>
              <w:rPr>
                <w:sz w:val="20"/>
              </w:rPr>
            </w:pPr>
            <w:r>
              <w:rPr>
                <w:sz w:val="20"/>
              </w:rPr>
              <w:t>61.6</w:t>
            </w:r>
          </w:p>
        </w:tc>
      </w:tr>
      <w:tr w:rsidR="00DE32BD" w:rsidRPr="001A1ADD" w:rsidTr="0073130F">
        <w:trPr>
          <w:gridBefore w:val="1"/>
          <w:wBefore w:w="22" w:type="dxa"/>
        </w:trPr>
        <w:tc>
          <w:tcPr>
            <w:tcW w:w="2138" w:type="dxa"/>
            <w:tcBorders>
              <w:bottom w:val="single" w:sz="4" w:space="0" w:color="auto"/>
            </w:tcBorders>
            <w:tcMar>
              <w:left w:w="86" w:type="dxa"/>
              <w:right w:w="0" w:type="dxa"/>
            </w:tcMar>
            <w:vAlign w:val="center"/>
          </w:tcPr>
          <w:p w:rsidR="00DE32BD" w:rsidRPr="001A1ADD" w:rsidRDefault="00DE32BD" w:rsidP="0073130F">
            <w:pPr>
              <w:textAlignment w:val="baseline"/>
              <w:rPr>
                <w:rFonts w:eastAsia="Arial"/>
                <w:color w:val="000000"/>
                <w:sz w:val="20"/>
              </w:rPr>
            </w:pPr>
            <w:r w:rsidRPr="001A1ADD">
              <w:rPr>
                <w:rFonts w:eastAsia="Arial"/>
                <w:color w:val="000000"/>
                <w:sz w:val="20"/>
              </w:rPr>
              <w:t>L</w:t>
            </w:r>
            <w:r w:rsidRPr="00343483">
              <w:rPr>
                <w:rFonts w:eastAsia="Arial"/>
                <w:color w:val="000000"/>
                <w:sz w:val="20"/>
              </w:rPr>
              <w:t>iv</w:t>
            </w:r>
            <w:r w:rsidRPr="001A1ADD">
              <w:rPr>
                <w:rFonts w:eastAsia="Arial"/>
                <w:color w:val="000000"/>
                <w:sz w:val="20"/>
              </w:rPr>
              <w:t>ing</w:t>
            </w:r>
            <w:r>
              <w:rPr>
                <w:rFonts w:eastAsia="Arial"/>
                <w:color w:val="000000"/>
                <w:sz w:val="20"/>
              </w:rPr>
              <w:t xml:space="preserve"> off campus</w:t>
            </w:r>
          </w:p>
        </w:tc>
        <w:tc>
          <w:tcPr>
            <w:tcW w:w="966" w:type="dxa"/>
            <w:tcBorders>
              <w:bottom w:val="single" w:sz="4" w:space="0" w:color="auto"/>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bottom w:val="single" w:sz="4" w:space="0" w:color="auto"/>
            </w:tcBorders>
            <w:vAlign w:val="center"/>
          </w:tcPr>
          <w:p w:rsidR="00DE32BD" w:rsidRPr="001A1ADD" w:rsidRDefault="00DE32BD" w:rsidP="0073130F">
            <w:pPr>
              <w:jc w:val="center"/>
              <w:textAlignment w:val="baseline"/>
              <w:rPr>
                <w:rFonts w:eastAsia="Arial"/>
                <w:color w:val="000000"/>
                <w:sz w:val="20"/>
              </w:rPr>
            </w:pPr>
            <w:r w:rsidRPr="00343483">
              <w:rPr>
                <w:rFonts w:eastAsia="Arial"/>
                <w:color w:val="000000"/>
                <w:sz w:val="20"/>
              </w:rPr>
              <w:t>70.3</w:t>
            </w:r>
          </w:p>
        </w:tc>
        <w:tc>
          <w:tcPr>
            <w:tcW w:w="966" w:type="dxa"/>
            <w:tcBorders>
              <w:bottom w:val="single" w:sz="4" w:space="0" w:color="auto"/>
            </w:tcBorders>
            <w:vAlign w:val="center"/>
          </w:tcPr>
          <w:p w:rsidR="00DE32BD" w:rsidRPr="001A1ADD" w:rsidRDefault="00DE32BD" w:rsidP="0073130F">
            <w:pPr>
              <w:jc w:val="center"/>
              <w:rPr>
                <w:sz w:val="20"/>
              </w:rPr>
            </w:pPr>
            <w:r>
              <w:rPr>
                <w:sz w:val="20"/>
              </w:rPr>
              <w:t>45.1</w:t>
            </w:r>
          </w:p>
        </w:tc>
      </w:tr>
      <w:tr w:rsidR="00DE32BD" w:rsidRPr="001A1ADD" w:rsidTr="0073130F">
        <w:trPr>
          <w:gridBefore w:val="1"/>
          <w:wBefore w:w="22" w:type="dxa"/>
        </w:trPr>
        <w:tc>
          <w:tcPr>
            <w:tcW w:w="2138" w:type="dxa"/>
            <w:tcBorders>
              <w:bottom w:val="nil"/>
            </w:tcBorders>
            <w:tcMar>
              <w:left w:w="86" w:type="dxa"/>
              <w:right w:w="0" w:type="dxa"/>
            </w:tcMar>
            <w:vAlign w:val="center"/>
          </w:tcPr>
          <w:p w:rsidR="00DE32BD" w:rsidRPr="001A1ADD" w:rsidRDefault="00DE32BD" w:rsidP="0073130F">
            <w:pPr>
              <w:textAlignment w:val="baseline"/>
              <w:rPr>
                <w:rFonts w:eastAsia="Arial"/>
                <w:color w:val="000000"/>
                <w:sz w:val="20"/>
              </w:rPr>
            </w:pPr>
            <w:r w:rsidRPr="001A1ADD">
              <w:rPr>
                <w:rFonts w:eastAsia="Arial"/>
                <w:color w:val="000000"/>
                <w:sz w:val="20"/>
              </w:rPr>
              <w:t xml:space="preserve">Working </w:t>
            </w:r>
            <w:r>
              <w:rPr>
                <w:rFonts w:eastAsia="Arial"/>
                <w:color w:val="000000"/>
                <w:sz w:val="20"/>
              </w:rPr>
              <w:t>part</w:t>
            </w:r>
            <w:r w:rsidRPr="001A1ADD">
              <w:rPr>
                <w:rFonts w:eastAsia="Arial"/>
                <w:color w:val="000000"/>
                <w:sz w:val="20"/>
              </w:rPr>
              <w:t xml:space="preserve"> or </w:t>
            </w:r>
            <w:r>
              <w:rPr>
                <w:rFonts w:eastAsia="Arial"/>
                <w:color w:val="000000"/>
                <w:sz w:val="20"/>
              </w:rPr>
              <w:t>full</w:t>
            </w:r>
            <w:r w:rsidRPr="001A1ADD">
              <w:rPr>
                <w:rFonts w:eastAsia="Arial"/>
                <w:color w:val="000000"/>
                <w:sz w:val="20"/>
              </w:rPr>
              <w:t>-time</w:t>
            </w:r>
          </w:p>
        </w:tc>
        <w:tc>
          <w:tcPr>
            <w:tcW w:w="966" w:type="dxa"/>
            <w:tcBorders>
              <w:bottom w:val="nil"/>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bottom w:val="nil"/>
            </w:tcBorders>
            <w:vAlign w:val="center"/>
          </w:tcPr>
          <w:p w:rsidR="00DE32BD" w:rsidRPr="001A1ADD" w:rsidRDefault="00DE32BD" w:rsidP="0073130F">
            <w:pPr>
              <w:jc w:val="center"/>
              <w:textAlignment w:val="baseline"/>
              <w:rPr>
                <w:rFonts w:eastAsia="Arial"/>
                <w:color w:val="000000"/>
                <w:sz w:val="20"/>
              </w:rPr>
            </w:pPr>
            <w:r w:rsidRPr="00343483">
              <w:rPr>
                <w:rFonts w:eastAsia="Arial"/>
                <w:color w:val="000000"/>
                <w:sz w:val="20"/>
              </w:rPr>
              <w:t>58.4</w:t>
            </w:r>
          </w:p>
        </w:tc>
        <w:tc>
          <w:tcPr>
            <w:tcW w:w="966" w:type="dxa"/>
            <w:tcBorders>
              <w:bottom w:val="nil"/>
            </w:tcBorders>
            <w:vAlign w:val="center"/>
          </w:tcPr>
          <w:p w:rsidR="00DE32BD" w:rsidRPr="001A1ADD" w:rsidRDefault="00DE32BD" w:rsidP="0073130F">
            <w:pPr>
              <w:jc w:val="center"/>
              <w:rPr>
                <w:sz w:val="20"/>
              </w:rPr>
            </w:pPr>
            <w:r>
              <w:rPr>
                <w:sz w:val="20"/>
              </w:rPr>
              <w:t>50.6</w:t>
            </w:r>
          </w:p>
        </w:tc>
      </w:tr>
      <w:tr w:rsidR="00DE32BD" w:rsidRPr="001A1ADD" w:rsidTr="0073130F">
        <w:trPr>
          <w:gridBefore w:val="1"/>
          <w:wBefore w:w="22" w:type="dxa"/>
        </w:trPr>
        <w:tc>
          <w:tcPr>
            <w:tcW w:w="2138" w:type="dxa"/>
            <w:tcBorders>
              <w:top w:val="nil"/>
              <w:bottom w:val="single" w:sz="4" w:space="0" w:color="auto"/>
            </w:tcBorders>
            <w:tcMar>
              <w:left w:w="86" w:type="dxa"/>
              <w:right w:w="0" w:type="dxa"/>
            </w:tcMar>
            <w:vAlign w:val="center"/>
          </w:tcPr>
          <w:p w:rsidR="00DE32BD" w:rsidRPr="001A1ADD" w:rsidRDefault="00DE32BD" w:rsidP="0073130F">
            <w:pPr>
              <w:textAlignment w:val="baseline"/>
              <w:rPr>
                <w:rFonts w:eastAsia="Arial"/>
                <w:color w:val="000000"/>
                <w:sz w:val="20"/>
              </w:rPr>
            </w:pPr>
            <w:r w:rsidRPr="001A1ADD">
              <w:rPr>
                <w:rFonts w:eastAsia="Arial"/>
                <w:color w:val="000000"/>
                <w:sz w:val="20"/>
              </w:rPr>
              <w:t>F</w:t>
            </w:r>
            <w:r w:rsidRPr="00343483">
              <w:rPr>
                <w:rFonts w:eastAsia="Arial"/>
                <w:color w:val="000000"/>
                <w:sz w:val="20"/>
              </w:rPr>
              <w:t>ull-time students.</w:t>
            </w:r>
          </w:p>
        </w:tc>
        <w:tc>
          <w:tcPr>
            <w:tcW w:w="966" w:type="dxa"/>
            <w:tcBorders>
              <w:top w:val="nil"/>
              <w:bottom w:val="single" w:sz="4" w:space="0" w:color="auto"/>
            </w:tcBorders>
          </w:tcPr>
          <w:p w:rsidR="00DE32BD" w:rsidRPr="002A6A3F" w:rsidRDefault="00DE32BD" w:rsidP="0073130F">
            <w:pPr>
              <w:jc w:val="center"/>
              <w:rPr>
                <w:sz w:val="20"/>
              </w:rPr>
            </w:pPr>
            <w:proofErr w:type="spellStart"/>
            <w:r w:rsidRPr="00CE62BE">
              <w:rPr>
                <w:sz w:val="20"/>
              </w:rPr>
              <w:t>na</w:t>
            </w:r>
            <w:proofErr w:type="spellEnd"/>
          </w:p>
        </w:tc>
        <w:tc>
          <w:tcPr>
            <w:tcW w:w="966" w:type="dxa"/>
            <w:tcBorders>
              <w:top w:val="nil"/>
              <w:bottom w:val="single" w:sz="4" w:space="0" w:color="auto"/>
            </w:tcBorders>
            <w:vAlign w:val="center"/>
          </w:tcPr>
          <w:p w:rsidR="00DE32BD" w:rsidRPr="001A1ADD" w:rsidRDefault="00DE32BD" w:rsidP="0073130F">
            <w:pPr>
              <w:jc w:val="center"/>
              <w:textAlignment w:val="baseline"/>
              <w:rPr>
                <w:rFonts w:eastAsia="Arial"/>
                <w:color w:val="000000"/>
                <w:sz w:val="20"/>
              </w:rPr>
            </w:pPr>
            <w:r w:rsidRPr="00343483">
              <w:rPr>
                <w:rFonts w:eastAsia="Arial"/>
                <w:color w:val="000000"/>
                <w:sz w:val="20"/>
              </w:rPr>
              <w:t>90.6</w:t>
            </w:r>
          </w:p>
        </w:tc>
        <w:tc>
          <w:tcPr>
            <w:tcW w:w="966" w:type="dxa"/>
            <w:tcBorders>
              <w:top w:val="nil"/>
              <w:bottom w:val="single" w:sz="4" w:space="0" w:color="auto"/>
            </w:tcBorders>
            <w:vAlign w:val="center"/>
          </w:tcPr>
          <w:p w:rsidR="00DE32BD" w:rsidRPr="001A1ADD" w:rsidRDefault="00DE32BD" w:rsidP="0073130F">
            <w:pPr>
              <w:jc w:val="center"/>
              <w:rPr>
                <w:sz w:val="20"/>
              </w:rPr>
            </w:pPr>
            <w:r>
              <w:rPr>
                <w:sz w:val="20"/>
              </w:rPr>
              <w:t>94.5</w:t>
            </w:r>
          </w:p>
        </w:tc>
      </w:tr>
      <w:tr w:rsidR="00DE32BD" w:rsidRPr="001A1ADD" w:rsidTr="00B62A6C">
        <w:trPr>
          <w:trHeight w:val="800"/>
        </w:trPr>
        <w:tc>
          <w:tcPr>
            <w:tcW w:w="5058" w:type="dxa"/>
            <w:gridSpan w:val="5"/>
            <w:tcBorders>
              <w:top w:val="single" w:sz="4" w:space="0" w:color="auto"/>
              <w:left w:val="nil"/>
              <w:bottom w:val="nil"/>
              <w:right w:val="nil"/>
            </w:tcBorders>
            <w:vAlign w:val="center"/>
          </w:tcPr>
          <w:p w:rsidR="00DE32BD" w:rsidRDefault="00DE32BD" w:rsidP="0073130F">
            <w:pPr>
              <w:rPr>
                <w:sz w:val="18"/>
                <w:szCs w:val="18"/>
              </w:rPr>
            </w:pPr>
            <w:r>
              <w:rPr>
                <w:sz w:val="18"/>
                <w:szCs w:val="18"/>
              </w:rPr>
              <w:t>“</w:t>
            </w:r>
            <w:proofErr w:type="spellStart"/>
            <w:proofErr w:type="gramStart"/>
            <w:r>
              <w:rPr>
                <w:sz w:val="18"/>
                <w:szCs w:val="18"/>
              </w:rPr>
              <w:t>na</w:t>
            </w:r>
            <w:proofErr w:type="spellEnd"/>
            <w:proofErr w:type="gramEnd"/>
            <w:r>
              <w:rPr>
                <w:sz w:val="18"/>
                <w:szCs w:val="18"/>
              </w:rPr>
              <w:t>” means not available in published report at this time.</w:t>
            </w:r>
          </w:p>
          <w:p w:rsidR="00DE32BD" w:rsidRPr="00F6657B" w:rsidRDefault="00DE32BD" w:rsidP="0073130F">
            <w:pPr>
              <w:rPr>
                <w:sz w:val="18"/>
                <w:szCs w:val="18"/>
              </w:rPr>
            </w:pPr>
            <w:r>
              <w:rPr>
                <w:sz w:val="18"/>
                <w:szCs w:val="18"/>
              </w:rPr>
              <w:t xml:space="preserve">Data Source: Standard Core statistical reports at </w:t>
            </w:r>
            <w:hyperlink r:id="rId14" w:history="1">
              <w:r w:rsidRPr="009C6D68">
                <w:rPr>
                  <w:rStyle w:val="Hyperlink"/>
                  <w:sz w:val="18"/>
                  <w:szCs w:val="18"/>
                </w:rPr>
                <w:t>http://uiswcmsweb.prod.lsu.edu/edco/lacasu</w:t>
              </w:r>
            </w:hyperlink>
            <w:r>
              <w:rPr>
                <w:sz w:val="18"/>
                <w:szCs w:val="18"/>
              </w:rPr>
              <w:t xml:space="preserve"> and </w:t>
            </w:r>
            <w:hyperlink r:id="rId15" w:history="1">
              <w:r w:rsidRPr="00E6679D">
                <w:rPr>
                  <w:rStyle w:val="Hyperlink"/>
                  <w:sz w:val="18"/>
                  <w:szCs w:val="18"/>
                </w:rPr>
                <w:t>http://core.siu.edu</w:t>
              </w:r>
            </w:hyperlink>
            <w:r>
              <w:rPr>
                <w:sz w:val="18"/>
                <w:szCs w:val="18"/>
              </w:rPr>
              <w:t xml:space="preserve"> </w:t>
            </w:r>
          </w:p>
        </w:tc>
      </w:tr>
    </w:tbl>
    <w:p w:rsidR="00DE32BD" w:rsidRDefault="00DE32BD" w:rsidP="00872A87"/>
    <w:p w:rsidR="00872A87" w:rsidRDefault="00872A87" w:rsidP="00872A87">
      <w:r>
        <w:t xml:space="preserve">The issue of low response rates for the Web-based version of the survey is reflected in the protocol which suggests obtaining a sample of students’ email addresses three times greater than the number of survey responses required. The alternative paper and pencil administration requires selecting classes to obtain a representative sample of all students, which may be challenging. </w:t>
      </w:r>
    </w:p>
    <w:p w:rsidR="00872A87" w:rsidRDefault="00872A87" w:rsidP="00872A87"/>
    <w:p w:rsidR="00872A87" w:rsidRDefault="00872A87" w:rsidP="00872A87">
      <w:r>
        <w:t xml:space="preserve">Both the statewide sample and the 2011 national sample consist almost entirely of students at the freshman through senior years, with very few graduate or non-matriculated students. Juniors and seniors are well represented. </w:t>
      </w:r>
    </w:p>
    <w:p w:rsidR="00872A87" w:rsidRDefault="00872A87" w:rsidP="00872A87"/>
    <w:p w:rsidR="00872A87" w:rsidRDefault="00872A87" w:rsidP="00872A87">
      <w:r w:rsidRPr="00F750A8">
        <w:t>Louisiana students are substantially more likely to live off campus and slightly more likely to be working than students in the 2011 national sample</w:t>
      </w:r>
      <w:r>
        <w:t>.</w:t>
      </w:r>
      <w:r w:rsidRPr="00F750A8">
        <w:t xml:space="preserve"> </w:t>
      </w:r>
      <w:r>
        <w:t>The standard report does not indicate the proportion of students who live at home; these students would be included in “off campus.” Almost all (91%) Louisiana college students who responded to the survey are full-time students; however, students in the 2011 national sample were slightly more likely to be full-</w:t>
      </w:r>
      <w:proofErr w:type="gramStart"/>
      <w:r>
        <w:t>time  (</w:t>
      </w:r>
      <w:proofErr w:type="gramEnd"/>
      <w:r>
        <w:t>95%).</w:t>
      </w:r>
    </w:p>
    <w:p w:rsidR="00872A87" w:rsidRDefault="00872A87" w:rsidP="00872A87"/>
    <w:p w:rsidR="00872A87" w:rsidRDefault="00872A87" w:rsidP="00872A87">
      <w:r>
        <w:t xml:space="preserve">In Louisiana, two-thirds of the students responding to the 2013 survey are female. While individual IHEs presumably know the demographics of their student bodies, this information is not available for aggregation </w:t>
      </w:r>
      <w:r w:rsidRPr="00F24B2E">
        <w:t>at the state or regional levels.</w:t>
      </w:r>
      <w:r>
        <w:t xml:space="preserve"> I</w:t>
      </w:r>
      <w:r w:rsidRPr="00F24B2E">
        <w:t xml:space="preserve">t is </w:t>
      </w:r>
      <w:r w:rsidRPr="00C24070">
        <w:rPr>
          <w:u w:val="single"/>
        </w:rPr>
        <w:t>un</w:t>
      </w:r>
      <w:r w:rsidRPr="00F24B2E">
        <w:t xml:space="preserve">likely that two-thirds of </w:t>
      </w:r>
      <w:r w:rsidRPr="00F24B2E">
        <w:lastRenderedPageBreak/>
        <w:t>college students in Louisiana are women. Statistics provided in the standard report demonstrate that women generally are less likely to engage in substance use and related behaviors</w:t>
      </w:r>
      <w:r>
        <w:t>, especially in regard to marijuana use and binge drinking. Therefore, to the extent that males are underrepresented in the sample, there is a self-selection bias based on gender which may result in under estimation of substance use and other indicators. Thus estimates from the Core Institute Survey are likely to be “conservative.”</w:t>
      </w:r>
    </w:p>
    <w:p w:rsidR="00872A87" w:rsidRDefault="00872A87" w:rsidP="00872A87"/>
    <w:p w:rsidR="00872A87" w:rsidRDefault="00872A87" w:rsidP="00872A87">
      <w:r>
        <w:t>Social desirability bias is usually defined in terms of how a subject responds to questions, i.e.,</w:t>
      </w:r>
      <w:r w:rsidRPr="00E8313B">
        <w:t xml:space="preserve"> students </w:t>
      </w:r>
      <w:r>
        <w:t>may</w:t>
      </w:r>
      <w:r w:rsidRPr="00E8313B">
        <w:t xml:space="preserve"> under report</w:t>
      </w:r>
      <w:r>
        <w:t xml:space="preserve"> the extent of,</w:t>
      </w:r>
      <w:r w:rsidRPr="00E8313B">
        <w:t xml:space="preserve"> </w:t>
      </w:r>
      <w:r>
        <w:t xml:space="preserve">or simply not admit, </w:t>
      </w:r>
      <w:r w:rsidRPr="00E8313B">
        <w:t>stigmatized or illegal behaviors</w:t>
      </w:r>
      <w:r>
        <w:t xml:space="preserve">, attitudes or facts. This may include simply skipping questions that the respondent is not comfortable answering. </w:t>
      </w:r>
    </w:p>
    <w:p w:rsidR="00872A87" w:rsidRPr="008B7BB8" w:rsidRDefault="00872A87" w:rsidP="00872A87"/>
    <w:p w:rsidR="00872A87" w:rsidRPr="008B7BB8" w:rsidRDefault="00872A87" w:rsidP="00872A87">
      <w:r w:rsidRPr="008B7BB8">
        <w:t>However, social desirability</w:t>
      </w:r>
      <w:r>
        <w:t xml:space="preserve"> factors may also create self-selection sampling bias to the extent that </w:t>
      </w:r>
      <w:r w:rsidRPr="00A702D6">
        <w:t>students more involved in drug</w:t>
      </w:r>
      <w:r w:rsidR="003C2947">
        <w:t>s</w:t>
      </w:r>
      <w:r w:rsidRPr="00A702D6">
        <w:t xml:space="preserve"> are less likely to participate in the survey</w:t>
      </w:r>
      <w:r>
        <w:t>. Self-selection biases due to gender and due to social desirability</w:t>
      </w:r>
      <w:r w:rsidR="003C2947">
        <w:t xml:space="preserve"> are likely to be</w:t>
      </w:r>
      <w:r>
        <w:t xml:space="preserve"> partially correlated, </w:t>
      </w:r>
      <w:r w:rsidR="003C2947">
        <w:t xml:space="preserve">but </w:t>
      </w:r>
      <w:proofErr w:type="gramStart"/>
      <w:r>
        <w:t>may</w:t>
      </w:r>
      <w:proofErr w:type="gramEnd"/>
      <w:r>
        <w:t xml:space="preserve"> still combine to significantly suppress survey estimates of stigmatized and illegal behaviors.</w:t>
      </w:r>
    </w:p>
    <w:p w:rsidR="00EC09E5" w:rsidRDefault="00EC09E5" w:rsidP="00872A87"/>
    <w:p w:rsidR="00631B4F" w:rsidRPr="00631B4F" w:rsidRDefault="00631B4F" w:rsidP="00872A87">
      <w:pPr>
        <w:rPr>
          <w:b/>
        </w:rPr>
      </w:pPr>
      <w:r w:rsidRPr="00631B4F">
        <w:rPr>
          <w:b/>
        </w:rPr>
        <w:t xml:space="preserve">Suggestions </w:t>
      </w:r>
    </w:p>
    <w:p w:rsidR="00631B4F" w:rsidRDefault="00631B4F" w:rsidP="00872A87"/>
    <w:p w:rsidR="00B32EA5" w:rsidRDefault="00181056" w:rsidP="00872A87">
      <w:r>
        <w:t>T</w:t>
      </w:r>
      <w:r w:rsidR="00EC09E5">
        <w:t>he Core Institute Survey</w:t>
      </w:r>
      <w:r w:rsidR="00886C56">
        <w:t xml:space="preserve"> methodology is designed principally to provide</w:t>
      </w:r>
      <w:r>
        <w:t xml:space="preserve"> valuable information to individual institutions</w:t>
      </w:r>
      <w:r w:rsidR="007E22DF">
        <w:t>. A reasonable assumption is that the college or university has the capacity to administer the survey and analyze the results beyond the standard report (if necessary). The individual institution can make decisions about how to analyze the data</w:t>
      </w:r>
      <w:r w:rsidR="0052729F">
        <w:t xml:space="preserve"> and measure change</w:t>
      </w:r>
      <w:r w:rsidR="007E22DF">
        <w:t xml:space="preserve"> based on </w:t>
      </w:r>
      <w:r w:rsidR="0052729F">
        <w:t>its detailed knowledge of its</w:t>
      </w:r>
      <w:r w:rsidR="00631B4F">
        <w:t xml:space="preserve"> student body and how their survey was conducted. They can explore potential biases in their survey and make adjustments if necessary. </w:t>
      </w:r>
    </w:p>
    <w:p w:rsidR="00B32EA5" w:rsidRDefault="00B32EA5" w:rsidP="00872A87"/>
    <w:p w:rsidR="00872A87" w:rsidRDefault="00B32EA5" w:rsidP="00872A87">
      <w:r>
        <w:t>When data is aggregated across institutions to represent all students in a geographical area, sampling issues become more complex.</w:t>
      </w:r>
      <w:r w:rsidR="003C2947">
        <w:t xml:space="preserve"> Schools may vary substantially on important indicators measured in the Survey.</w:t>
      </w:r>
      <w:r>
        <w:t xml:space="preserve"> Assuming each </w:t>
      </w:r>
      <w:r w:rsidR="00F30CFA">
        <w:t>institution</w:t>
      </w:r>
      <w:r>
        <w:t xml:space="preserve"> achieve</w:t>
      </w:r>
      <w:r w:rsidR="00964413">
        <w:t>s</w:t>
      </w:r>
      <w:r>
        <w:t xml:space="preserve"> a simple representative sample of its student population</w:t>
      </w:r>
      <w:r w:rsidR="00F30CFA">
        <w:t>, institution</w:t>
      </w:r>
      <w:r w:rsidR="00B76763">
        <w:t>s</w:t>
      </w:r>
      <w:r w:rsidR="00F30CFA">
        <w:t xml:space="preserve"> will</w:t>
      </w:r>
      <w:r w:rsidR="00964413">
        <w:t xml:space="preserve"> still</w:t>
      </w:r>
      <w:r w:rsidR="00F30CFA">
        <w:t xml:space="preserve"> </w:t>
      </w:r>
      <w:r w:rsidR="003C2947">
        <w:t>differ</w:t>
      </w:r>
      <w:r w:rsidR="00F30CFA">
        <w:t xml:space="preserve"> in student population size and in the proportion of </w:t>
      </w:r>
      <w:r w:rsidR="00B76763">
        <w:t>their</w:t>
      </w:r>
      <w:bookmarkStart w:id="0" w:name="_GoBack"/>
      <w:bookmarkEnd w:id="0"/>
      <w:r w:rsidR="00F30CFA">
        <w:t xml:space="preserve"> population sampled. Therefore, for purposes of aggregating responses across institutions, it would be reasonable to weight survey responses based on these factors. Further, statistical adjustments can often be made to remediate well documented s</w:t>
      </w:r>
      <w:r w:rsidR="00964413">
        <w:t>ources of bias, such as differences in response rate by gender.</w:t>
      </w:r>
      <w:r w:rsidR="00EE0FF8">
        <w:t xml:space="preserve"> Increasing the accuracy of </w:t>
      </w:r>
      <w:r w:rsidR="003C2947">
        <w:t>indicator</w:t>
      </w:r>
      <w:r w:rsidR="00EE0FF8">
        <w:t xml:space="preserve"> estimates is important for measuring change. Measuring change over time may also require statistical adjustments to </w:t>
      </w:r>
      <w:r w:rsidR="003C2947">
        <w:t>construct</w:t>
      </w:r>
      <w:r w:rsidR="00EE0FF8">
        <w:t xml:space="preserve"> equivalent samples for the different time points.</w:t>
      </w:r>
    </w:p>
    <w:p w:rsidR="00872A87" w:rsidRDefault="00872A87" w:rsidP="00872A87"/>
    <w:p w:rsidR="00181056" w:rsidRDefault="00181056" w:rsidP="00872A87"/>
    <w:p w:rsidR="00872A87" w:rsidRPr="000F7581" w:rsidRDefault="00872A87" w:rsidP="00872A87">
      <w:r w:rsidRPr="000F7581">
        <w:rPr>
          <w:b/>
        </w:rPr>
        <w:t>Contact for Further Information</w:t>
      </w:r>
    </w:p>
    <w:p w:rsidR="00872A87" w:rsidRPr="000F7581" w:rsidRDefault="00872A87" w:rsidP="00872A87"/>
    <w:p w:rsidR="00872A87" w:rsidRDefault="0096626A" w:rsidP="00872A87">
      <w:hyperlink r:id="rId16" w:history="1">
        <w:r w:rsidR="00181056" w:rsidRPr="00181056">
          <w:rPr>
            <w:rStyle w:val="Hyperlink"/>
          </w:rPr>
          <w:t>http://uiswcmsweb.prod.lsu.edu/edco/lacasu/</w:t>
        </w:r>
      </w:hyperlink>
    </w:p>
    <w:p w:rsidR="00181056" w:rsidRDefault="00181056" w:rsidP="00872A87"/>
    <w:p w:rsidR="00181056" w:rsidRDefault="00181056" w:rsidP="00872A87"/>
    <w:p w:rsidR="00872A87" w:rsidRPr="00181056" w:rsidRDefault="00181056" w:rsidP="00872A87">
      <w:pPr>
        <w:rPr>
          <w:sz w:val="20"/>
        </w:rPr>
      </w:pPr>
      <w:r w:rsidRPr="00181056">
        <w:rPr>
          <w:sz w:val="20"/>
        </w:rPr>
        <w:t>Editor: Robert J Gallati (</w:t>
      </w:r>
      <w:hyperlink r:id="rId17" w:history="1">
        <w:r w:rsidRPr="00181056">
          <w:rPr>
            <w:rStyle w:val="Hyperlink"/>
            <w:sz w:val="20"/>
          </w:rPr>
          <w:t>rjgallati@yahoo.com</w:t>
        </w:r>
      </w:hyperlink>
      <w:r w:rsidRPr="00181056">
        <w:rPr>
          <w:sz w:val="20"/>
        </w:rPr>
        <w:t>), u</w:t>
      </w:r>
      <w:r w:rsidR="00872A87" w:rsidRPr="00181056">
        <w:rPr>
          <w:sz w:val="20"/>
        </w:rPr>
        <w:t>pdated: 4/30/2014</w:t>
      </w:r>
    </w:p>
    <w:p w:rsidR="004F4264" w:rsidRPr="00872A87" w:rsidRDefault="004F4264" w:rsidP="00872A87"/>
    <w:sectPr w:rsidR="004F4264" w:rsidRPr="00872A87" w:rsidSect="007214C6">
      <w:headerReference w:type="default" r:id="rId18"/>
      <w:footerReference w:type="defaul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6A" w:rsidRDefault="0096626A" w:rsidP="001B31CC">
      <w:r>
        <w:separator/>
      </w:r>
    </w:p>
  </w:endnote>
  <w:endnote w:type="continuationSeparator" w:id="0">
    <w:p w:rsidR="0096626A" w:rsidRDefault="0096626A"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CC" w:rsidRDefault="00B337D7">
    <w:pPr>
      <w:pStyle w:val="Footer"/>
    </w:pPr>
    <w:fldSimple w:instr=" FILENAME   \* MERGEFORMAT ">
      <w:r w:rsidR="001F3E28" w:rsidRPr="001F3E28">
        <w:rPr>
          <w:noProof/>
          <w:sz w:val="18"/>
          <w:szCs w:val="18"/>
        </w:rPr>
        <w:t>A-05_CoreSurvey_200140430.docx</w:t>
      </w:r>
    </w:fldSimple>
    <w:r w:rsidR="001B31CC">
      <w:tab/>
    </w:r>
    <w:r w:rsidR="007214C6">
      <w:fldChar w:fldCharType="begin"/>
    </w:r>
    <w:r w:rsidR="001B31CC">
      <w:instrText xml:space="preserve"> PAGE   \* MERGEFORMAT </w:instrText>
    </w:r>
    <w:r w:rsidR="007214C6">
      <w:fldChar w:fldCharType="separate"/>
    </w:r>
    <w:r w:rsidR="00B76763">
      <w:rPr>
        <w:noProof/>
      </w:rPr>
      <w:t>3</w:t>
    </w:r>
    <w:r w:rsidR="007214C6">
      <w:fldChar w:fldCharType="end"/>
    </w:r>
    <w:r w:rsidR="001B31CC">
      <w:t xml:space="preserve"> of </w:t>
    </w:r>
    <w:fldSimple w:instr=" NUMPAGES   \* MERGEFORMAT ">
      <w:r w:rsidR="00B76763">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6A" w:rsidRDefault="0096626A" w:rsidP="001B31CC">
      <w:r>
        <w:separator/>
      </w:r>
    </w:p>
  </w:footnote>
  <w:footnote w:type="continuationSeparator" w:id="0">
    <w:p w:rsidR="0096626A" w:rsidRDefault="0096626A" w:rsidP="001B3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87" w:rsidRPr="00872A87" w:rsidRDefault="00872A87" w:rsidP="00872A87">
    <w:pPr>
      <w:pStyle w:val="Header"/>
      <w:rPr>
        <w:b/>
      </w:rPr>
    </w:pPr>
    <w:r w:rsidRPr="00872A87">
      <w:rPr>
        <w:b/>
      </w:rPr>
      <w:t>Greater New Orleans Community Substance Use Health Profile</w:t>
    </w:r>
  </w:p>
  <w:p w:rsidR="00DD1E24" w:rsidRPr="00FE75A7" w:rsidRDefault="000109F3" w:rsidP="00872A87">
    <w:pPr>
      <w:pStyle w:val="Header"/>
      <w:rPr>
        <w:b/>
      </w:rPr>
    </w:pPr>
    <w:r>
      <w:rPr>
        <w:b/>
      </w:rPr>
      <w:t>Appendix A</w:t>
    </w:r>
    <w:r w:rsidR="00872A87" w:rsidRPr="00872A87">
      <w:rPr>
        <w:b/>
      </w:rPr>
      <w:t>: Data Sources Documentation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A9B"/>
    <w:multiLevelType w:val="hybridMultilevel"/>
    <w:tmpl w:val="FB94E2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4">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8"/>
  </w:num>
  <w:num w:numId="4">
    <w:abstractNumId w:val="6"/>
  </w:num>
  <w:num w:numId="5">
    <w:abstractNumId w:val="10"/>
  </w:num>
  <w:num w:numId="6">
    <w:abstractNumId w:val="1"/>
  </w:num>
  <w:num w:numId="7">
    <w:abstractNumId w:val="11"/>
  </w:num>
  <w:num w:numId="8">
    <w:abstractNumId w:val="5"/>
  </w:num>
  <w:num w:numId="9">
    <w:abstractNumId w:val="7"/>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109F3"/>
    <w:rsid w:val="000231AC"/>
    <w:rsid w:val="00034184"/>
    <w:rsid w:val="0004249E"/>
    <w:rsid w:val="00047859"/>
    <w:rsid w:val="0005363D"/>
    <w:rsid w:val="000726C0"/>
    <w:rsid w:val="000C092D"/>
    <w:rsid w:val="000D188F"/>
    <w:rsid w:val="000F3280"/>
    <w:rsid w:val="000F7581"/>
    <w:rsid w:val="00102DDE"/>
    <w:rsid w:val="001440D4"/>
    <w:rsid w:val="0015747A"/>
    <w:rsid w:val="00181056"/>
    <w:rsid w:val="001B31CC"/>
    <w:rsid w:val="001E7474"/>
    <w:rsid w:val="001F3E28"/>
    <w:rsid w:val="00202AD8"/>
    <w:rsid w:val="00213B5A"/>
    <w:rsid w:val="002315F0"/>
    <w:rsid w:val="002318EB"/>
    <w:rsid w:val="0024791A"/>
    <w:rsid w:val="002517AA"/>
    <w:rsid w:val="0025224C"/>
    <w:rsid w:val="002838EF"/>
    <w:rsid w:val="0028675C"/>
    <w:rsid w:val="002B140C"/>
    <w:rsid w:val="002C5D2D"/>
    <w:rsid w:val="00302423"/>
    <w:rsid w:val="003348D2"/>
    <w:rsid w:val="0036519E"/>
    <w:rsid w:val="00392126"/>
    <w:rsid w:val="0039218D"/>
    <w:rsid w:val="003C2947"/>
    <w:rsid w:val="003D7190"/>
    <w:rsid w:val="00461A5E"/>
    <w:rsid w:val="00486848"/>
    <w:rsid w:val="004A474C"/>
    <w:rsid w:val="004D57B2"/>
    <w:rsid w:val="004E7EF2"/>
    <w:rsid w:val="004F4264"/>
    <w:rsid w:val="0052729F"/>
    <w:rsid w:val="00546230"/>
    <w:rsid w:val="00563573"/>
    <w:rsid w:val="005844ED"/>
    <w:rsid w:val="005917EF"/>
    <w:rsid w:val="005F6002"/>
    <w:rsid w:val="0060239C"/>
    <w:rsid w:val="00631B4F"/>
    <w:rsid w:val="00650C16"/>
    <w:rsid w:val="0067399D"/>
    <w:rsid w:val="00684CF0"/>
    <w:rsid w:val="00693BBB"/>
    <w:rsid w:val="00694BCF"/>
    <w:rsid w:val="0069748D"/>
    <w:rsid w:val="006A65C8"/>
    <w:rsid w:val="006B22A9"/>
    <w:rsid w:val="006B2887"/>
    <w:rsid w:val="006B33BA"/>
    <w:rsid w:val="006E4BC1"/>
    <w:rsid w:val="007214C6"/>
    <w:rsid w:val="00722A7F"/>
    <w:rsid w:val="007439F1"/>
    <w:rsid w:val="0075355D"/>
    <w:rsid w:val="007619DF"/>
    <w:rsid w:val="0078582E"/>
    <w:rsid w:val="007A023C"/>
    <w:rsid w:val="007E22DF"/>
    <w:rsid w:val="008020DA"/>
    <w:rsid w:val="00812E90"/>
    <w:rsid w:val="008302C3"/>
    <w:rsid w:val="008324A9"/>
    <w:rsid w:val="00843D1D"/>
    <w:rsid w:val="00862080"/>
    <w:rsid w:val="00872A87"/>
    <w:rsid w:val="008769C5"/>
    <w:rsid w:val="00886C56"/>
    <w:rsid w:val="008D578E"/>
    <w:rsid w:val="008F6AF4"/>
    <w:rsid w:val="008F74AA"/>
    <w:rsid w:val="0094555E"/>
    <w:rsid w:val="00952A84"/>
    <w:rsid w:val="0096217B"/>
    <w:rsid w:val="00962F2E"/>
    <w:rsid w:val="00964413"/>
    <w:rsid w:val="0096626A"/>
    <w:rsid w:val="00975E1E"/>
    <w:rsid w:val="00985016"/>
    <w:rsid w:val="009C039F"/>
    <w:rsid w:val="009C534C"/>
    <w:rsid w:val="009D1DAB"/>
    <w:rsid w:val="009E292F"/>
    <w:rsid w:val="00A02D06"/>
    <w:rsid w:val="00A06288"/>
    <w:rsid w:val="00A37AD2"/>
    <w:rsid w:val="00A4227B"/>
    <w:rsid w:val="00A85D4E"/>
    <w:rsid w:val="00A8644E"/>
    <w:rsid w:val="00AB44E8"/>
    <w:rsid w:val="00AC3FD1"/>
    <w:rsid w:val="00AD6173"/>
    <w:rsid w:val="00AF5A02"/>
    <w:rsid w:val="00B03D3C"/>
    <w:rsid w:val="00B32EA5"/>
    <w:rsid w:val="00B337D7"/>
    <w:rsid w:val="00B62A6C"/>
    <w:rsid w:val="00B76763"/>
    <w:rsid w:val="00B964DB"/>
    <w:rsid w:val="00BB36AD"/>
    <w:rsid w:val="00BC0572"/>
    <w:rsid w:val="00BD41FF"/>
    <w:rsid w:val="00C13A65"/>
    <w:rsid w:val="00C17E6A"/>
    <w:rsid w:val="00C24C51"/>
    <w:rsid w:val="00C26DD8"/>
    <w:rsid w:val="00C33589"/>
    <w:rsid w:val="00C338CA"/>
    <w:rsid w:val="00C42104"/>
    <w:rsid w:val="00C64A71"/>
    <w:rsid w:val="00C653A8"/>
    <w:rsid w:val="00C81ED2"/>
    <w:rsid w:val="00CB19AA"/>
    <w:rsid w:val="00CC58D0"/>
    <w:rsid w:val="00CF5D44"/>
    <w:rsid w:val="00D146B2"/>
    <w:rsid w:val="00D66870"/>
    <w:rsid w:val="00DC0DE1"/>
    <w:rsid w:val="00DD1E24"/>
    <w:rsid w:val="00DE32BD"/>
    <w:rsid w:val="00DF1139"/>
    <w:rsid w:val="00E77285"/>
    <w:rsid w:val="00E81BD9"/>
    <w:rsid w:val="00E82620"/>
    <w:rsid w:val="00E8405F"/>
    <w:rsid w:val="00E95D8C"/>
    <w:rsid w:val="00EA430E"/>
    <w:rsid w:val="00EB2A9A"/>
    <w:rsid w:val="00EB71B1"/>
    <w:rsid w:val="00EC04F1"/>
    <w:rsid w:val="00EC09E5"/>
    <w:rsid w:val="00EC5CFD"/>
    <w:rsid w:val="00EE0FF8"/>
    <w:rsid w:val="00EE6935"/>
    <w:rsid w:val="00EF0510"/>
    <w:rsid w:val="00F30CFA"/>
    <w:rsid w:val="00F7602E"/>
    <w:rsid w:val="00F77D5B"/>
    <w:rsid w:val="00F94B0C"/>
    <w:rsid w:val="00FA1B45"/>
    <w:rsid w:val="00FA1C4F"/>
    <w:rsid w:val="00FB20B9"/>
    <w:rsid w:val="00FB48D1"/>
    <w:rsid w:val="00FB615F"/>
    <w:rsid w:val="00FE43A9"/>
    <w:rsid w:val="00FE75A7"/>
    <w:rsid w:val="00FF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e.siu.edu" TargetMode="External"/><Relationship Id="rId13" Type="http://schemas.openxmlformats.org/officeDocument/2006/relationships/hyperlink" Target="http://uiswcmsweb.prod.lsu.edu/edco/lacasu/"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re.siu.edu/surveys/" TargetMode="External"/><Relationship Id="rId17" Type="http://schemas.openxmlformats.org/officeDocument/2006/relationships/hyperlink" Target="mailto:rjgallati@yahoo.com" TargetMode="External"/><Relationship Id="rId2" Type="http://schemas.openxmlformats.org/officeDocument/2006/relationships/styles" Target="styles.xml"/><Relationship Id="rId16" Type="http://schemas.openxmlformats.org/officeDocument/2006/relationships/hyperlink" Target="http://uiswcmsweb.prod.lsu.edu/edco/lacas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re.siu.edu/surveys/" TargetMode="External"/><Relationship Id="rId5" Type="http://schemas.openxmlformats.org/officeDocument/2006/relationships/webSettings" Target="webSettings.xml"/><Relationship Id="rId15" Type="http://schemas.openxmlformats.org/officeDocument/2006/relationships/hyperlink" Target="http://core.siu.edu" TargetMode="External"/><Relationship Id="rId10" Type="http://schemas.openxmlformats.org/officeDocument/2006/relationships/hyperlink" Target="http://www.bach-harrison.com/lasocialindicato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iswcmsweb.prod.lsu.edu/edco/lacasu/" TargetMode="External"/><Relationship Id="rId14" Type="http://schemas.openxmlformats.org/officeDocument/2006/relationships/hyperlink" Target="http://uiswcmsweb.prod.lsu.edu/edco/lacas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10</TotalTime>
  <Pages>3</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9</cp:revision>
  <cp:lastPrinted>2014-05-02T03:57:00Z</cp:lastPrinted>
  <dcterms:created xsi:type="dcterms:W3CDTF">2014-05-01T16:22:00Z</dcterms:created>
  <dcterms:modified xsi:type="dcterms:W3CDTF">2014-05-02T18:15:00Z</dcterms:modified>
</cp:coreProperties>
</file>