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4B" w:rsidRPr="00C11023" w:rsidRDefault="00836BC3" w:rsidP="00836BC3">
      <w:pPr>
        <w:jc w:val="center"/>
        <w:rPr>
          <w:b/>
        </w:rPr>
      </w:pPr>
      <w:r w:rsidRPr="00C11023">
        <w:rPr>
          <w:b/>
        </w:rPr>
        <w:t xml:space="preserve">Completion Rates for the Caring Communities Youth </w:t>
      </w:r>
      <w:r w:rsidR="00C11023" w:rsidRPr="00C11023">
        <w:rPr>
          <w:b/>
        </w:rPr>
        <w:t>Survey</w:t>
      </w:r>
      <w:r w:rsidR="005D1636">
        <w:rPr>
          <w:b/>
        </w:rPr>
        <w:t>,</w:t>
      </w:r>
    </w:p>
    <w:p w:rsidR="00836BC3" w:rsidRPr="00C11023" w:rsidRDefault="00836BC3" w:rsidP="00836BC3">
      <w:pPr>
        <w:jc w:val="center"/>
        <w:rPr>
          <w:b/>
        </w:rPr>
      </w:pPr>
      <w:r w:rsidRPr="00C11023">
        <w:rPr>
          <w:b/>
        </w:rPr>
        <w:t>Orleans Parish, 2008—2014</w:t>
      </w:r>
    </w:p>
    <w:p w:rsidR="00276631" w:rsidRDefault="00276631" w:rsidP="00722A7F">
      <w:bookmarkStart w:id="0" w:name="_GoBack"/>
      <w:bookmarkEnd w:id="0"/>
    </w:p>
    <w:p w:rsidR="00F03C9A" w:rsidRPr="00F03C9A" w:rsidRDefault="00F03C9A" w:rsidP="00F03C9A">
      <w:pPr>
        <w:ind w:left="720" w:right="720"/>
        <w:rPr>
          <w:b/>
        </w:rPr>
      </w:pPr>
      <w:r w:rsidRPr="00F03C9A">
        <w:rPr>
          <w:b/>
        </w:rPr>
        <w:t xml:space="preserve">Summary </w:t>
      </w:r>
    </w:p>
    <w:p w:rsidR="00F03C9A" w:rsidRPr="00F03C9A" w:rsidRDefault="00F03C9A" w:rsidP="00F03C9A">
      <w:pPr>
        <w:ind w:left="720" w:right="720"/>
      </w:pPr>
    </w:p>
    <w:p w:rsidR="002E4B73" w:rsidRPr="00F03C9A" w:rsidRDefault="00276631" w:rsidP="00F03C9A">
      <w:pPr>
        <w:ind w:left="720" w:right="720"/>
        <w:rPr>
          <w:i/>
        </w:rPr>
      </w:pPr>
      <w:r w:rsidRPr="00F03C9A">
        <w:rPr>
          <w:i/>
        </w:rPr>
        <w:t xml:space="preserve">Overall, </w:t>
      </w:r>
      <w:r w:rsidR="002E4B73" w:rsidRPr="00F03C9A">
        <w:rPr>
          <w:i/>
        </w:rPr>
        <w:t xml:space="preserve">completion rates in </w:t>
      </w:r>
      <w:r w:rsidRPr="00F03C9A">
        <w:rPr>
          <w:i/>
        </w:rPr>
        <w:t xml:space="preserve">New Orleans </w:t>
      </w:r>
      <w:r w:rsidR="002E4B73" w:rsidRPr="00F03C9A">
        <w:rPr>
          <w:i/>
        </w:rPr>
        <w:t>did not improve in 2014 compared to 2012. Only 15 percent of New Orleans students enrolled in the 6</w:t>
      </w:r>
      <w:r w:rsidR="002E4B73" w:rsidRPr="00F03C9A">
        <w:rPr>
          <w:i/>
          <w:vertAlign w:val="superscript"/>
        </w:rPr>
        <w:t>th</w:t>
      </w:r>
      <w:r w:rsidR="002E4B73" w:rsidRPr="00F03C9A">
        <w:rPr>
          <w:i/>
        </w:rPr>
        <w:t>, 8</w:t>
      </w:r>
      <w:r w:rsidR="002E4B73" w:rsidRPr="00F03C9A">
        <w:rPr>
          <w:i/>
          <w:vertAlign w:val="superscript"/>
        </w:rPr>
        <w:t>th</w:t>
      </w:r>
      <w:r w:rsidR="002E4B73" w:rsidRPr="00F03C9A">
        <w:rPr>
          <w:i/>
        </w:rPr>
        <w:t>, 10</w:t>
      </w:r>
      <w:r w:rsidR="002E4B73" w:rsidRPr="00F03C9A">
        <w:rPr>
          <w:i/>
          <w:vertAlign w:val="superscript"/>
        </w:rPr>
        <w:t>th</w:t>
      </w:r>
      <w:r w:rsidR="002E4B73" w:rsidRPr="00F03C9A">
        <w:rPr>
          <w:i/>
        </w:rPr>
        <w:t xml:space="preserve"> and 12</w:t>
      </w:r>
      <w:r w:rsidR="002E4B73" w:rsidRPr="00F03C9A">
        <w:rPr>
          <w:i/>
          <w:vertAlign w:val="superscript"/>
        </w:rPr>
        <w:t>th</w:t>
      </w:r>
      <w:r w:rsidR="002E4B73" w:rsidRPr="00F03C9A">
        <w:rPr>
          <w:i/>
        </w:rPr>
        <w:t xml:space="preserve"> grades completed a </w:t>
      </w:r>
      <w:r w:rsidRPr="00F03C9A">
        <w:rPr>
          <w:i/>
        </w:rPr>
        <w:t xml:space="preserve">Caring Communities Youth Survey </w:t>
      </w:r>
      <w:r w:rsidR="002E4B73" w:rsidRPr="00F03C9A">
        <w:rPr>
          <w:i/>
        </w:rPr>
        <w:t xml:space="preserve">(CYS) in 2014. </w:t>
      </w:r>
    </w:p>
    <w:p w:rsidR="00F03C9A" w:rsidRPr="00F03C9A" w:rsidRDefault="00F03C9A" w:rsidP="00F03C9A">
      <w:pPr>
        <w:ind w:left="720" w:right="720"/>
        <w:rPr>
          <w:i/>
        </w:rPr>
      </w:pPr>
    </w:p>
    <w:p w:rsidR="003454C1" w:rsidRPr="00F03C9A" w:rsidRDefault="002E4B73" w:rsidP="00F03C9A">
      <w:pPr>
        <w:ind w:left="720" w:right="720"/>
        <w:rPr>
          <w:i/>
        </w:rPr>
      </w:pPr>
      <w:r w:rsidRPr="00F03C9A">
        <w:rPr>
          <w:i/>
        </w:rPr>
        <w:t>The 8</w:t>
      </w:r>
      <w:r w:rsidRPr="00F03C9A">
        <w:rPr>
          <w:i/>
          <w:vertAlign w:val="superscript"/>
        </w:rPr>
        <w:t>th</w:t>
      </w:r>
      <w:r w:rsidRPr="00F03C9A">
        <w:rPr>
          <w:i/>
        </w:rPr>
        <w:t xml:space="preserve"> grade competition rate dropped from 19 percent in 2012 to </w:t>
      </w:r>
      <w:r w:rsidRPr="00F03C9A">
        <w:rPr>
          <w:b/>
          <w:i/>
        </w:rPr>
        <w:t>13 percent in 2014</w:t>
      </w:r>
      <w:r w:rsidRPr="00F03C9A">
        <w:rPr>
          <w:i/>
        </w:rPr>
        <w:t>.</w:t>
      </w:r>
    </w:p>
    <w:p w:rsidR="002E4B73" w:rsidRPr="00F03C9A" w:rsidRDefault="002E4B73" w:rsidP="00F03C9A">
      <w:pPr>
        <w:ind w:left="720" w:right="720"/>
        <w:rPr>
          <w:i/>
        </w:rPr>
      </w:pPr>
    </w:p>
    <w:p w:rsidR="002E4B73" w:rsidRPr="00F03C9A" w:rsidRDefault="00F03C9A" w:rsidP="00F03C9A">
      <w:pPr>
        <w:ind w:left="720" w:right="720"/>
        <w:rPr>
          <w:i/>
        </w:rPr>
      </w:pPr>
      <w:r w:rsidRPr="00F03C9A">
        <w:rPr>
          <w:i/>
        </w:rPr>
        <w:t>However</w:t>
      </w:r>
      <w:r w:rsidR="002E4B73" w:rsidRPr="00F03C9A">
        <w:rPr>
          <w:i/>
        </w:rPr>
        <w:t>,</w:t>
      </w:r>
      <w:r w:rsidRPr="00F03C9A">
        <w:rPr>
          <w:i/>
        </w:rPr>
        <w:t xml:space="preserve"> the 10</w:t>
      </w:r>
      <w:r w:rsidRPr="00F03C9A">
        <w:rPr>
          <w:i/>
          <w:vertAlign w:val="superscript"/>
        </w:rPr>
        <w:t>th</w:t>
      </w:r>
      <w:r w:rsidRPr="00F03C9A">
        <w:rPr>
          <w:i/>
        </w:rPr>
        <w:t xml:space="preserve"> grade completion rate increased from 13 percent in 2012 to </w:t>
      </w:r>
      <w:r w:rsidRPr="00F03C9A">
        <w:rPr>
          <w:b/>
          <w:i/>
        </w:rPr>
        <w:t>22 percent in 2014</w:t>
      </w:r>
      <w:r w:rsidRPr="00F03C9A">
        <w:rPr>
          <w:i/>
        </w:rPr>
        <w:t>.</w:t>
      </w:r>
    </w:p>
    <w:p w:rsidR="003454C1" w:rsidRPr="00F03C9A" w:rsidRDefault="003454C1" w:rsidP="00F03C9A">
      <w:pPr>
        <w:ind w:left="720" w:right="720"/>
        <w:rPr>
          <w:i/>
        </w:rPr>
      </w:pPr>
    </w:p>
    <w:p w:rsidR="00F03C9A" w:rsidRPr="00F03C9A" w:rsidRDefault="00F03C9A" w:rsidP="00F03C9A">
      <w:pPr>
        <w:ind w:left="720" w:right="720"/>
        <w:rPr>
          <w:i/>
        </w:rPr>
      </w:pPr>
      <w:r w:rsidRPr="00F03C9A">
        <w:rPr>
          <w:i/>
        </w:rPr>
        <w:t>Due to the low completion rates, statistics provided in the Orleans Parish report cannot be accepted at face value. For purposes of the Drug Free Communities project, use of the CCYS depends on which schools participated in the survey</w:t>
      </w:r>
      <w:r w:rsidR="0030494E">
        <w:rPr>
          <w:i/>
        </w:rPr>
        <w:t xml:space="preserve"> and how many students from the targeted communities completed the survey</w:t>
      </w:r>
      <w:r w:rsidRPr="00F03C9A">
        <w:rPr>
          <w:i/>
        </w:rPr>
        <w:t>.</w:t>
      </w:r>
    </w:p>
    <w:p w:rsidR="003454C1" w:rsidRDefault="003454C1" w:rsidP="00722A7F"/>
    <w:p w:rsidR="003454C1" w:rsidRPr="00F03C9A" w:rsidRDefault="00F03C9A" w:rsidP="00722A7F">
      <w:pPr>
        <w:rPr>
          <w:b/>
        </w:rPr>
      </w:pPr>
      <w:r w:rsidRPr="00F03C9A">
        <w:rPr>
          <w:b/>
        </w:rPr>
        <w:t>Background</w:t>
      </w:r>
    </w:p>
    <w:p w:rsidR="00F03C9A" w:rsidRDefault="00F03C9A" w:rsidP="00722A7F"/>
    <w:p w:rsidR="00836BC3" w:rsidRDefault="00836BC3" w:rsidP="00722A7F">
      <w:r>
        <w:t xml:space="preserve">The Louisiana Caring Communities Youth Survey (CCYS) is conducted biennially </w:t>
      </w:r>
      <w:r w:rsidR="00C11023">
        <w:t>in the fall of the school year</w:t>
      </w:r>
      <w:r w:rsidR="00D20A66">
        <w:t xml:space="preserve"> for 6</w:t>
      </w:r>
      <w:r w:rsidR="00D20A66" w:rsidRPr="00D20A66">
        <w:rPr>
          <w:vertAlign w:val="superscript"/>
        </w:rPr>
        <w:t>th</w:t>
      </w:r>
      <w:r w:rsidR="00D20A66">
        <w:t>, 8</w:t>
      </w:r>
      <w:r w:rsidR="00D20A66" w:rsidRPr="00D20A66">
        <w:rPr>
          <w:vertAlign w:val="superscript"/>
        </w:rPr>
        <w:t>th</w:t>
      </w:r>
      <w:r w:rsidR="00D20A66">
        <w:t>, 10</w:t>
      </w:r>
      <w:r w:rsidR="00D20A66" w:rsidRPr="00D20A66">
        <w:rPr>
          <w:vertAlign w:val="superscript"/>
        </w:rPr>
        <w:t>th</w:t>
      </w:r>
      <w:r w:rsidR="00D20A66">
        <w:t xml:space="preserve"> and 12</w:t>
      </w:r>
      <w:r w:rsidR="00D20A66" w:rsidRPr="00D20A66">
        <w:rPr>
          <w:vertAlign w:val="superscript"/>
        </w:rPr>
        <w:t>th</w:t>
      </w:r>
      <w:r w:rsidR="00D20A66">
        <w:t xml:space="preserve"> grades</w:t>
      </w:r>
      <w:r>
        <w:t xml:space="preserve">. The survey is sponsored by the Office of Behavioral Health with funding allocated from the federal Substance Abuse Prevention and Treatment Block Grant. State and local human services </w:t>
      </w:r>
      <w:r w:rsidR="00C11023">
        <w:t>authorities’</w:t>
      </w:r>
      <w:r>
        <w:t xml:space="preserve"> prevention staff recruit public schools (including charter schools) to participate in the survey</w:t>
      </w:r>
      <w:r w:rsidR="00C11023">
        <w:t>. All public schools are invited to participate. Private schools (including parochial schools) may participate by local invitation.</w:t>
      </w:r>
      <w:r w:rsidR="00CE6655">
        <w:t xml:space="preserve"> </w:t>
      </w:r>
      <w:r w:rsidR="0030494E">
        <w:t>Each participating school can receive its statistical report at no charge.</w:t>
      </w:r>
    </w:p>
    <w:p w:rsidR="00C11023" w:rsidRDefault="00C11023" w:rsidP="00722A7F"/>
    <w:p w:rsidR="00C11023" w:rsidRDefault="00C11023" w:rsidP="00722A7F">
      <w:r>
        <w:t>Reports are provided to school districts and charter school</w:t>
      </w:r>
      <w:r w:rsidR="00D20A66">
        <w:t>s</w:t>
      </w:r>
      <w:r>
        <w:t xml:space="preserve"> in May, about five month post administration, in order to support prevention planning for the next school year. Reports are also produced at the parish, region and state levels. Parish reports</w:t>
      </w:r>
      <w:r w:rsidR="00D20A66">
        <w:t xml:space="preserve"> include survey “completion rates” by grade level</w:t>
      </w:r>
      <w:r w:rsidR="00F03C9A">
        <w:t xml:space="preserve"> (Table 1</w:t>
      </w:r>
      <w:r w:rsidR="004C76B7">
        <w:t>)</w:t>
      </w:r>
      <w:r w:rsidR="00D20A66">
        <w:t>.</w:t>
      </w:r>
    </w:p>
    <w:p w:rsidR="00D20A66" w:rsidRDefault="00D20A66" w:rsidP="00722A7F"/>
    <w:p w:rsidR="00801437" w:rsidRDefault="00CE6655" w:rsidP="00722A7F">
      <w:r>
        <w:t>The completion rate is computed by dividing the number of valid surveys completed by the total fall school enrollment.</w:t>
      </w:r>
      <w:r w:rsidRPr="00CE6655">
        <w:t xml:space="preserve"> </w:t>
      </w:r>
      <w:r>
        <w:t>The CCYS survey is conducted as a census</w:t>
      </w:r>
      <w:r w:rsidR="00495099">
        <w:t xml:space="preserve">: the target sample is all students enrolled in public schools. </w:t>
      </w:r>
      <w:r w:rsidR="00D045E2">
        <w:t>The completion rate is principally affected by the proportion of schools participating.</w:t>
      </w:r>
      <w:r w:rsidR="00D045E2">
        <w:rPr>
          <w:rStyle w:val="FootnoteReference"/>
        </w:rPr>
        <w:footnoteReference w:id="1"/>
      </w:r>
      <w:r w:rsidR="00D045E2">
        <w:t xml:space="preserve"> Any individual</w:t>
      </w:r>
      <w:r w:rsidR="00495099">
        <w:t xml:space="preserve"> participating</w:t>
      </w:r>
      <w:r w:rsidR="00D045E2">
        <w:t xml:space="preserve"> school</w:t>
      </w:r>
      <w:r w:rsidR="00495099">
        <w:t xml:space="preserve"> </w:t>
      </w:r>
      <w:r w:rsidR="00D045E2">
        <w:t>is</w:t>
      </w:r>
      <w:r w:rsidR="00495099">
        <w:t xml:space="preserve"> likely to obtain </w:t>
      </w:r>
      <w:r w:rsidR="00D045E2">
        <w:t xml:space="preserve">a very </w:t>
      </w:r>
      <w:r w:rsidR="00495099">
        <w:t xml:space="preserve">high completion rate </w:t>
      </w:r>
      <w:r w:rsidR="00D045E2">
        <w:t>which supports</w:t>
      </w:r>
      <w:r w:rsidR="00495099">
        <w:t xml:space="preserve"> </w:t>
      </w:r>
      <w:r w:rsidR="00D045E2">
        <w:t>its</w:t>
      </w:r>
      <w:r w:rsidR="00495099">
        <w:t xml:space="preserve"> use of survey findings. </w:t>
      </w:r>
    </w:p>
    <w:tbl>
      <w:tblPr>
        <w:tblStyle w:val="TableGrid"/>
        <w:tblpPr w:leftFromText="180" w:rightFromText="180" w:vertAnchor="text" w:tblpXSpec="right" w:tblpY="110"/>
        <w:tblW w:w="0" w:type="auto"/>
        <w:tblLayout w:type="fixed"/>
        <w:tblCellMar>
          <w:left w:w="115" w:type="dxa"/>
          <w:right w:w="115" w:type="dxa"/>
        </w:tblCellMar>
        <w:tblLook w:val="04A0" w:firstRow="1" w:lastRow="0" w:firstColumn="1" w:lastColumn="0" w:noHBand="0" w:noVBand="1"/>
      </w:tblPr>
      <w:tblGrid>
        <w:gridCol w:w="1018"/>
        <w:gridCol w:w="1018"/>
        <w:gridCol w:w="1019"/>
      </w:tblGrid>
      <w:tr w:rsidR="003454C1" w:rsidRPr="00801437" w:rsidTr="003454C1">
        <w:tc>
          <w:tcPr>
            <w:tcW w:w="3055" w:type="dxa"/>
            <w:gridSpan w:val="3"/>
            <w:vAlign w:val="center"/>
          </w:tcPr>
          <w:p w:rsidR="003454C1" w:rsidRPr="00E23C7F" w:rsidRDefault="003454C1" w:rsidP="003454C1">
            <w:pPr>
              <w:jc w:val="center"/>
              <w:rPr>
                <w:b/>
                <w:sz w:val="20"/>
              </w:rPr>
            </w:pPr>
            <w:r>
              <w:rPr>
                <w:b/>
                <w:sz w:val="20"/>
              </w:rPr>
              <w:lastRenderedPageBreak/>
              <w:t xml:space="preserve">Table 1. </w:t>
            </w:r>
            <w:r w:rsidRPr="00E23C7F">
              <w:rPr>
                <w:b/>
                <w:sz w:val="20"/>
              </w:rPr>
              <w:t xml:space="preserve">Completion Rates </w:t>
            </w:r>
            <w:r>
              <w:rPr>
                <w:b/>
                <w:sz w:val="20"/>
              </w:rPr>
              <w:t>(%)</w:t>
            </w:r>
            <w:r w:rsidRPr="00E23C7F">
              <w:rPr>
                <w:b/>
                <w:sz w:val="20"/>
              </w:rPr>
              <w:t>, 2014 Caring Communities Youth Survey (CCYS)</w:t>
            </w:r>
          </w:p>
        </w:tc>
      </w:tr>
      <w:tr w:rsidR="003454C1" w:rsidRPr="00801437" w:rsidTr="003454C1">
        <w:tc>
          <w:tcPr>
            <w:tcW w:w="1018" w:type="dxa"/>
            <w:vAlign w:val="center"/>
          </w:tcPr>
          <w:p w:rsidR="003454C1" w:rsidRPr="00801437" w:rsidRDefault="003454C1" w:rsidP="003454C1">
            <w:pPr>
              <w:jc w:val="center"/>
              <w:rPr>
                <w:sz w:val="20"/>
              </w:rPr>
            </w:pPr>
            <w:r w:rsidRPr="00801437">
              <w:rPr>
                <w:sz w:val="20"/>
              </w:rPr>
              <w:t>Grade</w:t>
            </w:r>
          </w:p>
        </w:tc>
        <w:tc>
          <w:tcPr>
            <w:tcW w:w="1018" w:type="dxa"/>
            <w:vAlign w:val="center"/>
          </w:tcPr>
          <w:p w:rsidR="003454C1" w:rsidRDefault="003454C1" w:rsidP="003454C1">
            <w:pPr>
              <w:jc w:val="center"/>
              <w:rPr>
                <w:sz w:val="20"/>
              </w:rPr>
            </w:pPr>
            <w:r>
              <w:rPr>
                <w:sz w:val="20"/>
              </w:rPr>
              <w:t>Orleans</w:t>
            </w:r>
          </w:p>
          <w:p w:rsidR="003454C1" w:rsidRPr="00801437" w:rsidRDefault="003454C1" w:rsidP="003454C1">
            <w:pPr>
              <w:jc w:val="center"/>
              <w:rPr>
                <w:sz w:val="20"/>
              </w:rPr>
            </w:pPr>
            <w:r>
              <w:rPr>
                <w:sz w:val="20"/>
              </w:rPr>
              <w:t>Parish</w:t>
            </w:r>
          </w:p>
        </w:tc>
        <w:tc>
          <w:tcPr>
            <w:tcW w:w="1019" w:type="dxa"/>
            <w:vAlign w:val="center"/>
          </w:tcPr>
          <w:p w:rsidR="003454C1" w:rsidRPr="00801437" w:rsidRDefault="003454C1" w:rsidP="003454C1">
            <w:pPr>
              <w:jc w:val="center"/>
              <w:rPr>
                <w:sz w:val="20"/>
              </w:rPr>
            </w:pPr>
            <w:r>
              <w:rPr>
                <w:sz w:val="20"/>
              </w:rPr>
              <w:t>State-wide</w:t>
            </w:r>
          </w:p>
        </w:tc>
      </w:tr>
      <w:tr w:rsidR="003454C1" w:rsidRPr="00801437" w:rsidTr="003454C1">
        <w:tc>
          <w:tcPr>
            <w:tcW w:w="1018" w:type="dxa"/>
            <w:vAlign w:val="center"/>
          </w:tcPr>
          <w:p w:rsidR="003454C1" w:rsidRPr="00801437" w:rsidRDefault="003454C1" w:rsidP="003454C1">
            <w:pPr>
              <w:jc w:val="center"/>
              <w:rPr>
                <w:sz w:val="20"/>
              </w:rPr>
            </w:pPr>
            <w:r>
              <w:rPr>
                <w:sz w:val="20"/>
              </w:rPr>
              <w:t>6</w:t>
            </w:r>
            <w:r w:rsidRPr="00801437">
              <w:rPr>
                <w:sz w:val="20"/>
                <w:vertAlign w:val="superscript"/>
              </w:rPr>
              <w:t>th</w:t>
            </w:r>
          </w:p>
        </w:tc>
        <w:tc>
          <w:tcPr>
            <w:tcW w:w="1018" w:type="dxa"/>
            <w:vAlign w:val="center"/>
          </w:tcPr>
          <w:p w:rsidR="003454C1" w:rsidRPr="00801437" w:rsidRDefault="003454C1" w:rsidP="003454C1">
            <w:pPr>
              <w:jc w:val="center"/>
              <w:rPr>
                <w:sz w:val="20"/>
              </w:rPr>
            </w:pPr>
            <w:r>
              <w:rPr>
                <w:sz w:val="20"/>
              </w:rPr>
              <w:t>7.1</w:t>
            </w:r>
          </w:p>
        </w:tc>
        <w:tc>
          <w:tcPr>
            <w:tcW w:w="1019" w:type="dxa"/>
            <w:vAlign w:val="center"/>
          </w:tcPr>
          <w:p w:rsidR="003454C1" w:rsidRPr="00801437" w:rsidRDefault="003454C1" w:rsidP="003454C1">
            <w:pPr>
              <w:jc w:val="center"/>
              <w:rPr>
                <w:sz w:val="20"/>
              </w:rPr>
            </w:pPr>
            <w:r>
              <w:rPr>
                <w:sz w:val="20"/>
              </w:rPr>
              <w:t>51.9</w:t>
            </w:r>
          </w:p>
        </w:tc>
      </w:tr>
      <w:tr w:rsidR="003454C1" w:rsidRPr="00801437" w:rsidTr="003454C1">
        <w:tc>
          <w:tcPr>
            <w:tcW w:w="1018" w:type="dxa"/>
            <w:vAlign w:val="center"/>
          </w:tcPr>
          <w:p w:rsidR="003454C1" w:rsidRPr="00801437" w:rsidRDefault="003454C1" w:rsidP="003454C1">
            <w:pPr>
              <w:jc w:val="center"/>
              <w:rPr>
                <w:sz w:val="20"/>
              </w:rPr>
            </w:pPr>
            <w:r>
              <w:rPr>
                <w:sz w:val="20"/>
              </w:rPr>
              <w:t>8</w:t>
            </w:r>
            <w:r w:rsidRPr="00801437">
              <w:rPr>
                <w:sz w:val="20"/>
                <w:vertAlign w:val="superscript"/>
              </w:rPr>
              <w:t>th</w:t>
            </w:r>
          </w:p>
        </w:tc>
        <w:tc>
          <w:tcPr>
            <w:tcW w:w="1018" w:type="dxa"/>
            <w:vAlign w:val="center"/>
          </w:tcPr>
          <w:p w:rsidR="003454C1" w:rsidRPr="00801437" w:rsidRDefault="003454C1" w:rsidP="003454C1">
            <w:pPr>
              <w:jc w:val="center"/>
              <w:rPr>
                <w:sz w:val="20"/>
              </w:rPr>
            </w:pPr>
            <w:r>
              <w:rPr>
                <w:sz w:val="20"/>
              </w:rPr>
              <w:t>12.6</w:t>
            </w:r>
          </w:p>
        </w:tc>
        <w:tc>
          <w:tcPr>
            <w:tcW w:w="1019" w:type="dxa"/>
            <w:vAlign w:val="center"/>
          </w:tcPr>
          <w:p w:rsidR="003454C1" w:rsidRPr="00801437" w:rsidRDefault="003454C1" w:rsidP="003454C1">
            <w:pPr>
              <w:jc w:val="center"/>
              <w:rPr>
                <w:sz w:val="20"/>
              </w:rPr>
            </w:pPr>
            <w:r>
              <w:rPr>
                <w:sz w:val="20"/>
              </w:rPr>
              <w:t>49.9</w:t>
            </w:r>
          </w:p>
        </w:tc>
      </w:tr>
      <w:tr w:rsidR="003454C1" w:rsidRPr="00801437" w:rsidTr="003454C1">
        <w:tc>
          <w:tcPr>
            <w:tcW w:w="1018" w:type="dxa"/>
            <w:vAlign w:val="center"/>
          </w:tcPr>
          <w:p w:rsidR="003454C1" w:rsidRPr="00801437" w:rsidRDefault="003454C1" w:rsidP="003454C1">
            <w:pPr>
              <w:jc w:val="center"/>
              <w:rPr>
                <w:sz w:val="20"/>
              </w:rPr>
            </w:pPr>
            <w:r>
              <w:rPr>
                <w:sz w:val="20"/>
              </w:rPr>
              <w:t>10</w:t>
            </w:r>
            <w:r w:rsidRPr="00801437">
              <w:rPr>
                <w:sz w:val="20"/>
                <w:vertAlign w:val="superscript"/>
              </w:rPr>
              <w:t>th</w:t>
            </w:r>
          </w:p>
        </w:tc>
        <w:tc>
          <w:tcPr>
            <w:tcW w:w="1018" w:type="dxa"/>
            <w:vAlign w:val="center"/>
          </w:tcPr>
          <w:p w:rsidR="003454C1" w:rsidRPr="00801437" w:rsidRDefault="003454C1" w:rsidP="003454C1">
            <w:pPr>
              <w:jc w:val="center"/>
              <w:rPr>
                <w:sz w:val="20"/>
              </w:rPr>
            </w:pPr>
            <w:r>
              <w:rPr>
                <w:sz w:val="20"/>
              </w:rPr>
              <w:t>22.3</w:t>
            </w:r>
          </w:p>
        </w:tc>
        <w:tc>
          <w:tcPr>
            <w:tcW w:w="1019" w:type="dxa"/>
            <w:vAlign w:val="center"/>
          </w:tcPr>
          <w:p w:rsidR="003454C1" w:rsidRPr="00801437" w:rsidRDefault="003454C1" w:rsidP="003454C1">
            <w:pPr>
              <w:jc w:val="center"/>
              <w:rPr>
                <w:sz w:val="20"/>
              </w:rPr>
            </w:pPr>
            <w:r>
              <w:rPr>
                <w:sz w:val="20"/>
              </w:rPr>
              <w:t>45.2</w:t>
            </w:r>
          </w:p>
        </w:tc>
      </w:tr>
      <w:tr w:rsidR="003454C1" w:rsidRPr="00801437" w:rsidTr="003454C1">
        <w:tc>
          <w:tcPr>
            <w:tcW w:w="1018" w:type="dxa"/>
            <w:vAlign w:val="center"/>
          </w:tcPr>
          <w:p w:rsidR="003454C1" w:rsidRPr="00801437" w:rsidRDefault="003454C1" w:rsidP="003454C1">
            <w:pPr>
              <w:jc w:val="center"/>
              <w:rPr>
                <w:sz w:val="20"/>
              </w:rPr>
            </w:pPr>
            <w:r>
              <w:rPr>
                <w:sz w:val="20"/>
              </w:rPr>
              <w:t>12</w:t>
            </w:r>
            <w:r w:rsidRPr="00801437">
              <w:rPr>
                <w:sz w:val="20"/>
                <w:vertAlign w:val="superscript"/>
              </w:rPr>
              <w:t>th</w:t>
            </w:r>
          </w:p>
        </w:tc>
        <w:tc>
          <w:tcPr>
            <w:tcW w:w="1018" w:type="dxa"/>
            <w:vAlign w:val="center"/>
          </w:tcPr>
          <w:p w:rsidR="003454C1" w:rsidRPr="00801437" w:rsidRDefault="003454C1" w:rsidP="003454C1">
            <w:pPr>
              <w:jc w:val="center"/>
              <w:rPr>
                <w:sz w:val="20"/>
              </w:rPr>
            </w:pPr>
            <w:r>
              <w:rPr>
                <w:sz w:val="20"/>
              </w:rPr>
              <w:t>21.0</w:t>
            </w:r>
          </w:p>
        </w:tc>
        <w:tc>
          <w:tcPr>
            <w:tcW w:w="1019" w:type="dxa"/>
            <w:vAlign w:val="center"/>
          </w:tcPr>
          <w:p w:rsidR="003454C1" w:rsidRPr="00801437" w:rsidRDefault="003454C1" w:rsidP="003454C1">
            <w:pPr>
              <w:jc w:val="center"/>
              <w:rPr>
                <w:sz w:val="20"/>
              </w:rPr>
            </w:pPr>
            <w:r>
              <w:rPr>
                <w:sz w:val="20"/>
              </w:rPr>
              <w:t>41.2</w:t>
            </w:r>
          </w:p>
        </w:tc>
      </w:tr>
      <w:tr w:rsidR="003454C1" w:rsidRPr="00801437" w:rsidTr="003454C1">
        <w:tc>
          <w:tcPr>
            <w:tcW w:w="1018" w:type="dxa"/>
            <w:vAlign w:val="center"/>
          </w:tcPr>
          <w:p w:rsidR="003454C1" w:rsidRPr="00801437" w:rsidRDefault="003454C1" w:rsidP="003454C1">
            <w:pPr>
              <w:jc w:val="center"/>
              <w:rPr>
                <w:sz w:val="20"/>
              </w:rPr>
            </w:pPr>
            <w:r>
              <w:rPr>
                <w:sz w:val="20"/>
              </w:rPr>
              <w:t>All</w:t>
            </w:r>
          </w:p>
        </w:tc>
        <w:tc>
          <w:tcPr>
            <w:tcW w:w="1018" w:type="dxa"/>
            <w:vAlign w:val="center"/>
          </w:tcPr>
          <w:p w:rsidR="003454C1" w:rsidRPr="00801437" w:rsidRDefault="003454C1" w:rsidP="003454C1">
            <w:pPr>
              <w:jc w:val="center"/>
              <w:rPr>
                <w:sz w:val="20"/>
              </w:rPr>
            </w:pPr>
            <w:r>
              <w:rPr>
                <w:sz w:val="20"/>
              </w:rPr>
              <w:t>15.3</w:t>
            </w:r>
          </w:p>
        </w:tc>
        <w:tc>
          <w:tcPr>
            <w:tcW w:w="1019" w:type="dxa"/>
            <w:vAlign w:val="center"/>
          </w:tcPr>
          <w:p w:rsidR="003454C1" w:rsidRPr="00801437" w:rsidRDefault="003454C1" w:rsidP="003454C1">
            <w:pPr>
              <w:jc w:val="center"/>
              <w:rPr>
                <w:sz w:val="20"/>
              </w:rPr>
            </w:pPr>
            <w:r>
              <w:rPr>
                <w:sz w:val="20"/>
              </w:rPr>
              <w:t>47.4</w:t>
            </w:r>
          </w:p>
        </w:tc>
      </w:tr>
    </w:tbl>
    <w:p w:rsidR="003454C1" w:rsidRPr="003454C1" w:rsidRDefault="003454C1" w:rsidP="00722A7F">
      <w:pPr>
        <w:rPr>
          <w:b/>
        </w:rPr>
      </w:pPr>
      <w:r w:rsidRPr="003454C1">
        <w:rPr>
          <w:b/>
        </w:rPr>
        <w:t xml:space="preserve">2014 Completion Rates </w:t>
      </w:r>
    </w:p>
    <w:p w:rsidR="003454C1" w:rsidRDefault="003454C1" w:rsidP="00722A7F"/>
    <w:p w:rsidR="003454C1" w:rsidRDefault="003454C1" w:rsidP="00722A7F">
      <w:r>
        <w:t>Only 15 percent of New Orleans students enrolled in 6</w:t>
      </w:r>
      <w:r w:rsidRPr="003454C1">
        <w:rPr>
          <w:vertAlign w:val="superscript"/>
        </w:rPr>
        <w:t>th</w:t>
      </w:r>
      <w:r>
        <w:t>, 8</w:t>
      </w:r>
      <w:r w:rsidRPr="003454C1">
        <w:rPr>
          <w:vertAlign w:val="superscript"/>
        </w:rPr>
        <w:t>th</w:t>
      </w:r>
      <w:r>
        <w:t>, 10</w:t>
      </w:r>
      <w:r w:rsidRPr="003454C1">
        <w:rPr>
          <w:vertAlign w:val="superscript"/>
        </w:rPr>
        <w:t>th</w:t>
      </w:r>
      <w:r>
        <w:t xml:space="preserve"> and 12</w:t>
      </w:r>
      <w:r w:rsidRPr="003454C1">
        <w:rPr>
          <w:vertAlign w:val="superscript"/>
        </w:rPr>
        <w:t>th</w:t>
      </w:r>
      <w:r>
        <w:t xml:space="preserve"> grades completed a CCYS survey in 2014 compared to a 47 percent completion rate statewide. Among 6</w:t>
      </w:r>
      <w:r w:rsidRPr="003454C1">
        <w:rPr>
          <w:vertAlign w:val="superscript"/>
        </w:rPr>
        <w:t>th</w:t>
      </w:r>
      <w:r>
        <w:t xml:space="preserve"> grade New Orleans students, </w:t>
      </w:r>
      <w:r w:rsidR="0030494E">
        <w:t xml:space="preserve">the completion rate </w:t>
      </w:r>
      <w:r>
        <w:t>was especially low (7%). The completion rate for 8</w:t>
      </w:r>
      <w:r w:rsidRPr="003454C1">
        <w:rPr>
          <w:vertAlign w:val="superscript"/>
        </w:rPr>
        <w:t>th</w:t>
      </w:r>
      <w:r>
        <w:t xml:space="preserve"> grade New Orleans students was a disappointing 13 percent while survey completion among 10</w:t>
      </w:r>
      <w:r w:rsidRPr="003454C1">
        <w:rPr>
          <w:vertAlign w:val="superscript"/>
        </w:rPr>
        <w:t>th</w:t>
      </w:r>
      <w:r>
        <w:t xml:space="preserve"> and 12</w:t>
      </w:r>
      <w:r w:rsidRPr="003454C1">
        <w:rPr>
          <w:vertAlign w:val="superscript"/>
        </w:rPr>
        <w:t>th</w:t>
      </w:r>
      <w:r>
        <w:t xml:space="preserve"> graders was</w:t>
      </w:r>
      <w:r w:rsidR="00276631">
        <w:t xml:space="preserve"> relatively better, 22 percent and 21 percent respectively.</w:t>
      </w:r>
    </w:p>
    <w:p w:rsidR="00836BC3" w:rsidRDefault="00836BC3" w:rsidP="00722A7F"/>
    <w:p w:rsidR="00801437" w:rsidRPr="00276631" w:rsidRDefault="00276631" w:rsidP="00722A7F">
      <w:pPr>
        <w:rPr>
          <w:b/>
        </w:rPr>
      </w:pPr>
      <w:r w:rsidRPr="00276631">
        <w:rPr>
          <w:b/>
        </w:rPr>
        <w:t>Completion Rates Trends</w:t>
      </w:r>
    </w:p>
    <w:p w:rsidR="00801437" w:rsidRDefault="00801437" w:rsidP="00722A7F"/>
    <w:p w:rsidR="008123EE" w:rsidRPr="008123EE" w:rsidRDefault="008123EE" w:rsidP="008123EE">
      <w:pPr>
        <w:pStyle w:val="ListParagraph"/>
        <w:numPr>
          <w:ilvl w:val="0"/>
          <w:numId w:val="3"/>
        </w:numPr>
      </w:pPr>
      <w:r w:rsidRPr="008123EE">
        <w:t>The 8</w:t>
      </w:r>
      <w:r w:rsidRPr="008123EE">
        <w:rPr>
          <w:vertAlign w:val="superscript"/>
        </w:rPr>
        <w:t>th</w:t>
      </w:r>
      <w:r w:rsidRPr="008123EE">
        <w:t xml:space="preserve"> grade competition rate dropped from 19 percent in 2012 to </w:t>
      </w:r>
      <w:r w:rsidRPr="008123EE">
        <w:rPr>
          <w:b/>
        </w:rPr>
        <w:t>13 percent in 2014</w:t>
      </w:r>
      <w:r w:rsidRPr="008123EE">
        <w:t>.</w:t>
      </w:r>
    </w:p>
    <w:p w:rsidR="008123EE" w:rsidRPr="008123EE" w:rsidRDefault="008123EE" w:rsidP="008123EE"/>
    <w:p w:rsidR="008123EE" w:rsidRPr="008123EE" w:rsidRDefault="008123EE" w:rsidP="008123EE">
      <w:pPr>
        <w:pStyle w:val="ListParagraph"/>
        <w:numPr>
          <w:ilvl w:val="0"/>
          <w:numId w:val="3"/>
        </w:numPr>
      </w:pPr>
      <w:r w:rsidRPr="008123EE">
        <w:t>However, the 10</w:t>
      </w:r>
      <w:r w:rsidRPr="008123EE">
        <w:rPr>
          <w:vertAlign w:val="superscript"/>
        </w:rPr>
        <w:t>th</w:t>
      </w:r>
      <w:r w:rsidRPr="008123EE">
        <w:t xml:space="preserve"> grade completion rate increased from 13 percent in 2012 to </w:t>
      </w:r>
      <w:r w:rsidRPr="008123EE">
        <w:rPr>
          <w:b/>
        </w:rPr>
        <w:t>22 percent in 2014</w:t>
      </w:r>
      <w:r w:rsidRPr="008123EE">
        <w:t>.</w:t>
      </w:r>
    </w:p>
    <w:p w:rsidR="008123EE" w:rsidRPr="008123EE" w:rsidRDefault="008123EE" w:rsidP="008123EE">
      <w:pPr>
        <w:rPr>
          <w:i/>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1375"/>
        <w:gridCol w:w="1026"/>
        <w:gridCol w:w="1206"/>
        <w:gridCol w:w="1206"/>
        <w:gridCol w:w="1206"/>
        <w:gridCol w:w="1206"/>
      </w:tblGrid>
      <w:tr w:rsidR="005D3B4E" w:rsidRPr="0030045F" w:rsidTr="00836BC3">
        <w:trPr>
          <w:trHeight w:val="521"/>
          <w:jc w:val="center"/>
        </w:trPr>
        <w:tc>
          <w:tcPr>
            <w:tcW w:w="7225" w:type="dxa"/>
            <w:gridSpan w:val="6"/>
            <w:vAlign w:val="center"/>
          </w:tcPr>
          <w:p w:rsidR="005D3B4E" w:rsidRPr="00D20A66" w:rsidRDefault="003454C1" w:rsidP="0009674C">
            <w:pPr>
              <w:jc w:val="center"/>
              <w:rPr>
                <w:b/>
                <w:sz w:val="20"/>
              </w:rPr>
            </w:pPr>
            <w:r>
              <w:rPr>
                <w:b/>
                <w:sz w:val="20"/>
              </w:rPr>
              <w:t xml:space="preserve">Table 2. </w:t>
            </w:r>
            <w:r w:rsidR="005D3B4E" w:rsidRPr="00D20A66">
              <w:rPr>
                <w:b/>
                <w:sz w:val="20"/>
              </w:rPr>
              <w:t>Completion Rates for Orleans Parish by Year of Administration,</w:t>
            </w:r>
          </w:p>
          <w:p w:rsidR="005D3B4E" w:rsidRPr="0030045F" w:rsidRDefault="005D3B4E" w:rsidP="0009674C">
            <w:pPr>
              <w:jc w:val="center"/>
              <w:rPr>
                <w:sz w:val="20"/>
              </w:rPr>
            </w:pPr>
            <w:r w:rsidRPr="00D20A66">
              <w:rPr>
                <w:b/>
                <w:sz w:val="20"/>
              </w:rPr>
              <w:t>Louisiana Caring Communities Youth Survey</w:t>
            </w:r>
          </w:p>
        </w:tc>
      </w:tr>
      <w:tr w:rsidR="0030045F" w:rsidRPr="0030045F" w:rsidTr="00836BC3">
        <w:trPr>
          <w:trHeight w:val="557"/>
          <w:jc w:val="center"/>
        </w:trPr>
        <w:tc>
          <w:tcPr>
            <w:tcW w:w="1375" w:type="dxa"/>
            <w:vAlign w:val="center"/>
          </w:tcPr>
          <w:p w:rsidR="0030045F" w:rsidRPr="00D045E2" w:rsidRDefault="0030045F" w:rsidP="005D3B4E">
            <w:pPr>
              <w:jc w:val="center"/>
              <w:rPr>
                <w:b/>
                <w:sz w:val="20"/>
              </w:rPr>
            </w:pPr>
            <w:r w:rsidRPr="00D045E2">
              <w:rPr>
                <w:b/>
                <w:sz w:val="20"/>
              </w:rPr>
              <w:t>E</w:t>
            </w:r>
            <w:r w:rsidR="005D3B4E" w:rsidRPr="00D045E2">
              <w:rPr>
                <w:b/>
                <w:sz w:val="20"/>
              </w:rPr>
              <w:t>nrollment</w:t>
            </w:r>
          </w:p>
        </w:tc>
        <w:tc>
          <w:tcPr>
            <w:tcW w:w="1026" w:type="dxa"/>
            <w:vAlign w:val="center"/>
          </w:tcPr>
          <w:p w:rsidR="0030045F" w:rsidRPr="0030045F" w:rsidRDefault="0030045F" w:rsidP="005D3B4E">
            <w:pPr>
              <w:jc w:val="center"/>
              <w:rPr>
                <w:sz w:val="20"/>
              </w:rPr>
            </w:pPr>
            <w:r w:rsidRPr="0030045F">
              <w:rPr>
                <w:sz w:val="20"/>
              </w:rPr>
              <w:t>6</w:t>
            </w:r>
            <w:r w:rsidRPr="0030045F">
              <w:rPr>
                <w:sz w:val="20"/>
                <w:vertAlign w:val="superscript"/>
              </w:rPr>
              <w:t>th</w:t>
            </w:r>
            <w:r w:rsidR="005D3B4E">
              <w:rPr>
                <w:sz w:val="20"/>
                <w:vertAlign w:val="superscript"/>
              </w:rPr>
              <w:t xml:space="preserve"> </w:t>
            </w:r>
            <w:r w:rsidR="005D3B4E">
              <w:rPr>
                <w:sz w:val="20"/>
              </w:rPr>
              <w:t>Grade</w:t>
            </w:r>
          </w:p>
        </w:tc>
        <w:tc>
          <w:tcPr>
            <w:tcW w:w="1206" w:type="dxa"/>
            <w:vAlign w:val="center"/>
          </w:tcPr>
          <w:p w:rsidR="0030045F" w:rsidRPr="0030045F" w:rsidRDefault="0030045F" w:rsidP="005D3B4E">
            <w:pPr>
              <w:jc w:val="center"/>
              <w:rPr>
                <w:sz w:val="20"/>
              </w:rPr>
            </w:pPr>
            <w:r w:rsidRPr="0030045F">
              <w:rPr>
                <w:sz w:val="20"/>
              </w:rPr>
              <w:t>8</w:t>
            </w:r>
            <w:r w:rsidRPr="0030045F">
              <w:rPr>
                <w:sz w:val="20"/>
                <w:vertAlign w:val="superscript"/>
              </w:rPr>
              <w:t>th</w:t>
            </w:r>
            <w:r w:rsidR="005D3B4E">
              <w:rPr>
                <w:sz w:val="20"/>
                <w:vertAlign w:val="superscript"/>
              </w:rPr>
              <w:t xml:space="preserve"> </w:t>
            </w:r>
            <w:r w:rsidR="005D3B4E">
              <w:rPr>
                <w:sz w:val="20"/>
              </w:rPr>
              <w:t>Grade</w:t>
            </w:r>
          </w:p>
        </w:tc>
        <w:tc>
          <w:tcPr>
            <w:tcW w:w="1206" w:type="dxa"/>
            <w:vAlign w:val="center"/>
          </w:tcPr>
          <w:p w:rsidR="0030045F" w:rsidRPr="0030045F" w:rsidRDefault="0030045F" w:rsidP="005D3B4E">
            <w:pPr>
              <w:jc w:val="center"/>
              <w:rPr>
                <w:sz w:val="20"/>
              </w:rPr>
            </w:pPr>
            <w:r w:rsidRPr="0030045F">
              <w:rPr>
                <w:sz w:val="20"/>
              </w:rPr>
              <w:t>10</w:t>
            </w:r>
            <w:r w:rsidRPr="0030045F">
              <w:rPr>
                <w:sz w:val="20"/>
                <w:vertAlign w:val="superscript"/>
              </w:rPr>
              <w:t>th</w:t>
            </w:r>
            <w:r w:rsidR="005D3B4E">
              <w:rPr>
                <w:sz w:val="20"/>
                <w:vertAlign w:val="superscript"/>
              </w:rPr>
              <w:t xml:space="preserve"> </w:t>
            </w:r>
            <w:r w:rsidR="005D3B4E">
              <w:rPr>
                <w:sz w:val="20"/>
              </w:rPr>
              <w:t>Grade</w:t>
            </w:r>
          </w:p>
        </w:tc>
        <w:tc>
          <w:tcPr>
            <w:tcW w:w="1206" w:type="dxa"/>
            <w:vAlign w:val="center"/>
          </w:tcPr>
          <w:p w:rsidR="0030045F" w:rsidRPr="0030045F" w:rsidRDefault="0030045F" w:rsidP="005D3B4E">
            <w:pPr>
              <w:jc w:val="center"/>
              <w:rPr>
                <w:sz w:val="20"/>
              </w:rPr>
            </w:pPr>
            <w:r w:rsidRPr="0030045F">
              <w:rPr>
                <w:sz w:val="20"/>
              </w:rPr>
              <w:t>12</w:t>
            </w:r>
            <w:r w:rsidRPr="005D3B4E">
              <w:rPr>
                <w:sz w:val="20"/>
                <w:vertAlign w:val="superscript"/>
              </w:rPr>
              <w:t>th</w:t>
            </w:r>
            <w:r w:rsidR="005D3B4E">
              <w:rPr>
                <w:sz w:val="20"/>
              </w:rPr>
              <w:t xml:space="preserve"> Grade</w:t>
            </w:r>
          </w:p>
        </w:tc>
        <w:tc>
          <w:tcPr>
            <w:tcW w:w="1206" w:type="dxa"/>
            <w:vAlign w:val="center"/>
          </w:tcPr>
          <w:p w:rsidR="0030045F" w:rsidRPr="0030045F" w:rsidRDefault="0030045F" w:rsidP="005D3B4E">
            <w:pPr>
              <w:jc w:val="center"/>
              <w:rPr>
                <w:sz w:val="20"/>
              </w:rPr>
            </w:pPr>
            <w:r>
              <w:rPr>
                <w:sz w:val="20"/>
              </w:rPr>
              <w:t>All Grades</w:t>
            </w:r>
          </w:p>
        </w:tc>
      </w:tr>
      <w:tr w:rsidR="00586045" w:rsidRPr="0030045F" w:rsidTr="00836BC3">
        <w:trPr>
          <w:jc w:val="center"/>
        </w:trPr>
        <w:tc>
          <w:tcPr>
            <w:tcW w:w="1375" w:type="dxa"/>
            <w:vAlign w:val="center"/>
          </w:tcPr>
          <w:p w:rsidR="00586045" w:rsidRPr="0030045F" w:rsidRDefault="00586045" w:rsidP="00586045">
            <w:pPr>
              <w:jc w:val="center"/>
              <w:rPr>
                <w:sz w:val="20"/>
              </w:rPr>
            </w:pPr>
            <w:r>
              <w:rPr>
                <w:sz w:val="20"/>
              </w:rPr>
              <w:t>2008</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2,286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3,189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2,884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2,458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10,817 </w:t>
            </w:r>
          </w:p>
        </w:tc>
      </w:tr>
      <w:tr w:rsidR="00586045" w:rsidRPr="0030045F" w:rsidTr="00836BC3">
        <w:trPr>
          <w:jc w:val="center"/>
        </w:trPr>
        <w:tc>
          <w:tcPr>
            <w:tcW w:w="1375" w:type="dxa"/>
            <w:vAlign w:val="center"/>
          </w:tcPr>
          <w:p w:rsidR="00586045" w:rsidRPr="0030045F" w:rsidRDefault="00586045" w:rsidP="00586045">
            <w:pPr>
              <w:jc w:val="center"/>
              <w:rPr>
                <w:sz w:val="20"/>
              </w:rPr>
            </w:pPr>
            <w:r>
              <w:rPr>
                <w:sz w:val="20"/>
              </w:rPr>
              <w:t>2010</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2,918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2,662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2,925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2,285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10,790 </w:t>
            </w:r>
          </w:p>
        </w:tc>
      </w:tr>
      <w:tr w:rsidR="00586045" w:rsidRPr="0030045F" w:rsidTr="00836BC3">
        <w:trPr>
          <w:jc w:val="center"/>
        </w:trPr>
        <w:tc>
          <w:tcPr>
            <w:tcW w:w="1375" w:type="dxa"/>
            <w:vAlign w:val="center"/>
          </w:tcPr>
          <w:p w:rsidR="00586045" w:rsidRPr="0030045F" w:rsidRDefault="00586045" w:rsidP="00586045">
            <w:pPr>
              <w:jc w:val="center"/>
              <w:rPr>
                <w:sz w:val="20"/>
              </w:rPr>
            </w:pPr>
            <w:r>
              <w:rPr>
                <w:sz w:val="20"/>
              </w:rPr>
              <w:t>2012</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3,789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3,807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3,156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2,761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13,513 </w:t>
            </w:r>
          </w:p>
        </w:tc>
      </w:tr>
      <w:tr w:rsidR="00586045" w:rsidRPr="0030045F" w:rsidTr="00836BC3">
        <w:trPr>
          <w:jc w:val="center"/>
        </w:trPr>
        <w:tc>
          <w:tcPr>
            <w:tcW w:w="1375" w:type="dxa"/>
            <w:vAlign w:val="center"/>
          </w:tcPr>
          <w:p w:rsidR="00586045" w:rsidRPr="0030045F" w:rsidRDefault="00586045" w:rsidP="00586045">
            <w:pPr>
              <w:jc w:val="center"/>
              <w:rPr>
                <w:sz w:val="20"/>
              </w:rPr>
            </w:pPr>
            <w:r>
              <w:rPr>
                <w:sz w:val="20"/>
              </w:rPr>
              <w:t>2014</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3,450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3,410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3,230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2,480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12,570 </w:t>
            </w:r>
          </w:p>
        </w:tc>
      </w:tr>
      <w:tr w:rsidR="00D20A66" w:rsidRPr="0030045F" w:rsidTr="00836BC3">
        <w:trPr>
          <w:trHeight w:val="557"/>
          <w:jc w:val="center"/>
        </w:trPr>
        <w:tc>
          <w:tcPr>
            <w:tcW w:w="1375" w:type="dxa"/>
            <w:vAlign w:val="center"/>
          </w:tcPr>
          <w:p w:rsidR="00D20A66" w:rsidRPr="00D045E2" w:rsidRDefault="00D20A66" w:rsidP="00D20A66">
            <w:pPr>
              <w:jc w:val="center"/>
              <w:rPr>
                <w:b/>
                <w:sz w:val="20"/>
              </w:rPr>
            </w:pPr>
            <w:r w:rsidRPr="00D045E2">
              <w:rPr>
                <w:b/>
                <w:sz w:val="20"/>
              </w:rPr>
              <w:t>Sample Size</w:t>
            </w:r>
          </w:p>
        </w:tc>
        <w:tc>
          <w:tcPr>
            <w:tcW w:w="1026" w:type="dxa"/>
            <w:vAlign w:val="center"/>
          </w:tcPr>
          <w:p w:rsidR="00D20A66" w:rsidRPr="0030045F" w:rsidRDefault="00D20A66" w:rsidP="00D20A66">
            <w:pPr>
              <w:jc w:val="center"/>
              <w:rPr>
                <w:sz w:val="20"/>
              </w:rPr>
            </w:pPr>
            <w:r w:rsidRPr="0030045F">
              <w:rPr>
                <w:sz w:val="20"/>
              </w:rPr>
              <w:t>6</w:t>
            </w:r>
            <w:r w:rsidRPr="0030045F">
              <w:rPr>
                <w:sz w:val="20"/>
                <w:vertAlign w:val="superscript"/>
              </w:rPr>
              <w:t>th</w:t>
            </w:r>
            <w:r>
              <w:rPr>
                <w:sz w:val="20"/>
                <w:vertAlign w:val="superscript"/>
              </w:rPr>
              <w:t xml:space="preserve"> </w:t>
            </w:r>
            <w:r>
              <w:rPr>
                <w:sz w:val="20"/>
              </w:rPr>
              <w:t>Grade</w:t>
            </w:r>
          </w:p>
        </w:tc>
        <w:tc>
          <w:tcPr>
            <w:tcW w:w="1206" w:type="dxa"/>
            <w:vAlign w:val="center"/>
          </w:tcPr>
          <w:p w:rsidR="00D20A66" w:rsidRPr="0030045F" w:rsidRDefault="00D20A66" w:rsidP="00D20A66">
            <w:pPr>
              <w:jc w:val="center"/>
              <w:rPr>
                <w:sz w:val="20"/>
              </w:rPr>
            </w:pPr>
            <w:r w:rsidRPr="0030045F">
              <w:rPr>
                <w:sz w:val="20"/>
              </w:rPr>
              <w:t>8</w:t>
            </w:r>
            <w:r w:rsidRPr="0030045F">
              <w:rPr>
                <w:sz w:val="20"/>
                <w:vertAlign w:val="superscript"/>
              </w:rPr>
              <w:t>th</w:t>
            </w:r>
            <w:r>
              <w:rPr>
                <w:sz w:val="20"/>
                <w:vertAlign w:val="superscript"/>
              </w:rPr>
              <w:t xml:space="preserve"> </w:t>
            </w:r>
            <w:r>
              <w:rPr>
                <w:sz w:val="20"/>
              </w:rPr>
              <w:t>Grade</w:t>
            </w:r>
          </w:p>
        </w:tc>
        <w:tc>
          <w:tcPr>
            <w:tcW w:w="1206" w:type="dxa"/>
            <w:vAlign w:val="center"/>
          </w:tcPr>
          <w:p w:rsidR="00D20A66" w:rsidRPr="0030045F" w:rsidRDefault="00D20A66" w:rsidP="00D20A66">
            <w:pPr>
              <w:jc w:val="center"/>
              <w:rPr>
                <w:sz w:val="20"/>
              </w:rPr>
            </w:pPr>
            <w:r w:rsidRPr="0030045F">
              <w:rPr>
                <w:sz w:val="20"/>
              </w:rPr>
              <w:t>10</w:t>
            </w:r>
            <w:r w:rsidRPr="0030045F">
              <w:rPr>
                <w:sz w:val="20"/>
                <w:vertAlign w:val="superscript"/>
              </w:rPr>
              <w:t>th</w:t>
            </w:r>
            <w:r>
              <w:rPr>
                <w:sz w:val="20"/>
                <w:vertAlign w:val="superscript"/>
              </w:rPr>
              <w:t xml:space="preserve"> </w:t>
            </w:r>
            <w:r>
              <w:rPr>
                <w:sz w:val="20"/>
              </w:rPr>
              <w:t>Grade</w:t>
            </w:r>
          </w:p>
        </w:tc>
        <w:tc>
          <w:tcPr>
            <w:tcW w:w="1206" w:type="dxa"/>
            <w:vAlign w:val="center"/>
          </w:tcPr>
          <w:p w:rsidR="00D20A66" w:rsidRPr="0030045F" w:rsidRDefault="00D20A66" w:rsidP="00D20A66">
            <w:pPr>
              <w:jc w:val="center"/>
              <w:rPr>
                <w:sz w:val="20"/>
              </w:rPr>
            </w:pPr>
            <w:r w:rsidRPr="0030045F">
              <w:rPr>
                <w:sz w:val="20"/>
              </w:rPr>
              <w:t>12</w:t>
            </w:r>
            <w:r w:rsidRPr="005D3B4E">
              <w:rPr>
                <w:sz w:val="20"/>
                <w:vertAlign w:val="superscript"/>
              </w:rPr>
              <w:t>th</w:t>
            </w:r>
            <w:r>
              <w:rPr>
                <w:sz w:val="20"/>
              </w:rPr>
              <w:t xml:space="preserve"> Grade</w:t>
            </w:r>
          </w:p>
        </w:tc>
        <w:tc>
          <w:tcPr>
            <w:tcW w:w="1206" w:type="dxa"/>
            <w:vAlign w:val="center"/>
          </w:tcPr>
          <w:p w:rsidR="00D20A66" w:rsidRPr="00586045" w:rsidRDefault="00D20A66" w:rsidP="00D20A66">
            <w:pPr>
              <w:jc w:val="center"/>
              <w:rPr>
                <w:sz w:val="20"/>
              </w:rPr>
            </w:pPr>
            <w:r w:rsidRPr="00586045">
              <w:rPr>
                <w:sz w:val="20"/>
              </w:rPr>
              <w:t>All Grades</w:t>
            </w:r>
          </w:p>
        </w:tc>
      </w:tr>
      <w:tr w:rsidR="00836BC3" w:rsidRPr="0030045F" w:rsidTr="00836BC3">
        <w:trPr>
          <w:jc w:val="center"/>
        </w:trPr>
        <w:tc>
          <w:tcPr>
            <w:tcW w:w="1375" w:type="dxa"/>
            <w:vAlign w:val="center"/>
          </w:tcPr>
          <w:p w:rsidR="00586045" w:rsidRPr="0030045F" w:rsidRDefault="00586045" w:rsidP="00586045">
            <w:pPr>
              <w:jc w:val="center"/>
              <w:rPr>
                <w:sz w:val="20"/>
              </w:rPr>
            </w:pPr>
            <w:r>
              <w:rPr>
                <w:sz w:val="20"/>
              </w:rPr>
              <w:t>2008</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393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637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554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395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1,979 </w:t>
            </w:r>
          </w:p>
        </w:tc>
      </w:tr>
      <w:tr w:rsidR="00836BC3" w:rsidRPr="0030045F" w:rsidTr="00836BC3">
        <w:trPr>
          <w:jc w:val="center"/>
        </w:trPr>
        <w:tc>
          <w:tcPr>
            <w:tcW w:w="1375" w:type="dxa"/>
            <w:vAlign w:val="center"/>
          </w:tcPr>
          <w:p w:rsidR="00586045" w:rsidRPr="0030045F" w:rsidRDefault="00586045" w:rsidP="00586045">
            <w:pPr>
              <w:jc w:val="center"/>
              <w:rPr>
                <w:sz w:val="20"/>
              </w:rPr>
            </w:pPr>
            <w:r>
              <w:rPr>
                <w:sz w:val="20"/>
              </w:rPr>
              <w:t>2010</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204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296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317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212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1,029 </w:t>
            </w:r>
          </w:p>
        </w:tc>
      </w:tr>
      <w:tr w:rsidR="00836BC3" w:rsidRPr="0030045F" w:rsidTr="00836BC3">
        <w:trPr>
          <w:jc w:val="center"/>
        </w:trPr>
        <w:tc>
          <w:tcPr>
            <w:tcW w:w="1375" w:type="dxa"/>
            <w:vAlign w:val="center"/>
          </w:tcPr>
          <w:p w:rsidR="00586045" w:rsidRPr="0030045F" w:rsidRDefault="00586045" w:rsidP="00586045">
            <w:pPr>
              <w:jc w:val="center"/>
              <w:rPr>
                <w:sz w:val="20"/>
              </w:rPr>
            </w:pPr>
            <w:r>
              <w:rPr>
                <w:sz w:val="20"/>
              </w:rPr>
              <w:t>2012</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739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721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415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463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2,338 </w:t>
            </w:r>
          </w:p>
        </w:tc>
      </w:tr>
      <w:tr w:rsidR="00586045" w:rsidRPr="0030045F" w:rsidTr="00836BC3">
        <w:trPr>
          <w:jc w:val="center"/>
        </w:trPr>
        <w:tc>
          <w:tcPr>
            <w:tcW w:w="1375" w:type="dxa"/>
            <w:vAlign w:val="center"/>
          </w:tcPr>
          <w:p w:rsidR="00586045" w:rsidRPr="0030045F" w:rsidRDefault="00586045" w:rsidP="00586045">
            <w:pPr>
              <w:jc w:val="center"/>
              <w:rPr>
                <w:sz w:val="20"/>
              </w:rPr>
            </w:pPr>
            <w:r>
              <w:rPr>
                <w:sz w:val="20"/>
              </w:rPr>
              <w:t>2014</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244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431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721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521 </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586045" w:rsidP="00586045">
            <w:pPr>
              <w:jc w:val="center"/>
              <w:rPr>
                <w:color w:val="000000"/>
                <w:sz w:val="20"/>
              </w:rPr>
            </w:pPr>
            <w:r w:rsidRPr="00586045">
              <w:rPr>
                <w:color w:val="000000"/>
                <w:sz w:val="20"/>
              </w:rPr>
              <w:t xml:space="preserve">1,917 </w:t>
            </w:r>
          </w:p>
        </w:tc>
      </w:tr>
      <w:tr w:rsidR="00D20A66" w:rsidRPr="0030045F" w:rsidTr="00836BC3">
        <w:trPr>
          <w:trHeight w:val="557"/>
          <w:jc w:val="center"/>
        </w:trPr>
        <w:tc>
          <w:tcPr>
            <w:tcW w:w="1375" w:type="dxa"/>
            <w:vAlign w:val="center"/>
          </w:tcPr>
          <w:p w:rsidR="00D20A66" w:rsidRPr="00D045E2" w:rsidRDefault="00D20A66" w:rsidP="00D20A66">
            <w:pPr>
              <w:jc w:val="center"/>
              <w:rPr>
                <w:b/>
                <w:sz w:val="20"/>
              </w:rPr>
            </w:pPr>
            <w:r w:rsidRPr="00D045E2">
              <w:rPr>
                <w:b/>
                <w:sz w:val="20"/>
              </w:rPr>
              <w:t>Completion Rate (%)</w:t>
            </w:r>
          </w:p>
        </w:tc>
        <w:tc>
          <w:tcPr>
            <w:tcW w:w="1026" w:type="dxa"/>
            <w:vAlign w:val="center"/>
          </w:tcPr>
          <w:p w:rsidR="00D20A66" w:rsidRPr="0030045F" w:rsidRDefault="00D20A66" w:rsidP="00D20A66">
            <w:pPr>
              <w:jc w:val="center"/>
              <w:rPr>
                <w:sz w:val="20"/>
              </w:rPr>
            </w:pPr>
            <w:r w:rsidRPr="0030045F">
              <w:rPr>
                <w:sz w:val="20"/>
              </w:rPr>
              <w:t>6</w:t>
            </w:r>
            <w:r w:rsidRPr="0030045F">
              <w:rPr>
                <w:sz w:val="20"/>
                <w:vertAlign w:val="superscript"/>
              </w:rPr>
              <w:t>th</w:t>
            </w:r>
            <w:r>
              <w:rPr>
                <w:sz w:val="20"/>
                <w:vertAlign w:val="superscript"/>
              </w:rPr>
              <w:t xml:space="preserve"> </w:t>
            </w:r>
            <w:r>
              <w:rPr>
                <w:sz w:val="20"/>
              </w:rPr>
              <w:t>Grade</w:t>
            </w:r>
          </w:p>
        </w:tc>
        <w:tc>
          <w:tcPr>
            <w:tcW w:w="1206" w:type="dxa"/>
            <w:vAlign w:val="center"/>
          </w:tcPr>
          <w:p w:rsidR="00D20A66" w:rsidRPr="0030045F" w:rsidRDefault="00D20A66" w:rsidP="00D20A66">
            <w:pPr>
              <w:jc w:val="center"/>
              <w:rPr>
                <w:sz w:val="20"/>
              </w:rPr>
            </w:pPr>
            <w:r w:rsidRPr="0030045F">
              <w:rPr>
                <w:sz w:val="20"/>
              </w:rPr>
              <w:t>8</w:t>
            </w:r>
            <w:r w:rsidRPr="0030045F">
              <w:rPr>
                <w:sz w:val="20"/>
                <w:vertAlign w:val="superscript"/>
              </w:rPr>
              <w:t>th</w:t>
            </w:r>
            <w:r>
              <w:rPr>
                <w:sz w:val="20"/>
                <w:vertAlign w:val="superscript"/>
              </w:rPr>
              <w:t xml:space="preserve"> </w:t>
            </w:r>
            <w:r>
              <w:rPr>
                <w:sz w:val="20"/>
              </w:rPr>
              <w:t>Grade</w:t>
            </w:r>
          </w:p>
        </w:tc>
        <w:tc>
          <w:tcPr>
            <w:tcW w:w="1206" w:type="dxa"/>
            <w:vAlign w:val="center"/>
          </w:tcPr>
          <w:p w:rsidR="00D20A66" w:rsidRPr="0030045F" w:rsidRDefault="00D20A66" w:rsidP="00D20A66">
            <w:pPr>
              <w:jc w:val="center"/>
              <w:rPr>
                <w:sz w:val="20"/>
              </w:rPr>
            </w:pPr>
            <w:r w:rsidRPr="0030045F">
              <w:rPr>
                <w:sz w:val="20"/>
              </w:rPr>
              <w:t>10</w:t>
            </w:r>
            <w:r w:rsidRPr="0030045F">
              <w:rPr>
                <w:sz w:val="20"/>
                <w:vertAlign w:val="superscript"/>
              </w:rPr>
              <w:t>th</w:t>
            </w:r>
            <w:r>
              <w:rPr>
                <w:sz w:val="20"/>
                <w:vertAlign w:val="superscript"/>
              </w:rPr>
              <w:t xml:space="preserve"> </w:t>
            </w:r>
            <w:r>
              <w:rPr>
                <w:sz w:val="20"/>
              </w:rPr>
              <w:t>Grade</w:t>
            </w:r>
          </w:p>
        </w:tc>
        <w:tc>
          <w:tcPr>
            <w:tcW w:w="1206" w:type="dxa"/>
            <w:vAlign w:val="center"/>
          </w:tcPr>
          <w:p w:rsidR="00D20A66" w:rsidRPr="0030045F" w:rsidRDefault="00D20A66" w:rsidP="00D20A66">
            <w:pPr>
              <w:jc w:val="center"/>
              <w:rPr>
                <w:sz w:val="20"/>
              </w:rPr>
            </w:pPr>
            <w:r w:rsidRPr="0030045F">
              <w:rPr>
                <w:sz w:val="20"/>
              </w:rPr>
              <w:t>12</w:t>
            </w:r>
            <w:r w:rsidRPr="005D3B4E">
              <w:rPr>
                <w:sz w:val="20"/>
                <w:vertAlign w:val="superscript"/>
              </w:rPr>
              <w:t>th</w:t>
            </w:r>
            <w:r>
              <w:rPr>
                <w:sz w:val="20"/>
              </w:rPr>
              <w:t xml:space="preserve"> Grade</w:t>
            </w:r>
          </w:p>
        </w:tc>
        <w:tc>
          <w:tcPr>
            <w:tcW w:w="1206" w:type="dxa"/>
            <w:vAlign w:val="center"/>
          </w:tcPr>
          <w:p w:rsidR="00D20A66" w:rsidRPr="00586045" w:rsidRDefault="00D20A66" w:rsidP="00D20A66">
            <w:pPr>
              <w:jc w:val="center"/>
              <w:rPr>
                <w:sz w:val="20"/>
              </w:rPr>
            </w:pPr>
            <w:r w:rsidRPr="00586045">
              <w:rPr>
                <w:sz w:val="20"/>
              </w:rPr>
              <w:t>All Grades</w:t>
            </w:r>
          </w:p>
        </w:tc>
      </w:tr>
      <w:tr w:rsidR="00836BC3" w:rsidRPr="0030045F" w:rsidTr="00836BC3">
        <w:trPr>
          <w:jc w:val="center"/>
        </w:trPr>
        <w:tc>
          <w:tcPr>
            <w:tcW w:w="1375" w:type="dxa"/>
            <w:vAlign w:val="center"/>
          </w:tcPr>
          <w:p w:rsidR="00586045" w:rsidRPr="0030045F" w:rsidRDefault="00586045" w:rsidP="00586045">
            <w:pPr>
              <w:jc w:val="center"/>
              <w:rPr>
                <w:sz w:val="20"/>
              </w:rPr>
            </w:pPr>
            <w:r>
              <w:rPr>
                <w:sz w:val="20"/>
              </w:rPr>
              <w:t>2008</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17.2</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20.0</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19.2</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16.1</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18.3</w:t>
            </w:r>
          </w:p>
        </w:tc>
      </w:tr>
      <w:tr w:rsidR="00836BC3" w:rsidRPr="0030045F" w:rsidTr="00836BC3">
        <w:trPr>
          <w:jc w:val="center"/>
        </w:trPr>
        <w:tc>
          <w:tcPr>
            <w:tcW w:w="1375" w:type="dxa"/>
            <w:vAlign w:val="center"/>
          </w:tcPr>
          <w:p w:rsidR="00586045" w:rsidRPr="0030045F" w:rsidRDefault="00586045" w:rsidP="00586045">
            <w:pPr>
              <w:jc w:val="center"/>
              <w:rPr>
                <w:sz w:val="20"/>
              </w:rPr>
            </w:pPr>
            <w:r>
              <w:rPr>
                <w:sz w:val="20"/>
              </w:rPr>
              <w:t>2010</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7.0</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11.1</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10.8</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9.3</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9.5</w:t>
            </w:r>
          </w:p>
        </w:tc>
      </w:tr>
      <w:tr w:rsidR="00836BC3" w:rsidRPr="0030045F" w:rsidTr="00836BC3">
        <w:trPr>
          <w:jc w:val="center"/>
        </w:trPr>
        <w:tc>
          <w:tcPr>
            <w:tcW w:w="1375" w:type="dxa"/>
            <w:vAlign w:val="center"/>
          </w:tcPr>
          <w:p w:rsidR="00586045" w:rsidRPr="0030045F" w:rsidRDefault="00586045" w:rsidP="00586045">
            <w:pPr>
              <w:jc w:val="center"/>
              <w:rPr>
                <w:sz w:val="20"/>
              </w:rPr>
            </w:pPr>
            <w:r>
              <w:rPr>
                <w:sz w:val="20"/>
              </w:rPr>
              <w:t>2012</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19.5</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18.9</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13.1</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16.8</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17.3</w:t>
            </w:r>
          </w:p>
        </w:tc>
      </w:tr>
      <w:tr w:rsidR="00586045" w:rsidRPr="0030045F" w:rsidTr="00836BC3">
        <w:trPr>
          <w:jc w:val="center"/>
        </w:trPr>
        <w:tc>
          <w:tcPr>
            <w:tcW w:w="1375" w:type="dxa"/>
            <w:vAlign w:val="center"/>
          </w:tcPr>
          <w:p w:rsidR="00586045" w:rsidRPr="0030045F" w:rsidRDefault="00586045" w:rsidP="00586045">
            <w:pPr>
              <w:jc w:val="center"/>
              <w:rPr>
                <w:sz w:val="20"/>
              </w:rPr>
            </w:pPr>
            <w:r>
              <w:rPr>
                <w:sz w:val="20"/>
              </w:rPr>
              <w:t>2014</w:t>
            </w:r>
          </w:p>
        </w:tc>
        <w:tc>
          <w:tcPr>
            <w:tcW w:w="102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7.1</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12.6</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22.3</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21.0</w:t>
            </w:r>
          </w:p>
        </w:tc>
        <w:tc>
          <w:tcPr>
            <w:tcW w:w="1206" w:type="dxa"/>
            <w:tcBorders>
              <w:top w:val="nil"/>
              <w:left w:val="nil"/>
              <w:bottom w:val="single" w:sz="8" w:space="0" w:color="auto"/>
              <w:right w:val="single" w:sz="8" w:space="0" w:color="auto"/>
            </w:tcBorders>
            <w:shd w:val="clear" w:color="auto" w:fill="auto"/>
            <w:vAlign w:val="center"/>
          </w:tcPr>
          <w:p w:rsidR="00586045" w:rsidRPr="00586045" w:rsidRDefault="00D20A66" w:rsidP="00586045">
            <w:pPr>
              <w:jc w:val="center"/>
              <w:rPr>
                <w:color w:val="000000"/>
                <w:sz w:val="20"/>
              </w:rPr>
            </w:pPr>
            <w:r>
              <w:rPr>
                <w:color w:val="000000"/>
                <w:sz w:val="20"/>
              </w:rPr>
              <w:t>15.3</w:t>
            </w:r>
          </w:p>
        </w:tc>
      </w:tr>
    </w:tbl>
    <w:p w:rsidR="0030045F" w:rsidRDefault="0030045F" w:rsidP="00722A7F"/>
    <w:p w:rsidR="008123EE" w:rsidRDefault="008123EE" w:rsidP="00722A7F">
      <w:r>
        <w:t>Conclusion</w:t>
      </w:r>
    </w:p>
    <w:p w:rsidR="008123EE" w:rsidRDefault="008123EE" w:rsidP="00722A7F"/>
    <w:p w:rsidR="008123EE" w:rsidRDefault="008123EE" w:rsidP="008123EE">
      <w:pPr>
        <w:pStyle w:val="ListParagraph"/>
        <w:numPr>
          <w:ilvl w:val="0"/>
          <w:numId w:val="4"/>
        </w:numPr>
      </w:pPr>
      <w:r w:rsidRPr="008123EE">
        <w:t xml:space="preserve">Due to the low completion rates, statistics provided in the Orleans Parish report cannot be accepted at face value. </w:t>
      </w:r>
    </w:p>
    <w:p w:rsidR="008123EE" w:rsidRDefault="008123EE" w:rsidP="008123EE"/>
    <w:p w:rsidR="00C06E4B" w:rsidRDefault="008123EE" w:rsidP="00722A7F">
      <w:pPr>
        <w:pStyle w:val="ListParagraph"/>
        <w:numPr>
          <w:ilvl w:val="0"/>
          <w:numId w:val="4"/>
        </w:numPr>
      </w:pPr>
      <w:r w:rsidRPr="008123EE">
        <w:t>For purposes of the Drug Free Communities project, use of the CCYS depends on which schools participated in the survey</w:t>
      </w:r>
      <w:r w:rsidR="0030494E">
        <w:t xml:space="preserve"> and how many students from the targeted communities completed the survey</w:t>
      </w:r>
      <w:r w:rsidRPr="008123EE">
        <w:t>.</w:t>
      </w:r>
    </w:p>
    <w:sectPr w:rsidR="00C06E4B">
      <w:headerReference w:type="default" r:id="rId7"/>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886" w:rsidRDefault="00302886" w:rsidP="00446EF4">
      <w:r>
        <w:separator/>
      </w:r>
    </w:p>
  </w:endnote>
  <w:endnote w:type="continuationSeparator" w:id="0">
    <w:p w:rsidR="00302886" w:rsidRDefault="00302886" w:rsidP="0044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636" w:rsidRDefault="005D1636">
    <w:pPr>
      <w:pStyle w:val="Footer"/>
    </w:pPr>
    <w:r w:rsidRPr="006856C3">
      <w:rPr>
        <w:sz w:val="18"/>
        <w:szCs w:val="18"/>
      </w:rPr>
      <w:fldChar w:fldCharType="begin"/>
    </w:r>
    <w:r w:rsidRPr="006856C3">
      <w:rPr>
        <w:sz w:val="18"/>
        <w:szCs w:val="18"/>
      </w:rPr>
      <w:instrText xml:space="preserve"> FILENAME   \* MERGEFORMAT </w:instrText>
    </w:r>
    <w:r w:rsidRPr="006856C3">
      <w:rPr>
        <w:sz w:val="18"/>
        <w:szCs w:val="18"/>
      </w:rPr>
      <w:fldChar w:fldCharType="separate"/>
    </w:r>
    <w:r w:rsidR="004F7C5F">
      <w:rPr>
        <w:noProof/>
        <w:sz w:val="18"/>
        <w:szCs w:val="18"/>
      </w:rPr>
      <w:t>CCYSCompletionRate-Orleans2014.docx</w:t>
    </w:r>
    <w:r w:rsidRPr="006856C3">
      <w:rPr>
        <w:sz w:val="18"/>
        <w:szCs w:val="18"/>
      </w:rPr>
      <w:fldChar w:fldCharType="end"/>
    </w:r>
    <w:r>
      <w:tab/>
    </w:r>
    <w:r>
      <w:fldChar w:fldCharType="begin"/>
    </w:r>
    <w:r>
      <w:instrText xml:space="preserve"> PAGE   \* MERGEFORMAT </w:instrText>
    </w:r>
    <w:r>
      <w:fldChar w:fldCharType="separate"/>
    </w:r>
    <w:r w:rsidR="0030494E">
      <w:rPr>
        <w:noProof/>
      </w:rPr>
      <w:t>2</w:t>
    </w:r>
    <w:r>
      <w:fldChar w:fldCharType="end"/>
    </w:r>
    <w:r>
      <w:t xml:space="preserve"> of </w:t>
    </w:r>
    <w:fldSimple w:instr=" NUMPAGES   \* MERGEFORMAT ">
      <w:r w:rsidR="0030494E">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886" w:rsidRDefault="00302886" w:rsidP="00446EF4">
      <w:r>
        <w:separator/>
      </w:r>
    </w:p>
  </w:footnote>
  <w:footnote w:type="continuationSeparator" w:id="0">
    <w:p w:rsidR="00302886" w:rsidRDefault="00302886" w:rsidP="00446EF4">
      <w:r>
        <w:continuationSeparator/>
      </w:r>
    </w:p>
  </w:footnote>
  <w:footnote w:id="1">
    <w:p w:rsidR="00D045E2" w:rsidRDefault="00D045E2" w:rsidP="00D045E2">
      <w:pPr>
        <w:pStyle w:val="FootnoteText"/>
      </w:pPr>
      <w:r>
        <w:rPr>
          <w:rStyle w:val="FootnoteReference"/>
        </w:rPr>
        <w:footnoteRef/>
      </w:r>
      <w:r>
        <w:t xml:space="preserve"> If private schools participate in the survey, their enrollment is added into the denominator and their completed surveys are counted in the numerator. Only the enrollments of participating private schools are counted. Thus, in a community served by private schools, participation by only some of the private schools can bias the completion rate upward because not all school enrollment will be counted in the denominator. Without private school participation, the population definition is all public school students.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636" w:rsidRPr="005D1636" w:rsidRDefault="005D1636" w:rsidP="005D1636">
    <w:pPr>
      <w:pStyle w:val="Header"/>
      <w:jc w:val="right"/>
      <w:rPr>
        <w:b/>
      </w:rPr>
    </w:pPr>
    <w:r w:rsidRPr="005D1636">
      <w:rPr>
        <w:b/>
      </w:rPr>
      <w:t>5/</w:t>
    </w:r>
    <w:r w:rsidR="0030494E">
      <w:rPr>
        <w:b/>
      </w:rPr>
      <w:t>31</w:t>
    </w:r>
    <w:r w:rsidRPr="005D1636">
      <w:rPr>
        <w:b/>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5B53456D"/>
    <w:multiLevelType w:val="hybridMultilevel"/>
    <w:tmpl w:val="688C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E22B9C"/>
    <w:multiLevelType w:val="hybridMultilevel"/>
    <w:tmpl w:val="92B4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04"/>
    <w:rsid w:val="0005363D"/>
    <w:rsid w:val="000726C0"/>
    <w:rsid w:val="0009674C"/>
    <w:rsid w:val="000C092D"/>
    <w:rsid w:val="001B0765"/>
    <w:rsid w:val="00202AD8"/>
    <w:rsid w:val="002318EB"/>
    <w:rsid w:val="002517AA"/>
    <w:rsid w:val="00276631"/>
    <w:rsid w:val="002B140C"/>
    <w:rsid w:val="002C5D2D"/>
    <w:rsid w:val="002E4B73"/>
    <w:rsid w:val="0030045F"/>
    <w:rsid w:val="00302886"/>
    <w:rsid w:val="0030494E"/>
    <w:rsid w:val="003348D2"/>
    <w:rsid w:val="003454C1"/>
    <w:rsid w:val="00446EF4"/>
    <w:rsid w:val="00495099"/>
    <w:rsid w:val="004A474C"/>
    <w:rsid w:val="004C76B7"/>
    <w:rsid w:val="004D6EBA"/>
    <w:rsid w:val="004F3F4C"/>
    <w:rsid w:val="004F7C5F"/>
    <w:rsid w:val="00586045"/>
    <w:rsid w:val="005917EF"/>
    <w:rsid w:val="005D1636"/>
    <w:rsid w:val="005D3B4E"/>
    <w:rsid w:val="00650C16"/>
    <w:rsid w:val="00684CF0"/>
    <w:rsid w:val="00693BBB"/>
    <w:rsid w:val="00694BCF"/>
    <w:rsid w:val="006A65C8"/>
    <w:rsid w:val="006B22A9"/>
    <w:rsid w:val="00722A7F"/>
    <w:rsid w:val="007439F1"/>
    <w:rsid w:val="007619DF"/>
    <w:rsid w:val="00801437"/>
    <w:rsid w:val="008020DA"/>
    <w:rsid w:val="008123EE"/>
    <w:rsid w:val="008302C3"/>
    <w:rsid w:val="00836BC3"/>
    <w:rsid w:val="008D578E"/>
    <w:rsid w:val="008F74AA"/>
    <w:rsid w:val="009D1DAB"/>
    <w:rsid w:val="00A02D06"/>
    <w:rsid w:val="00A6592B"/>
    <w:rsid w:val="00A76453"/>
    <w:rsid w:val="00AC3FD1"/>
    <w:rsid w:val="00AD6173"/>
    <w:rsid w:val="00B548C5"/>
    <w:rsid w:val="00C06E4B"/>
    <w:rsid w:val="00C11023"/>
    <w:rsid w:val="00C17E6A"/>
    <w:rsid w:val="00C4150C"/>
    <w:rsid w:val="00C42104"/>
    <w:rsid w:val="00C4525C"/>
    <w:rsid w:val="00C64A71"/>
    <w:rsid w:val="00CA3E77"/>
    <w:rsid w:val="00CC58D0"/>
    <w:rsid w:val="00CE6655"/>
    <w:rsid w:val="00D045E2"/>
    <w:rsid w:val="00D146B2"/>
    <w:rsid w:val="00D20A66"/>
    <w:rsid w:val="00D66870"/>
    <w:rsid w:val="00E23C7F"/>
    <w:rsid w:val="00E42E3A"/>
    <w:rsid w:val="00E727F4"/>
    <w:rsid w:val="00E77285"/>
    <w:rsid w:val="00E81BD9"/>
    <w:rsid w:val="00E82620"/>
    <w:rsid w:val="00E8405F"/>
    <w:rsid w:val="00F03C9A"/>
    <w:rsid w:val="00F94B0C"/>
    <w:rsid w:val="00FB016F"/>
    <w:rsid w:val="00FE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BFA4E0-FA31-43F3-8251-3370B59C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FootnoteText">
    <w:name w:val="footnote text"/>
    <w:basedOn w:val="Normal"/>
    <w:link w:val="FootnoteTextChar"/>
    <w:uiPriority w:val="99"/>
    <w:semiHidden/>
    <w:unhideWhenUsed/>
    <w:rsid w:val="00446EF4"/>
    <w:rPr>
      <w:sz w:val="20"/>
    </w:rPr>
  </w:style>
  <w:style w:type="character" w:customStyle="1" w:styleId="FootnoteTextChar">
    <w:name w:val="Footnote Text Char"/>
    <w:basedOn w:val="DefaultParagraphFont"/>
    <w:link w:val="FootnoteText"/>
    <w:uiPriority w:val="99"/>
    <w:semiHidden/>
    <w:rsid w:val="00446EF4"/>
  </w:style>
  <w:style w:type="character" w:styleId="FootnoteReference">
    <w:name w:val="footnote reference"/>
    <w:basedOn w:val="DefaultParagraphFont"/>
    <w:uiPriority w:val="99"/>
    <w:semiHidden/>
    <w:unhideWhenUsed/>
    <w:rsid w:val="00446EF4"/>
    <w:rPr>
      <w:vertAlign w:val="superscript"/>
    </w:rPr>
  </w:style>
  <w:style w:type="character" w:styleId="Hyperlink">
    <w:name w:val="Hyperlink"/>
    <w:basedOn w:val="DefaultParagraphFont"/>
    <w:uiPriority w:val="99"/>
    <w:unhideWhenUsed/>
    <w:rsid w:val="00446EF4"/>
    <w:rPr>
      <w:color w:val="0000FF" w:themeColor="hyperlink"/>
      <w:u w:val="single"/>
    </w:rPr>
  </w:style>
  <w:style w:type="paragraph" w:styleId="Header">
    <w:name w:val="header"/>
    <w:basedOn w:val="Normal"/>
    <w:link w:val="HeaderChar"/>
    <w:uiPriority w:val="99"/>
    <w:unhideWhenUsed/>
    <w:rsid w:val="005D1636"/>
    <w:pPr>
      <w:tabs>
        <w:tab w:val="center" w:pos="4680"/>
        <w:tab w:val="right" w:pos="9360"/>
      </w:tabs>
    </w:pPr>
  </w:style>
  <w:style w:type="character" w:customStyle="1" w:styleId="HeaderChar">
    <w:name w:val="Header Char"/>
    <w:basedOn w:val="DefaultParagraphFont"/>
    <w:link w:val="Header"/>
    <w:uiPriority w:val="99"/>
    <w:rsid w:val="005D1636"/>
    <w:rPr>
      <w:sz w:val="24"/>
    </w:rPr>
  </w:style>
  <w:style w:type="paragraph" w:styleId="Footer">
    <w:name w:val="footer"/>
    <w:basedOn w:val="Normal"/>
    <w:link w:val="FooterChar"/>
    <w:uiPriority w:val="99"/>
    <w:unhideWhenUsed/>
    <w:rsid w:val="005D1636"/>
    <w:pPr>
      <w:tabs>
        <w:tab w:val="center" w:pos="4680"/>
        <w:tab w:val="right" w:pos="9360"/>
      </w:tabs>
    </w:pPr>
  </w:style>
  <w:style w:type="character" w:customStyle="1" w:styleId="FooterChar">
    <w:name w:val="Footer Char"/>
    <w:basedOn w:val="DefaultParagraphFont"/>
    <w:link w:val="Footer"/>
    <w:uiPriority w:val="99"/>
    <w:rsid w:val="005D1636"/>
    <w:rPr>
      <w:sz w:val="24"/>
    </w:rPr>
  </w:style>
  <w:style w:type="paragraph" w:styleId="ListParagraph">
    <w:name w:val="List Paragraph"/>
    <w:basedOn w:val="Normal"/>
    <w:uiPriority w:val="34"/>
    <w:qFormat/>
    <w:rsid w:val="00812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17</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4</cp:revision>
  <cp:lastPrinted>2015-05-29T02:27:00Z</cp:lastPrinted>
  <dcterms:created xsi:type="dcterms:W3CDTF">2015-06-06T15:26:00Z</dcterms:created>
  <dcterms:modified xsi:type="dcterms:W3CDTF">2015-06-14T01:10:00Z</dcterms:modified>
</cp:coreProperties>
</file>