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1D8F" w14:textId="77777777" w:rsidR="004E64EA" w:rsidRPr="004E64EA" w:rsidRDefault="004E64EA" w:rsidP="004E64EA">
      <w:r w:rsidRPr="004E64EA">
        <w:rPr>
          <w:noProof/>
        </w:rPr>
        <w:drawing>
          <wp:anchor distT="0" distB="0" distL="114300" distR="114300" simplePos="0" relativeHeight="251659264" behindDoc="0" locked="0" layoutInCell="1" allowOverlap="0" wp14:anchorId="19C27770" wp14:editId="181AD995">
            <wp:simplePos x="0" y="0"/>
            <wp:positionH relativeFrom="page">
              <wp:posOffset>548640</wp:posOffset>
            </wp:positionH>
            <wp:positionV relativeFrom="page">
              <wp:posOffset>548640</wp:posOffset>
            </wp:positionV>
            <wp:extent cx="1627632" cy="1682496"/>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632" cy="1682496"/>
                    </a:xfrm>
                    <a:prstGeom prst="rect">
                      <a:avLst/>
                    </a:prstGeom>
                    <a:noFill/>
                  </pic:spPr>
                </pic:pic>
              </a:graphicData>
            </a:graphic>
            <wp14:sizeRelH relativeFrom="margin">
              <wp14:pctWidth>0</wp14:pctWidth>
            </wp14:sizeRelH>
            <wp14:sizeRelV relativeFrom="margin">
              <wp14:pctHeight>0</wp14:pctHeight>
            </wp14:sizeRelV>
          </wp:anchor>
        </w:drawing>
      </w:r>
    </w:p>
    <w:p w14:paraId="6B1E8C19" w14:textId="77777777" w:rsidR="007C1DDD" w:rsidRDefault="007C1DDD" w:rsidP="007C1DDD">
      <w:pPr>
        <w:jc w:val="center"/>
        <w:rPr>
          <w:b/>
          <w:sz w:val="28"/>
          <w:szCs w:val="28"/>
        </w:rPr>
      </w:pPr>
    </w:p>
    <w:p w14:paraId="74938E12" w14:textId="6536698A" w:rsidR="007C1DDD" w:rsidRPr="004E64EA" w:rsidRDefault="004359C1" w:rsidP="007C1DDD">
      <w:pPr>
        <w:jc w:val="center"/>
        <w:rPr>
          <w:b/>
          <w:sz w:val="28"/>
          <w:szCs w:val="28"/>
        </w:rPr>
      </w:pPr>
      <w:r>
        <w:rPr>
          <w:b/>
          <w:sz w:val="28"/>
          <w:szCs w:val="28"/>
        </w:rPr>
        <w:t xml:space="preserve"> Greater </w:t>
      </w:r>
      <w:r w:rsidR="007C1DDD" w:rsidRPr="004E64EA">
        <w:rPr>
          <w:b/>
          <w:sz w:val="28"/>
          <w:szCs w:val="28"/>
        </w:rPr>
        <w:t>New Orleans Community Needs Assessment</w:t>
      </w:r>
    </w:p>
    <w:p w14:paraId="21C966AF" w14:textId="77777777" w:rsidR="004E64EA" w:rsidRPr="004E64EA" w:rsidRDefault="004E64EA" w:rsidP="004E64EA">
      <w:pPr>
        <w:jc w:val="center"/>
      </w:pPr>
    </w:p>
    <w:p w14:paraId="46751B45" w14:textId="77777777" w:rsidR="004E64EA" w:rsidRPr="004E64EA" w:rsidRDefault="004E64EA" w:rsidP="004E64EA"/>
    <w:p w14:paraId="15A3FBCA" w14:textId="77777777" w:rsidR="004E64EA" w:rsidRPr="004E64EA" w:rsidRDefault="004E64EA" w:rsidP="004E64EA"/>
    <w:p w14:paraId="4EFF2011" w14:textId="77777777" w:rsidR="004E64EA" w:rsidRPr="004E64EA" w:rsidRDefault="004E64EA" w:rsidP="004E64EA"/>
    <w:p w14:paraId="2C7E020C" w14:textId="77777777" w:rsidR="004E64EA" w:rsidRPr="004E64EA" w:rsidRDefault="004E64EA" w:rsidP="004E64EA"/>
    <w:p w14:paraId="79213FFA" w14:textId="77777777" w:rsidR="004E64EA" w:rsidRPr="004E64EA" w:rsidRDefault="004E64EA" w:rsidP="004E64EA"/>
    <w:p w14:paraId="6AD63D68" w14:textId="77777777" w:rsidR="004E64EA" w:rsidRPr="004E64EA" w:rsidRDefault="004E64EA" w:rsidP="004E64EA"/>
    <w:p w14:paraId="34CEC38C" w14:textId="24A6D01A" w:rsidR="004E64EA" w:rsidRPr="004E64EA" w:rsidRDefault="004E64EA" w:rsidP="004E64EA">
      <w:pPr>
        <w:jc w:val="center"/>
        <w:rPr>
          <w:b/>
          <w:bCs/>
          <w:sz w:val="36"/>
          <w:szCs w:val="36"/>
        </w:rPr>
      </w:pPr>
      <w:bookmarkStart w:id="0" w:name="_Hlk494201581"/>
      <w:r>
        <w:rPr>
          <w:b/>
          <w:bCs/>
          <w:sz w:val="36"/>
          <w:szCs w:val="36"/>
        </w:rPr>
        <w:t>National Survey of Drug Use and Health</w:t>
      </w:r>
      <w:r w:rsidR="007C1DDD">
        <w:rPr>
          <w:b/>
          <w:bCs/>
          <w:sz w:val="36"/>
          <w:szCs w:val="36"/>
        </w:rPr>
        <w:t>, 2016-2018</w:t>
      </w:r>
    </w:p>
    <w:p w14:paraId="7B309FB5" w14:textId="77777777" w:rsidR="004E64EA" w:rsidRPr="004E64EA" w:rsidRDefault="004E64EA" w:rsidP="007C1DDD">
      <w:pPr>
        <w:spacing w:after="240"/>
        <w:jc w:val="center"/>
        <w:rPr>
          <w:b/>
          <w:bCs/>
          <w:sz w:val="16"/>
          <w:szCs w:val="16"/>
        </w:rPr>
      </w:pPr>
    </w:p>
    <w:p w14:paraId="136BD865" w14:textId="297B2A88" w:rsidR="004E64EA" w:rsidRPr="004E64EA" w:rsidRDefault="007C1DDD" w:rsidP="007C1DDD">
      <w:pPr>
        <w:spacing w:after="240"/>
        <w:jc w:val="center"/>
        <w:rPr>
          <w:b/>
          <w:bCs/>
          <w:sz w:val="48"/>
          <w:szCs w:val="48"/>
        </w:rPr>
      </w:pPr>
      <w:bookmarkStart w:id="1" w:name="_Hlk71885106"/>
      <w:r>
        <w:rPr>
          <w:b/>
          <w:bCs/>
          <w:sz w:val="48"/>
          <w:szCs w:val="48"/>
        </w:rPr>
        <w:t>Data Book for Greater New Orleans:</w:t>
      </w:r>
    </w:p>
    <w:bookmarkEnd w:id="0"/>
    <w:p w14:paraId="2B595510" w14:textId="46DCAA8F" w:rsidR="004E64EA" w:rsidRPr="004E64EA" w:rsidRDefault="007C1DDD" w:rsidP="007C1DDD">
      <w:pPr>
        <w:spacing w:after="240"/>
        <w:jc w:val="center"/>
        <w:rPr>
          <w:b/>
          <w:bCs/>
          <w:sz w:val="48"/>
          <w:szCs w:val="48"/>
        </w:rPr>
      </w:pPr>
      <w:r>
        <w:rPr>
          <w:b/>
          <w:bCs/>
          <w:sz w:val="48"/>
          <w:szCs w:val="48"/>
        </w:rPr>
        <w:t>Population Prevalence Estimates</w:t>
      </w:r>
    </w:p>
    <w:p w14:paraId="1D210D66" w14:textId="3800580F" w:rsidR="004E64EA" w:rsidRPr="004E64EA" w:rsidRDefault="007C1DDD" w:rsidP="007C1DDD">
      <w:pPr>
        <w:spacing w:after="240"/>
        <w:jc w:val="center"/>
        <w:rPr>
          <w:b/>
          <w:bCs/>
          <w:sz w:val="40"/>
          <w:szCs w:val="40"/>
        </w:rPr>
      </w:pPr>
      <w:r w:rsidRPr="007C1DDD">
        <w:rPr>
          <w:b/>
          <w:bCs/>
          <w:sz w:val="40"/>
          <w:szCs w:val="40"/>
        </w:rPr>
        <w:t>For July 2019</w:t>
      </w:r>
      <w:bookmarkEnd w:id="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D36FC0" w:rsidRPr="004002CB" w14:paraId="40390C5D" w14:textId="77777777" w:rsidTr="00A31AE9">
        <w:trPr>
          <w:trHeight w:val="1890"/>
          <w:jc w:val="center"/>
        </w:trPr>
        <w:tc>
          <w:tcPr>
            <w:tcW w:w="9000" w:type="dxa"/>
            <w:shd w:val="clear" w:color="auto" w:fill="auto"/>
            <w:vAlign w:val="bottom"/>
          </w:tcPr>
          <w:p w14:paraId="2CA4901A" w14:textId="12434A93" w:rsidR="00D36FC0" w:rsidRPr="00A31AE9" w:rsidRDefault="00D36FC0" w:rsidP="00A31AE9">
            <w:pPr>
              <w:jc w:val="center"/>
              <w:rPr>
                <w:i/>
                <w:iCs/>
              </w:rPr>
            </w:pPr>
            <w:r w:rsidRPr="004002CB">
              <w:rPr>
                <w:i/>
                <w:iCs/>
              </w:rPr>
              <w:t xml:space="preserve">The </w:t>
            </w:r>
            <w:r>
              <w:rPr>
                <w:i/>
                <w:iCs/>
              </w:rPr>
              <w:t>purposes</w:t>
            </w:r>
            <w:r w:rsidRPr="004002CB">
              <w:rPr>
                <w:i/>
                <w:iCs/>
              </w:rPr>
              <w:t xml:space="preserve"> of this Data Book </w:t>
            </w:r>
            <w:r>
              <w:rPr>
                <w:i/>
                <w:iCs/>
              </w:rPr>
              <w:t>are</w:t>
            </w:r>
            <w:r w:rsidRPr="004002CB">
              <w:rPr>
                <w:i/>
                <w:iCs/>
              </w:rPr>
              <w:t xml:space="preserve"> to make the most recent local NSDUH prevalence rate estimates more easily available and to provide corresponding estimates of the number of individuals using substances, experiencing substance use disorders (SUDs), needing but not receiving treatment, and experiencing mental health problems, for the smallest planning areas possible</w:t>
            </w:r>
            <w:r w:rsidR="00A31AE9">
              <w:rPr>
                <w:i/>
                <w:iCs/>
              </w:rPr>
              <w:t xml:space="preserve"> so that</w:t>
            </w:r>
            <w:r w:rsidR="00A31AE9" w:rsidRPr="00A31AE9">
              <w:rPr>
                <w:i/>
                <w:iCs/>
              </w:rPr>
              <w:t xml:space="preserve"> </w:t>
            </w:r>
            <w:r w:rsidR="00A31AE9">
              <w:rPr>
                <w:i/>
                <w:iCs/>
              </w:rPr>
              <w:t>t</w:t>
            </w:r>
            <w:r w:rsidR="00A31AE9" w:rsidRPr="00A31AE9">
              <w:rPr>
                <w:i/>
                <w:iCs/>
              </w:rPr>
              <w:t>hese data can be used for planning and policy development as well as for assessment of service system performance.</w:t>
            </w:r>
          </w:p>
        </w:tc>
      </w:tr>
    </w:tbl>
    <w:p w14:paraId="180BB994" w14:textId="77777777" w:rsidR="004E64EA" w:rsidRPr="004E64EA" w:rsidRDefault="004E64EA" w:rsidP="004E64EA">
      <w:pPr>
        <w:rPr>
          <w:b/>
          <w:szCs w:val="24"/>
        </w:rPr>
      </w:pPr>
    </w:p>
    <w:p w14:paraId="14DB2D19" w14:textId="5919F81A" w:rsidR="004E64EA" w:rsidRDefault="004E64EA" w:rsidP="004E64EA">
      <w:pPr>
        <w:rPr>
          <w:b/>
          <w:szCs w:val="24"/>
        </w:rPr>
      </w:pPr>
    </w:p>
    <w:p w14:paraId="544FE884" w14:textId="77777777" w:rsidR="000B3244" w:rsidRDefault="000B3244" w:rsidP="004E64EA">
      <w:pPr>
        <w:rPr>
          <w:b/>
          <w:szCs w:val="24"/>
        </w:rPr>
      </w:pPr>
    </w:p>
    <w:p w14:paraId="5668534A" w14:textId="77777777" w:rsidR="00E05017" w:rsidRPr="004E64EA" w:rsidRDefault="00E05017" w:rsidP="004E64EA">
      <w:pPr>
        <w:rPr>
          <w:b/>
          <w:szCs w:val="24"/>
        </w:rPr>
      </w:pPr>
    </w:p>
    <w:p w14:paraId="375DD2C0" w14:textId="1E107AB2" w:rsidR="004E64EA" w:rsidRPr="004E64EA" w:rsidRDefault="007C1DDD" w:rsidP="004E64EA">
      <w:pPr>
        <w:jc w:val="center"/>
        <w:rPr>
          <w:b/>
          <w:szCs w:val="24"/>
        </w:rPr>
      </w:pPr>
      <w:r w:rsidRPr="007C1DDD">
        <w:rPr>
          <w:b/>
          <w:szCs w:val="24"/>
        </w:rPr>
        <w:t>Prepared</w:t>
      </w:r>
      <w:r w:rsidR="004E64EA" w:rsidRPr="004E64EA">
        <w:rPr>
          <w:b/>
          <w:szCs w:val="24"/>
        </w:rPr>
        <w:t xml:space="preserve"> for </w:t>
      </w:r>
      <w:r w:rsidRPr="007C1DDD">
        <w:rPr>
          <w:b/>
          <w:szCs w:val="24"/>
        </w:rPr>
        <w:t>the</w:t>
      </w:r>
    </w:p>
    <w:p w14:paraId="698500DB" w14:textId="77777777" w:rsidR="004E64EA" w:rsidRPr="004E64EA" w:rsidRDefault="004E64EA" w:rsidP="007C1DDD">
      <w:pPr>
        <w:rPr>
          <w:b/>
          <w:sz w:val="16"/>
          <w:szCs w:val="16"/>
        </w:rPr>
      </w:pPr>
    </w:p>
    <w:p w14:paraId="2E7ECADE" w14:textId="77777777" w:rsidR="004E64EA" w:rsidRPr="004E64EA" w:rsidRDefault="004E64EA" w:rsidP="004E64EA">
      <w:pPr>
        <w:jc w:val="center"/>
        <w:rPr>
          <w:b/>
          <w:sz w:val="28"/>
          <w:szCs w:val="28"/>
        </w:rPr>
      </w:pPr>
      <w:r w:rsidRPr="004E64EA">
        <w:rPr>
          <w:b/>
          <w:sz w:val="28"/>
          <w:szCs w:val="28"/>
        </w:rPr>
        <w:t>Greater New Orleans</w:t>
      </w:r>
    </w:p>
    <w:p w14:paraId="51398369" w14:textId="77777777" w:rsidR="004E64EA" w:rsidRPr="004E64EA" w:rsidRDefault="004E64EA" w:rsidP="004E64EA">
      <w:pPr>
        <w:jc w:val="center"/>
        <w:rPr>
          <w:b/>
          <w:sz w:val="28"/>
          <w:szCs w:val="28"/>
        </w:rPr>
      </w:pPr>
      <w:r w:rsidRPr="004E64EA">
        <w:rPr>
          <w:b/>
          <w:sz w:val="28"/>
          <w:szCs w:val="28"/>
        </w:rPr>
        <w:t>Drug Demand Reduction Coalition</w:t>
      </w:r>
    </w:p>
    <w:p w14:paraId="2673280A" w14:textId="77777777" w:rsidR="004E64EA" w:rsidRPr="004E64EA" w:rsidRDefault="004E64EA" w:rsidP="004E64EA">
      <w:pPr>
        <w:jc w:val="center"/>
        <w:rPr>
          <w:b/>
          <w:szCs w:val="24"/>
        </w:rPr>
      </w:pPr>
    </w:p>
    <w:p w14:paraId="1C559DF4" w14:textId="525492AA" w:rsidR="004E64EA" w:rsidRPr="004E64EA" w:rsidRDefault="007C1DDD" w:rsidP="004E64EA">
      <w:pPr>
        <w:rPr>
          <w:b/>
          <w:sz w:val="16"/>
          <w:szCs w:val="16"/>
        </w:rPr>
      </w:pPr>
      <w:r>
        <w:rPr>
          <w:b/>
          <w:szCs w:val="24"/>
        </w:rPr>
        <w:t xml:space="preserve"> </w:t>
      </w:r>
    </w:p>
    <w:p w14:paraId="1B994F24" w14:textId="55D590BA" w:rsidR="004E64EA" w:rsidRPr="004E64EA" w:rsidRDefault="00AB2926" w:rsidP="004E64EA">
      <w:pPr>
        <w:jc w:val="center"/>
        <w:rPr>
          <w:b/>
          <w:szCs w:val="24"/>
        </w:rPr>
      </w:pPr>
      <w:r>
        <w:rPr>
          <w:b/>
          <w:szCs w:val="24"/>
        </w:rPr>
        <w:t>Revised May</w:t>
      </w:r>
      <w:r w:rsidR="007C1DDD" w:rsidRPr="007C1DDD">
        <w:rPr>
          <w:b/>
          <w:szCs w:val="24"/>
        </w:rPr>
        <w:t xml:space="preserve"> </w:t>
      </w:r>
      <w:r>
        <w:rPr>
          <w:b/>
          <w:szCs w:val="24"/>
        </w:rPr>
        <w:t>25</w:t>
      </w:r>
      <w:r w:rsidR="007C1DDD" w:rsidRPr="004E64EA">
        <w:rPr>
          <w:b/>
          <w:szCs w:val="24"/>
        </w:rPr>
        <w:t>, 20</w:t>
      </w:r>
      <w:r w:rsidR="007C1DDD" w:rsidRPr="007C1DDD">
        <w:rPr>
          <w:b/>
          <w:szCs w:val="24"/>
        </w:rPr>
        <w:t>21</w:t>
      </w:r>
    </w:p>
    <w:p w14:paraId="637DE614" w14:textId="77777777" w:rsidR="004E64EA" w:rsidRPr="004E64EA" w:rsidRDefault="004E64EA" w:rsidP="004E64EA">
      <w:pPr>
        <w:jc w:val="center"/>
        <w:rPr>
          <w:b/>
          <w:szCs w:val="24"/>
        </w:rPr>
      </w:pPr>
    </w:p>
    <w:p w14:paraId="6FF06A79" w14:textId="77777777" w:rsidR="004E64EA" w:rsidRPr="004E64EA" w:rsidRDefault="004E64EA" w:rsidP="004E64EA">
      <w:pPr>
        <w:jc w:val="center"/>
        <w:rPr>
          <w:b/>
          <w:szCs w:val="24"/>
        </w:rPr>
      </w:pPr>
      <w:r w:rsidRPr="004E64EA">
        <w:rPr>
          <w:b/>
          <w:szCs w:val="24"/>
        </w:rPr>
        <w:t>Robert J Gallati</w:t>
      </w:r>
    </w:p>
    <w:p w14:paraId="7531A2A8" w14:textId="77777777" w:rsidR="004E64EA" w:rsidRPr="004E64EA" w:rsidRDefault="004E64EA" w:rsidP="004E64EA">
      <w:pPr>
        <w:jc w:val="center"/>
        <w:rPr>
          <w:b/>
          <w:szCs w:val="24"/>
        </w:rPr>
      </w:pPr>
      <w:r w:rsidRPr="004E64EA">
        <w:rPr>
          <w:b/>
          <w:szCs w:val="24"/>
        </w:rPr>
        <w:t>ARC Associates</w:t>
      </w:r>
    </w:p>
    <w:p w14:paraId="0C3A0D3B" w14:textId="77777777" w:rsidR="004E64EA" w:rsidRPr="004E64EA" w:rsidRDefault="004E64EA" w:rsidP="004E64EA">
      <w:pPr>
        <w:jc w:val="center"/>
        <w:rPr>
          <w:b/>
          <w:sz w:val="20"/>
        </w:rPr>
      </w:pPr>
      <w:r w:rsidRPr="004E64EA">
        <w:rPr>
          <w:b/>
          <w:sz w:val="20"/>
        </w:rPr>
        <w:t xml:space="preserve">11 </w:t>
      </w:r>
      <w:proofErr w:type="spellStart"/>
      <w:r w:rsidRPr="004E64EA">
        <w:rPr>
          <w:b/>
          <w:sz w:val="20"/>
        </w:rPr>
        <w:t>Turnberry</w:t>
      </w:r>
      <w:proofErr w:type="spellEnd"/>
      <w:r w:rsidRPr="004E64EA">
        <w:rPr>
          <w:b/>
          <w:sz w:val="20"/>
        </w:rPr>
        <w:t xml:space="preserve"> Drive</w:t>
      </w:r>
    </w:p>
    <w:p w14:paraId="2A1A5033" w14:textId="77777777" w:rsidR="004E64EA" w:rsidRPr="004E64EA" w:rsidRDefault="004E64EA" w:rsidP="004E64EA">
      <w:pPr>
        <w:jc w:val="center"/>
        <w:rPr>
          <w:b/>
          <w:sz w:val="20"/>
        </w:rPr>
      </w:pPr>
      <w:r w:rsidRPr="004E64EA">
        <w:rPr>
          <w:b/>
          <w:sz w:val="20"/>
        </w:rPr>
        <w:t>Slingerlands NY 12159</w:t>
      </w:r>
    </w:p>
    <w:p w14:paraId="2589B9E3" w14:textId="283FE671" w:rsidR="004E64EA" w:rsidRPr="004E64EA" w:rsidRDefault="007C1DDD" w:rsidP="00E05017">
      <w:pPr>
        <w:jc w:val="center"/>
        <w:rPr>
          <w:b/>
          <w:sz w:val="20"/>
        </w:rPr>
      </w:pPr>
      <w:r w:rsidRPr="00A86F42">
        <w:rPr>
          <w:b/>
          <w:sz w:val="20"/>
        </w:rPr>
        <w:t>www.</w:t>
      </w:r>
      <w:r w:rsidR="004E64EA" w:rsidRPr="004E64EA">
        <w:rPr>
          <w:b/>
          <w:sz w:val="20"/>
        </w:rPr>
        <w:t>ARC-Associates.net</w:t>
      </w:r>
    </w:p>
    <w:p w14:paraId="2FACF868" w14:textId="275EDB2C" w:rsidR="004E64EA" w:rsidRDefault="004E64EA" w:rsidP="004E64EA">
      <w:pPr>
        <w:rPr>
          <w:b/>
          <w:szCs w:val="24"/>
        </w:rPr>
      </w:pPr>
      <w:r w:rsidRPr="004E64EA">
        <w:rPr>
          <w:b/>
          <w:szCs w:val="24"/>
        </w:rPr>
        <w:br w:type="page"/>
      </w:r>
    </w:p>
    <w:p w14:paraId="58B43D59" w14:textId="77777777" w:rsidR="00A86F42" w:rsidRDefault="00A86F42" w:rsidP="00A86F42">
      <w:pPr>
        <w:jc w:val="center"/>
        <w:rPr>
          <w:b/>
          <w:bCs/>
          <w:sz w:val="28"/>
          <w:szCs w:val="28"/>
        </w:rPr>
      </w:pPr>
      <w:r w:rsidRPr="00A86F42">
        <w:rPr>
          <w:b/>
          <w:bCs/>
          <w:sz w:val="28"/>
          <w:szCs w:val="28"/>
        </w:rPr>
        <w:lastRenderedPageBreak/>
        <w:t>Contents</w:t>
      </w:r>
    </w:p>
    <w:p w14:paraId="15A26D1B" w14:textId="77777777" w:rsidR="00A86F42" w:rsidRPr="00A86F42" w:rsidRDefault="00A86F42" w:rsidP="00A86F42">
      <w:pPr>
        <w:jc w:val="center"/>
        <w:rPr>
          <w:b/>
          <w:bCs/>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86F42" w:rsidRPr="00C83BD6" w14:paraId="27201357" w14:textId="77777777" w:rsidTr="009D304E">
        <w:trPr>
          <w:jc w:val="center"/>
        </w:trPr>
        <w:tc>
          <w:tcPr>
            <w:tcW w:w="9350" w:type="dxa"/>
          </w:tcPr>
          <w:p w14:paraId="13405C42" w14:textId="77777777" w:rsidR="00A86F42" w:rsidRPr="00A86F42" w:rsidRDefault="00A86F42" w:rsidP="009D304E">
            <w:pPr>
              <w:pStyle w:val="ListParagraph"/>
              <w:numPr>
                <w:ilvl w:val="0"/>
                <w:numId w:val="2"/>
              </w:numPr>
              <w:rPr>
                <w:szCs w:val="24"/>
              </w:rPr>
            </w:pPr>
            <w:r w:rsidRPr="00A86F42">
              <w:rPr>
                <w:szCs w:val="24"/>
              </w:rPr>
              <w:t>Background and Methodology</w:t>
            </w:r>
          </w:p>
        </w:tc>
      </w:tr>
      <w:tr w:rsidR="00A86F42" w:rsidRPr="00C83BD6" w14:paraId="5A5F97C5" w14:textId="77777777" w:rsidTr="009D304E">
        <w:trPr>
          <w:jc w:val="center"/>
        </w:trPr>
        <w:tc>
          <w:tcPr>
            <w:tcW w:w="9350" w:type="dxa"/>
          </w:tcPr>
          <w:p w14:paraId="1492AF66" w14:textId="77777777" w:rsidR="00A86F42" w:rsidRPr="00A86F42" w:rsidRDefault="00A86F42" w:rsidP="009D304E">
            <w:pPr>
              <w:pStyle w:val="ListParagraph"/>
              <w:numPr>
                <w:ilvl w:val="0"/>
                <w:numId w:val="2"/>
              </w:numPr>
              <w:rPr>
                <w:szCs w:val="24"/>
              </w:rPr>
            </w:pPr>
            <w:r w:rsidRPr="00A86F42">
              <w:rPr>
                <w:color w:val="000000"/>
                <w:szCs w:val="24"/>
              </w:rPr>
              <w:t>Summary Sheet: Prevalence Rates by Age Category for Greater New Orleans</w:t>
            </w:r>
          </w:p>
        </w:tc>
      </w:tr>
      <w:tr w:rsidR="00A86F42" w:rsidRPr="00C83BD6" w14:paraId="5A0FBF8F" w14:textId="77777777" w:rsidTr="009D304E">
        <w:trPr>
          <w:jc w:val="center"/>
        </w:trPr>
        <w:tc>
          <w:tcPr>
            <w:tcW w:w="9350" w:type="dxa"/>
          </w:tcPr>
          <w:p w14:paraId="204E57DB" w14:textId="16704806" w:rsidR="00A86F42" w:rsidRPr="00A86F42" w:rsidRDefault="00A86F42" w:rsidP="009D304E">
            <w:pPr>
              <w:pStyle w:val="ListParagraph"/>
              <w:numPr>
                <w:ilvl w:val="0"/>
                <w:numId w:val="2"/>
              </w:numPr>
              <w:rPr>
                <w:szCs w:val="24"/>
              </w:rPr>
            </w:pPr>
            <w:bookmarkStart w:id="2" w:name="_Hlk71890491"/>
            <w:r w:rsidRPr="00A86F42">
              <w:rPr>
                <w:szCs w:val="24"/>
              </w:rPr>
              <w:t xml:space="preserve">Estimated Number of </w:t>
            </w:r>
            <w:r w:rsidR="00E670A3">
              <w:rPr>
                <w:szCs w:val="24"/>
              </w:rPr>
              <w:t xml:space="preserve">Prevalent </w:t>
            </w:r>
            <w:r w:rsidRPr="00A86F42">
              <w:rPr>
                <w:szCs w:val="24"/>
              </w:rPr>
              <w:t>Individuals</w:t>
            </w:r>
            <w:r w:rsidR="00E670A3">
              <w:rPr>
                <w:szCs w:val="24"/>
              </w:rPr>
              <w:t xml:space="preserve"> by Age Category</w:t>
            </w:r>
            <w:r w:rsidRPr="00A86F42">
              <w:rPr>
                <w:szCs w:val="24"/>
              </w:rPr>
              <w:t xml:space="preserve"> for Selected Indicators </w:t>
            </w:r>
          </w:p>
          <w:bookmarkEnd w:id="2"/>
          <w:p w14:paraId="788D26A0" w14:textId="77777777" w:rsidR="00A86F42" w:rsidRPr="00A86F42" w:rsidRDefault="00A86F42" w:rsidP="009D304E">
            <w:pPr>
              <w:ind w:left="360"/>
              <w:rPr>
                <w:szCs w:val="24"/>
              </w:rPr>
            </w:pPr>
          </w:p>
        </w:tc>
      </w:tr>
      <w:tr w:rsidR="00A86F42" w:rsidRPr="00C83BD6" w14:paraId="67A2355C" w14:textId="77777777" w:rsidTr="009D304E">
        <w:trPr>
          <w:jc w:val="center"/>
        </w:trPr>
        <w:tc>
          <w:tcPr>
            <w:tcW w:w="9350" w:type="dxa"/>
          </w:tcPr>
          <w:p w14:paraId="2934BF78" w14:textId="77777777" w:rsidR="00A86F42" w:rsidRPr="00A86F42" w:rsidRDefault="00A86F42" w:rsidP="00130E39">
            <w:pPr>
              <w:pStyle w:val="ListParagraph"/>
              <w:numPr>
                <w:ilvl w:val="1"/>
                <w:numId w:val="5"/>
              </w:numPr>
              <w:rPr>
                <w:i/>
                <w:iCs/>
                <w:szCs w:val="24"/>
              </w:rPr>
            </w:pPr>
            <w:r w:rsidRPr="00A86F42">
              <w:rPr>
                <w:szCs w:val="24"/>
              </w:rPr>
              <w:t xml:space="preserve">Marijuana Use in the </w:t>
            </w:r>
            <w:r w:rsidRPr="00A86F42">
              <w:rPr>
                <w:i/>
                <w:iCs/>
                <w:szCs w:val="24"/>
              </w:rPr>
              <w:t>Past Month</w:t>
            </w:r>
          </w:p>
        </w:tc>
      </w:tr>
      <w:tr w:rsidR="00A86F42" w:rsidRPr="00C83BD6" w14:paraId="1466D983" w14:textId="77777777" w:rsidTr="009D304E">
        <w:trPr>
          <w:jc w:val="center"/>
        </w:trPr>
        <w:tc>
          <w:tcPr>
            <w:tcW w:w="9350" w:type="dxa"/>
          </w:tcPr>
          <w:p w14:paraId="54E5F14C" w14:textId="77777777" w:rsidR="00A86F42" w:rsidRPr="00A86F42" w:rsidRDefault="00A86F42" w:rsidP="00130E39">
            <w:pPr>
              <w:pStyle w:val="ListParagraph"/>
              <w:numPr>
                <w:ilvl w:val="1"/>
                <w:numId w:val="5"/>
              </w:numPr>
              <w:rPr>
                <w:szCs w:val="24"/>
              </w:rPr>
            </w:pPr>
            <w:r w:rsidRPr="00A86F42">
              <w:rPr>
                <w:szCs w:val="24"/>
              </w:rPr>
              <w:t xml:space="preserve">Any Illicit Drug Use in the </w:t>
            </w:r>
            <w:r w:rsidRPr="00A86F42">
              <w:rPr>
                <w:i/>
                <w:iCs/>
                <w:szCs w:val="24"/>
              </w:rPr>
              <w:t>Past Month</w:t>
            </w:r>
          </w:p>
        </w:tc>
      </w:tr>
      <w:tr w:rsidR="00A86F42" w:rsidRPr="00C83BD6" w14:paraId="1E168C31" w14:textId="77777777" w:rsidTr="009D304E">
        <w:trPr>
          <w:jc w:val="center"/>
        </w:trPr>
        <w:tc>
          <w:tcPr>
            <w:tcW w:w="9350" w:type="dxa"/>
          </w:tcPr>
          <w:p w14:paraId="48B33574" w14:textId="77777777" w:rsidR="00A86F42" w:rsidRPr="00A86F42" w:rsidRDefault="00A86F42" w:rsidP="00130E39">
            <w:pPr>
              <w:pStyle w:val="ListParagraph"/>
              <w:numPr>
                <w:ilvl w:val="1"/>
                <w:numId w:val="5"/>
              </w:numPr>
              <w:rPr>
                <w:szCs w:val="24"/>
              </w:rPr>
            </w:pPr>
            <w:r w:rsidRPr="00A86F42">
              <w:rPr>
                <w:szCs w:val="24"/>
              </w:rPr>
              <w:t xml:space="preserve">Illicit Drug Use Other Than Marijuana in the </w:t>
            </w:r>
            <w:r w:rsidRPr="00A86F42">
              <w:rPr>
                <w:i/>
                <w:iCs/>
                <w:szCs w:val="24"/>
              </w:rPr>
              <w:t>Past Month</w:t>
            </w:r>
          </w:p>
        </w:tc>
      </w:tr>
      <w:tr w:rsidR="00A86F42" w:rsidRPr="00064C3F" w14:paraId="27DCF4C1" w14:textId="77777777" w:rsidTr="009D304E">
        <w:trPr>
          <w:jc w:val="center"/>
        </w:trPr>
        <w:tc>
          <w:tcPr>
            <w:tcW w:w="9350" w:type="dxa"/>
          </w:tcPr>
          <w:p w14:paraId="620D009A" w14:textId="77777777" w:rsidR="00A86F42" w:rsidRPr="00A86F42" w:rsidRDefault="00A86F42" w:rsidP="00130E39">
            <w:pPr>
              <w:pStyle w:val="ListParagraph"/>
              <w:numPr>
                <w:ilvl w:val="1"/>
                <w:numId w:val="5"/>
              </w:numPr>
              <w:rPr>
                <w:szCs w:val="24"/>
              </w:rPr>
            </w:pPr>
            <w:r w:rsidRPr="00A86F42">
              <w:rPr>
                <w:szCs w:val="24"/>
              </w:rPr>
              <w:t xml:space="preserve">Cocaine Use in the </w:t>
            </w:r>
            <w:r w:rsidRPr="00A86F42">
              <w:rPr>
                <w:i/>
                <w:iCs/>
                <w:szCs w:val="24"/>
              </w:rPr>
              <w:t>Past Year</w:t>
            </w:r>
          </w:p>
        </w:tc>
      </w:tr>
      <w:tr w:rsidR="00A86F42" w:rsidRPr="00064C3F" w14:paraId="23641C86" w14:textId="77777777" w:rsidTr="009D304E">
        <w:trPr>
          <w:jc w:val="center"/>
        </w:trPr>
        <w:tc>
          <w:tcPr>
            <w:tcW w:w="9350" w:type="dxa"/>
          </w:tcPr>
          <w:p w14:paraId="62A65DAA" w14:textId="77777777" w:rsidR="00A86F42" w:rsidRPr="00A86F42" w:rsidRDefault="00A86F42" w:rsidP="00130E39">
            <w:pPr>
              <w:pStyle w:val="ListParagraph"/>
              <w:numPr>
                <w:ilvl w:val="1"/>
                <w:numId w:val="5"/>
              </w:numPr>
              <w:rPr>
                <w:szCs w:val="24"/>
              </w:rPr>
            </w:pPr>
            <w:r w:rsidRPr="00A86F42">
              <w:rPr>
                <w:szCs w:val="24"/>
              </w:rPr>
              <w:t xml:space="preserve">Methamphetamine Use in the </w:t>
            </w:r>
            <w:r w:rsidRPr="00A86F42">
              <w:rPr>
                <w:i/>
                <w:iCs/>
                <w:szCs w:val="24"/>
              </w:rPr>
              <w:t>Past Year</w:t>
            </w:r>
          </w:p>
        </w:tc>
      </w:tr>
      <w:tr w:rsidR="00A86F42" w:rsidRPr="00C83BD6" w14:paraId="6D6C8C1C" w14:textId="77777777" w:rsidTr="009D304E">
        <w:trPr>
          <w:jc w:val="center"/>
        </w:trPr>
        <w:tc>
          <w:tcPr>
            <w:tcW w:w="9350" w:type="dxa"/>
          </w:tcPr>
          <w:p w14:paraId="52A70B62" w14:textId="77777777" w:rsidR="00A86F42" w:rsidRPr="00A86F42" w:rsidRDefault="00A86F42" w:rsidP="00130E39">
            <w:pPr>
              <w:pStyle w:val="ListParagraph"/>
              <w:numPr>
                <w:ilvl w:val="1"/>
                <w:numId w:val="5"/>
              </w:numPr>
              <w:rPr>
                <w:szCs w:val="24"/>
              </w:rPr>
            </w:pPr>
            <w:r w:rsidRPr="00A86F42">
              <w:rPr>
                <w:szCs w:val="24"/>
              </w:rPr>
              <w:t xml:space="preserve">Heroin Use in the </w:t>
            </w:r>
            <w:r w:rsidRPr="00A86F42">
              <w:rPr>
                <w:i/>
                <w:iCs/>
                <w:szCs w:val="24"/>
              </w:rPr>
              <w:t>Past Year</w:t>
            </w:r>
          </w:p>
        </w:tc>
      </w:tr>
      <w:tr w:rsidR="00A86F42" w:rsidRPr="00C83BD6" w14:paraId="7D905F4F" w14:textId="77777777" w:rsidTr="009D304E">
        <w:trPr>
          <w:jc w:val="center"/>
        </w:trPr>
        <w:tc>
          <w:tcPr>
            <w:tcW w:w="9350" w:type="dxa"/>
          </w:tcPr>
          <w:p w14:paraId="78480262" w14:textId="77777777" w:rsidR="00A86F42" w:rsidRPr="00A86F42" w:rsidRDefault="00A86F42" w:rsidP="00130E39">
            <w:pPr>
              <w:pStyle w:val="ListParagraph"/>
              <w:numPr>
                <w:ilvl w:val="1"/>
                <w:numId w:val="5"/>
              </w:numPr>
              <w:rPr>
                <w:szCs w:val="24"/>
              </w:rPr>
            </w:pPr>
            <w:r w:rsidRPr="00A86F42">
              <w:rPr>
                <w:szCs w:val="24"/>
              </w:rPr>
              <w:t xml:space="preserve">Pain Reliever Misuse in the </w:t>
            </w:r>
            <w:r w:rsidRPr="00A86F42">
              <w:rPr>
                <w:i/>
                <w:iCs/>
                <w:szCs w:val="24"/>
              </w:rPr>
              <w:t>Past Year</w:t>
            </w:r>
          </w:p>
        </w:tc>
      </w:tr>
      <w:tr w:rsidR="00A86F42" w:rsidRPr="00C83BD6" w14:paraId="3287ACDF" w14:textId="77777777" w:rsidTr="009D304E">
        <w:trPr>
          <w:jc w:val="center"/>
        </w:trPr>
        <w:tc>
          <w:tcPr>
            <w:tcW w:w="9350" w:type="dxa"/>
          </w:tcPr>
          <w:p w14:paraId="26A567B1" w14:textId="77777777" w:rsidR="00A86F42" w:rsidRPr="00A86F42" w:rsidRDefault="00A86F42" w:rsidP="00130E39">
            <w:pPr>
              <w:pStyle w:val="ListParagraph"/>
              <w:numPr>
                <w:ilvl w:val="1"/>
                <w:numId w:val="5"/>
              </w:numPr>
              <w:rPr>
                <w:szCs w:val="24"/>
              </w:rPr>
            </w:pPr>
            <w:r w:rsidRPr="00A86F42">
              <w:rPr>
                <w:szCs w:val="24"/>
              </w:rPr>
              <w:t xml:space="preserve">Alcohol Use in the </w:t>
            </w:r>
            <w:r w:rsidRPr="00A86F42">
              <w:rPr>
                <w:i/>
                <w:iCs/>
                <w:szCs w:val="24"/>
              </w:rPr>
              <w:t>Past Month</w:t>
            </w:r>
          </w:p>
        </w:tc>
      </w:tr>
      <w:tr w:rsidR="00A86F42" w:rsidRPr="00C83BD6" w14:paraId="00298451" w14:textId="77777777" w:rsidTr="009D304E">
        <w:trPr>
          <w:jc w:val="center"/>
        </w:trPr>
        <w:tc>
          <w:tcPr>
            <w:tcW w:w="9350" w:type="dxa"/>
          </w:tcPr>
          <w:p w14:paraId="19FFAA00" w14:textId="77777777" w:rsidR="00A86F42" w:rsidRPr="00A86F42" w:rsidRDefault="00A86F42" w:rsidP="00130E39">
            <w:pPr>
              <w:pStyle w:val="ListParagraph"/>
              <w:numPr>
                <w:ilvl w:val="1"/>
                <w:numId w:val="5"/>
              </w:numPr>
              <w:rPr>
                <w:szCs w:val="24"/>
              </w:rPr>
            </w:pPr>
            <w:r w:rsidRPr="00A86F42">
              <w:rPr>
                <w:szCs w:val="24"/>
              </w:rPr>
              <w:t xml:space="preserve">Binge Alcohol Use in the </w:t>
            </w:r>
            <w:r w:rsidRPr="00A86F42">
              <w:rPr>
                <w:i/>
                <w:iCs/>
                <w:szCs w:val="24"/>
              </w:rPr>
              <w:t>Past Month</w:t>
            </w:r>
            <w:r w:rsidRPr="00A86F42">
              <w:rPr>
                <w:szCs w:val="24"/>
              </w:rPr>
              <w:t xml:space="preserve">  </w:t>
            </w:r>
          </w:p>
        </w:tc>
      </w:tr>
      <w:tr w:rsidR="00A86F42" w:rsidRPr="00C83BD6" w14:paraId="6498C204" w14:textId="77777777" w:rsidTr="009D304E">
        <w:trPr>
          <w:jc w:val="center"/>
        </w:trPr>
        <w:tc>
          <w:tcPr>
            <w:tcW w:w="9350" w:type="dxa"/>
          </w:tcPr>
          <w:p w14:paraId="53C5C162" w14:textId="77777777" w:rsidR="00A86F42" w:rsidRPr="00A86F42" w:rsidRDefault="00A86F42" w:rsidP="00130E39">
            <w:pPr>
              <w:pStyle w:val="ListParagraph"/>
              <w:numPr>
                <w:ilvl w:val="1"/>
                <w:numId w:val="5"/>
              </w:numPr>
              <w:rPr>
                <w:szCs w:val="24"/>
              </w:rPr>
            </w:pPr>
            <w:r w:rsidRPr="00A86F42">
              <w:rPr>
                <w:szCs w:val="24"/>
              </w:rPr>
              <w:t xml:space="preserve">Tobacco Product Use in the </w:t>
            </w:r>
            <w:r w:rsidRPr="00A86F42">
              <w:rPr>
                <w:i/>
                <w:iCs/>
                <w:szCs w:val="24"/>
              </w:rPr>
              <w:t>Past Month</w:t>
            </w:r>
            <w:r w:rsidRPr="00A86F42">
              <w:rPr>
                <w:szCs w:val="24"/>
              </w:rPr>
              <w:t xml:space="preserve">  </w:t>
            </w:r>
          </w:p>
        </w:tc>
      </w:tr>
      <w:tr w:rsidR="00A86F42" w:rsidRPr="00C83BD6" w14:paraId="6F3FC787" w14:textId="77777777" w:rsidTr="009D304E">
        <w:trPr>
          <w:jc w:val="center"/>
        </w:trPr>
        <w:tc>
          <w:tcPr>
            <w:tcW w:w="9350" w:type="dxa"/>
          </w:tcPr>
          <w:p w14:paraId="5357ED84" w14:textId="77777777" w:rsidR="00A86F42" w:rsidRPr="00A86F42" w:rsidRDefault="00A86F42" w:rsidP="00130E39">
            <w:pPr>
              <w:pStyle w:val="ListParagraph"/>
              <w:numPr>
                <w:ilvl w:val="1"/>
                <w:numId w:val="5"/>
              </w:numPr>
              <w:rPr>
                <w:szCs w:val="24"/>
              </w:rPr>
            </w:pPr>
            <w:r w:rsidRPr="00A86F42">
              <w:rPr>
                <w:szCs w:val="24"/>
              </w:rPr>
              <w:t xml:space="preserve">Cigarette Use in the </w:t>
            </w:r>
            <w:r w:rsidRPr="00A86F42">
              <w:rPr>
                <w:i/>
                <w:iCs/>
                <w:szCs w:val="24"/>
              </w:rPr>
              <w:t>Past Month</w:t>
            </w:r>
          </w:p>
        </w:tc>
      </w:tr>
      <w:tr w:rsidR="00A86F42" w:rsidRPr="00C83BD6" w14:paraId="4AFD66AC" w14:textId="77777777" w:rsidTr="009D304E">
        <w:trPr>
          <w:jc w:val="center"/>
        </w:trPr>
        <w:tc>
          <w:tcPr>
            <w:tcW w:w="9350" w:type="dxa"/>
          </w:tcPr>
          <w:p w14:paraId="7CD6796E" w14:textId="77777777" w:rsidR="00A86F42" w:rsidRPr="00A86F42" w:rsidRDefault="00A86F42" w:rsidP="00130E39">
            <w:pPr>
              <w:pStyle w:val="ListParagraph"/>
              <w:numPr>
                <w:ilvl w:val="1"/>
                <w:numId w:val="5"/>
              </w:numPr>
              <w:rPr>
                <w:szCs w:val="24"/>
              </w:rPr>
            </w:pPr>
            <w:r w:rsidRPr="00A86F42">
              <w:rPr>
                <w:szCs w:val="24"/>
              </w:rPr>
              <w:t xml:space="preserve">Substance Use Disorder (SUD) in the </w:t>
            </w:r>
            <w:r w:rsidRPr="00A86F42">
              <w:rPr>
                <w:i/>
                <w:iCs/>
                <w:szCs w:val="24"/>
              </w:rPr>
              <w:t>Past Year</w:t>
            </w:r>
          </w:p>
        </w:tc>
      </w:tr>
      <w:tr w:rsidR="00A86F42" w:rsidRPr="00C83BD6" w14:paraId="45356007" w14:textId="77777777" w:rsidTr="009D304E">
        <w:trPr>
          <w:jc w:val="center"/>
        </w:trPr>
        <w:tc>
          <w:tcPr>
            <w:tcW w:w="9350" w:type="dxa"/>
          </w:tcPr>
          <w:p w14:paraId="7658BC1B" w14:textId="77777777" w:rsidR="00A86F42" w:rsidRPr="00A86F42" w:rsidRDefault="00A86F42" w:rsidP="00130E39">
            <w:pPr>
              <w:pStyle w:val="ListParagraph"/>
              <w:numPr>
                <w:ilvl w:val="1"/>
                <w:numId w:val="5"/>
              </w:numPr>
              <w:rPr>
                <w:szCs w:val="24"/>
              </w:rPr>
            </w:pPr>
            <w:r w:rsidRPr="00A86F42">
              <w:rPr>
                <w:szCs w:val="24"/>
              </w:rPr>
              <w:t xml:space="preserve">Alcohol Use Disorder in the </w:t>
            </w:r>
            <w:r w:rsidRPr="00A86F42">
              <w:rPr>
                <w:i/>
                <w:iCs/>
                <w:szCs w:val="24"/>
              </w:rPr>
              <w:t>Past Year</w:t>
            </w:r>
          </w:p>
        </w:tc>
      </w:tr>
      <w:tr w:rsidR="00A86F42" w:rsidRPr="00C83BD6" w14:paraId="5F61E045" w14:textId="77777777" w:rsidTr="009D304E">
        <w:trPr>
          <w:jc w:val="center"/>
        </w:trPr>
        <w:tc>
          <w:tcPr>
            <w:tcW w:w="9350" w:type="dxa"/>
          </w:tcPr>
          <w:p w14:paraId="2BB1CF13" w14:textId="77777777" w:rsidR="00A86F42" w:rsidRPr="00A86F42" w:rsidRDefault="00A86F42" w:rsidP="00130E39">
            <w:pPr>
              <w:pStyle w:val="ListParagraph"/>
              <w:numPr>
                <w:ilvl w:val="1"/>
                <w:numId w:val="5"/>
              </w:numPr>
              <w:rPr>
                <w:szCs w:val="24"/>
              </w:rPr>
            </w:pPr>
            <w:r w:rsidRPr="00A86F42">
              <w:rPr>
                <w:szCs w:val="24"/>
              </w:rPr>
              <w:t xml:space="preserve">Illicit Drug Use Disorder in the </w:t>
            </w:r>
            <w:r w:rsidRPr="00A86F42">
              <w:rPr>
                <w:i/>
                <w:iCs/>
                <w:szCs w:val="24"/>
              </w:rPr>
              <w:t>Past Year</w:t>
            </w:r>
          </w:p>
        </w:tc>
      </w:tr>
      <w:tr w:rsidR="00A86F42" w:rsidRPr="00C83BD6" w14:paraId="2CFD0309" w14:textId="77777777" w:rsidTr="009D304E">
        <w:trPr>
          <w:jc w:val="center"/>
        </w:trPr>
        <w:tc>
          <w:tcPr>
            <w:tcW w:w="9350" w:type="dxa"/>
          </w:tcPr>
          <w:p w14:paraId="48E5A523" w14:textId="77777777" w:rsidR="00A86F42" w:rsidRPr="00A86F42" w:rsidRDefault="00A86F42" w:rsidP="00130E39">
            <w:pPr>
              <w:pStyle w:val="ListParagraph"/>
              <w:numPr>
                <w:ilvl w:val="1"/>
                <w:numId w:val="5"/>
              </w:numPr>
              <w:rPr>
                <w:szCs w:val="24"/>
              </w:rPr>
            </w:pPr>
            <w:r w:rsidRPr="00A86F42">
              <w:rPr>
                <w:szCs w:val="24"/>
              </w:rPr>
              <w:t xml:space="preserve">Pain Reliever Use Disorder in the </w:t>
            </w:r>
            <w:r w:rsidRPr="00A86F42">
              <w:rPr>
                <w:i/>
                <w:iCs/>
                <w:szCs w:val="24"/>
              </w:rPr>
              <w:t>Past Year</w:t>
            </w:r>
          </w:p>
        </w:tc>
      </w:tr>
      <w:tr w:rsidR="00A86F42" w:rsidRPr="00C83BD6" w14:paraId="6592E6E0" w14:textId="77777777" w:rsidTr="009D304E">
        <w:trPr>
          <w:jc w:val="center"/>
        </w:trPr>
        <w:tc>
          <w:tcPr>
            <w:tcW w:w="9350" w:type="dxa"/>
          </w:tcPr>
          <w:p w14:paraId="016A4983" w14:textId="4D1DAF9D" w:rsidR="00A86F42" w:rsidRPr="00A86F42" w:rsidRDefault="00A86F42" w:rsidP="00130E39">
            <w:pPr>
              <w:pStyle w:val="ListParagraph"/>
              <w:numPr>
                <w:ilvl w:val="1"/>
                <w:numId w:val="5"/>
              </w:numPr>
              <w:rPr>
                <w:szCs w:val="24"/>
              </w:rPr>
            </w:pPr>
            <w:r w:rsidRPr="00A86F42">
              <w:rPr>
                <w:szCs w:val="24"/>
              </w:rPr>
              <w:t xml:space="preserve">Needing but Not Receiving Treatment at a Specialty Facility for Substance Use in the </w:t>
            </w:r>
            <w:r w:rsidRPr="00A86F42">
              <w:rPr>
                <w:i/>
                <w:iCs/>
                <w:szCs w:val="24"/>
              </w:rPr>
              <w:t>Past Year</w:t>
            </w:r>
          </w:p>
        </w:tc>
      </w:tr>
      <w:tr w:rsidR="00A86F42" w:rsidRPr="00C83BD6" w14:paraId="31D817FD" w14:textId="77777777" w:rsidTr="009D304E">
        <w:trPr>
          <w:jc w:val="center"/>
        </w:trPr>
        <w:tc>
          <w:tcPr>
            <w:tcW w:w="9350" w:type="dxa"/>
          </w:tcPr>
          <w:p w14:paraId="4FB019BC" w14:textId="67EF89F9" w:rsidR="00A86F42" w:rsidRPr="00A86F42" w:rsidRDefault="00A86F42" w:rsidP="00130E39">
            <w:pPr>
              <w:pStyle w:val="ListParagraph"/>
              <w:numPr>
                <w:ilvl w:val="1"/>
                <w:numId w:val="5"/>
              </w:numPr>
              <w:rPr>
                <w:szCs w:val="24"/>
              </w:rPr>
            </w:pPr>
            <w:r w:rsidRPr="00A86F42">
              <w:rPr>
                <w:szCs w:val="24"/>
              </w:rPr>
              <w:t xml:space="preserve">Needing but Not Receiving Treatment at a Specialty Facility for Alcohol Use in the </w:t>
            </w:r>
            <w:r w:rsidRPr="00A86F42">
              <w:rPr>
                <w:i/>
                <w:iCs/>
                <w:szCs w:val="24"/>
              </w:rPr>
              <w:t>Past Year</w:t>
            </w:r>
          </w:p>
        </w:tc>
      </w:tr>
      <w:tr w:rsidR="00A86F42" w:rsidRPr="00C83BD6" w14:paraId="5B1A52F2" w14:textId="77777777" w:rsidTr="009D304E">
        <w:trPr>
          <w:jc w:val="center"/>
        </w:trPr>
        <w:tc>
          <w:tcPr>
            <w:tcW w:w="9350" w:type="dxa"/>
          </w:tcPr>
          <w:p w14:paraId="4A1D24D1" w14:textId="1AC4B144" w:rsidR="00A86F42" w:rsidRPr="00A86F42" w:rsidRDefault="00A86F42" w:rsidP="00130E39">
            <w:pPr>
              <w:pStyle w:val="ListParagraph"/>
              <w:numPr>
                <w:ilvl w:val="1"/>
                <w:numId w:val="5"/>
              </w:numPr>
              <w:rPr>
                <w:szCs w:val="24"/>
              </w:rPr>
            </w:pPr>
            <w:r w:rsidRPr="00A86F42">
              <w:rPr>
                <w:szCs w:val="24"/>
              </w:rPr>
              <w:t xml:space="preserve">Needing but Not Receiving Treatment at a Specialty Facility for Illicit Drug Use in the </w:t>
            </w:r>
            <w:r w:rsidRPr="00A86F42">
              <w:rPr>
                <w:i/>
                <w:iCs/>
                <w:szCs w:val="24"/>
              </w:rPr>
              <w:t>Past Year</w:t>
            </w:r>
          </w:p>
        </w:tc>
      </w:tr>
      <w:tr w:rsidR="00A86F42" w:rsidRPr="00C83BD6" w14:paraId="6C2A35C6" w14:textId="77777777" w:rsidTr="009D304E">
        <w:trPr>
          <w:jc w:val="center"/>
        </w:trPr>
        <w:tc>
          <w:tcPr>
            <w:tcW w:w="9350" w:type="dxa"/>
          </w:tcPr>
          <w:p w14:paraId="1BECF2C5" w14:textId="77777777" w:rsidR="00A86F42" w:rsidRPr="00A86F42" w:rsidRDefault="00A86F42" w:rsidP="00130E39">
            <w:pPr>
              <w:pStyle w:val="ListParagraph"/>
              <w:numPr>
                <w:ilvl w:val="1"/>
                <w:numId w:val="5"/>
              </w:numPr>
              <w:rPr>
                <w:szCs w:val="24"/>
              </w:rPr>
            </w:pPr>
            <w:r w:rsidRPr="00A86F42">
              <w:rPr>
                <w:szCs w:val="24"/>
              </w:rPr>
              <w:t xml:space="preserve">Any Mental Illness in the </w:t>
            </w:r>
            <w:r w:rsidRPr="00A86F42">
              <w:rPr>
                <w:i/>
                <w:iCs/>
                <w:szCs w:val="24"/>
              </w:rPr>
              <w:t>Past Year</w:t>
            </w:r>
          </w:p>
        </w:tc>
      </w:tr>
      <w:tr w:rsidR="00A86F42" w:rsidRPr="00C83BD6" w14:paraId="6BC1982D" w14:textId="77777777" w:rsidTr="009D304E">
        <w:trPr>
          <w:jc w:val="center"/>
        </w:trPr>
        <w:tc>
          <w:tcPr>
            <w:tcW w:w="9350" w:type="dxa"/>
          </w:tcPr>
          <w:p w14:paraId="2A5DCE57" w14:textId="77777777" w:rsidR="00A86F42" w:rsidRPr="00A86F42" w:rsidRDefault="00A86F42" w:rsidP="00130E39">
            <w:pPr>
              <w:pStyle w:val="ListParagraph"/>
              <w:numPr>
                <w:ilvl w:val="1"/>
                <w:numId w:val="5"/>
              </w:numPr>
              <w:rPr>
                <w:szCs w:val="24"/>
              </w:rPr>
            </w:pPr>
            <w:r w:rsidRPr="00A86F42">
              <w:rPr>
                <w:szCs w:val="24"/>
              </w:rPr>
              <w:t xml:space="preserve">Serious Mental Illness in the </w:t>
            </w:r>
            <w:r w:rsidRPr="00A86F42">
              <w:rPr>
                <w:i/>
                <w:iCs/>
                <w:szCs w:val="24"/>
              </w:rPr>
              <w:t>Past Year</w:t>
            </w:r>
          </w:p>
        </w:tc>
      </w:tr>
      <w:tr w:rsidR="00A86F42" w:rsidRPr="00C83BD6" w14:paraId="4AC6AA14" w14:textId="77777777" w:rsidTr="009D304E">
        <w:trPr>
          <w:jc w:val="center"/>
        </w:trPr>
        <w:tc>
          <w:tcPr>
            <w:tcW w:w="9350" w:type="dxa"/>
          </w:tcPr>
          <w:p w14:paraId="7CF7D581" w14:textId="77777777" w:rsidR="00A86F42" w:rsidRPr="00A86F42" w:rsidRDefault="00A86F42" w:rsidP="00130E39">
            <w:pPr>
              <w:pStyle w:val="ListParagraph"/>
              <w:numPr>
                <w:ilvl w:val="1"/>
                <w:numId w:val="5"/>
              </w:numPr>
              <w:rPr>
                <w:szCs w:val="24"/>
              </w:rPr>
            </w:pPr>
            <w:r w:rsidRPr="00A86F42">
              <w:rPr>
                <w:szCs w:val="24"/>
              </w:rPr>
              <w:t xml:space="preserve">Received Mental Health Services in the </w:t>
            </w:r>
            <w:r w:rsidRPr="00A86F42">
              <w:rPr>
                <w:i/>
                <w:iCs/>
                <w:szCs w:val="24"/>
              </w:rPr>
              <w:t>Past Year</w:t>
            </w:r>
          </w:p>
        </w:tc>
      </w:tr>
      <w:tr w:rsidR="00A86F42" w:rsidRPr="00C83BD6" w14:paraId="7FF3BE95" w14:textId="77777777" w:rsidTr="009D304E">
        <w:trPr>
          <w:jc w:val="center"/>
        </w:trPr>
        <w:tc>
          <w:tcPr>
            <w:tcW w:w="9350" w:type="dxa"/>
          </w:tcPr>
          <w:p w14:paraId="4277909D" w14:textId="77777777" w:rsidR="00A86F42" w:rsidRPr="00A86F42" w:rsidRDefault="00A86F42" w:rsidP="00130E39">
            <w:pPr>
              <w:pStyle w:val="ListParagraph"/>
              <w:numPr>
                <w:ilvl w:val="1"/>
                <w:numId w:val="5"/>
              </w:numPr>
              <w:rPr>
                <w:szCs w:val="24"/>
              </w:rPr>
            </w:pPr>
            <w:r w:rsidRPr="00A86F42">
              <w:rPr>
                <w:szCs w:val="24"/>
              </w:rPr>
              <w:t xml:space="preserve">Major Depressive Episode in the </w:t>
            </w:r>
            <w:r w:rsidRPr="00A86F42">
              <w:rPr>
                <w:i/>
                <w:iCs/>
                <w:szCs w:val="24"/>
              </w:rPr>
              <w:t>Past Year</w:t>
            </w:r>
          </w:p>
        </w:tc>
      </w:tr>
      <w:tr w:rsidR="00A86F42" w:rsidRPr="00C83BD6" w14:paraId="5C4EE4F3" w14:textId="77777777" w:rsidTr="009D304E">
        <w:trPr>
          <w:jc w:val="center"/>
        </w:trPr>
        <w:tc>
          <w:tcPr>
            <w:tcW w:w="9350" w:type="dxa"/>
          </w:tcPr>
          <w:p w14:paraId="44E35B61" w14:textId="77777777" w:rsidR="00A86F42" w:rsidRPr="00A86F42" w:rsidRDefault="00A86F42" w:rsidP="00130E39">
            <w:pPr>
              <w:pStyle w:val="ListParagraph"/>
              <w:numPr>
                <w:ilvl w:val="1"/>
                <w:numId w:val="5"/>
              </w:numPr>
              <w:rPr>
                <w:szCs w:val="24"/>
              </w:rPr>
            </w:pPr>
            <w:r w:rsidRPr="00A86F42">
              <w:rPr>
                <w:szCs w:val="24"/>
              </w:rPr>
              <w:t>Had Serious Thoughts of Suicide in the Past Year</w:t>
            </w:r>
          </w:p>
          <w:p w14:paraId="61357ED0" w14:textId="77777777" w:rsidR="00A86F42" w:rsidRPr="00A86F42" w:rsidRDefault="00A86F42" w:rsidP="009D304E">
            <w:pPr>
              <w:ind w:left="1080"/>
              <w:rPr>
                <w:szCs w:val="24"/>
              </w:rPr>
            </w:pPr>
          </w:p>
        </w:tc>
      </w:tr>
      <w:tr w:rsidR="00A86F42" w:rsidRPr="00C83BD6" w14:paraId="24815877" w14:textId="77777777" w:rsidTr="009D304E">
        <w:trPr>
          <w:jc w:val="center"/>
        </w:trPr>
        <w:tc>
          <w:tcPr>
            <w:tcW w:w="9350" w:type="dxa"/>
          </w:tcPr>
          <w:p w14:paraId="53BC044B" w14:textId="77777777" w:rsidR="00A86F42" w:rsidRDefault="00A86F42" w:rsidP="009D304E">
            <w:pPr>
              <w:pStyle w:val="ListParagraph"/>
              <w:numPr>
                <w:ilvl w:val="0"/>
                <w:numId w:val="2"/>
              </w:numPr>
              <w:rPr>
                <w:szCs w:val="24"/>
              </w:rPr>
            </w:pPr>
            <w:r w:rsidRPr="00A86F42">
              <w:rPr>
                <w:szCs w:val="24"/>
              </w:rPr>
              <w:t>Appendix A: Most Current Population Estimate, July 1, 2019</w:t>
            </w:r>
          </w:p>
          <w:p w14:paraId="59B233FD" w14:textId="04E863FF" w:rsidR="00AD6E0A" w:rsidRPr="00A86F42" w:rsidRDefault="00AD6E0A" w:rsidP="009D304E">
            <w:pPr>
              <w:pStyle w:val="ListParagraph"/>
              <w:numPr>
                <w:ilvl w:val="0"/>
                <w:numId w:val="2"/>
              </w:numPr>
              <w:rPr>
                <w:szCs w:val="24"/>
              </w:rPr>
            </w:pPr>
            <w:r>
              <w:rPr>
                <w:szCs w:val="24"/>
              </w:rPr>
              <w:t>Appendix B: Comparison of Certain Prevalence Rates for Adolescents between the National Survey on Drug Use (NSDUH) and Health and the Louisiana Caring Communities Youth Survey (CCYS)</w:t>
            </w:r>
          </w:p>
        </w:tc>
      </w:tr>
    </w:tbl>
    <w:p w14:paraId="398673CE" w14:textId="06D12C16" w:rsidR="009509D8" w:rsidRDefault="009509D8" w:rsidP="004E64EA"/>
    <w:p w14:paraId="21950C2E" w14:textId="6E00FF6C" w:rsidR="00A86F42" w:rsidRDefault="00A86F42" w:rsidP="004E64EA"/>
    <w:p w14:paraId="3753D3B6" w14:textId="77777777" w:rsidR="00A86F42" w:rsidRDefault="00A86F42" w:rsidP="004E64EA"/>
    <w:p w14:paraId="4A6AD8EB" w14:textId="77777777" w:rsidR="00A86F42" w:rsidRPr="00AE37FE" w:rsidRDefault="009509D8" w:rsidP="009509D8">
      <w:pPr>
        <w:rPr>
          <w:u w:val="single"/>
        </w:rPr>
      </w:pPr>
      <w:r w:rsidRPr="00AE37FE">
        <w:rPr>
          <w:u w:val="single"/>
        </w:rPr>
        <w:t xml:space="preserve">Suggested citation: </w:t>
      </w:r>
    </w:p>
    <w:p w14:paraId="59B6BB91" w14:textId="191D9CD6" w:rsidR="00A86F42" w:rsidRDefault="009509D8" w:rsidP="009509D8">
      <w:bookmarkStart w:id="3" w:name="_Hlk72101994"/>
      <w:r>
        <w:t xml:space="preserve">Gallati, R. </w:t>
      </w:r>
      <w:r w:rsidRPr="009509D8">
        <w:rPr>
          <w:i/>
          <w:iCs/>
        </w:rPr>
        <w:t>Data Book for Greater New Orleans: Population Prevalence Estimates for July 2019</w:t>
      </w:r>
      <w:r w:rsidR="00A86F42">
        <w:t>,</w:t>
      </w:r>
      <w:r>
        <w:t xml:space="preserve"> Greater New Orleans Drug Demand Reduction Coalition, </w:t>
      </w:r>
      <w:r w:rsidR="00E766F3">
        <w:t>May</w:t>
      </w:r>
      <w:r>
        <w:t xml:space="preserve"> 2021</w:t>
      </w:r>
      <w:r w:rsidR="00A86F42">
        <w:t xml:space="preserve">, available at </w:t>
      </w:r>
      <w:hyperlink r:id="rId9" w:history="1">
        <w:r w:rsidR="00A86F42" w:rsidRPr="00817A5A">
          <w:rPr>
            <w:rStyle w:val="Hyperlink"/>
          </w:rPr>
          <w:t>http://arc-associates.net/data_resources/nsduh</w:t>
        </w:r>
      </w:hyperlink>
      <w:r w:rsidR="00A86F42">
        <w:t>.</w:t>
      </w:r>
      <w:bookmarkEnd w:id="3"/>
    </w:p>
    <w:p w14:paraId="6ACCD83E" w14:textId="77777777" w:rsidR="005F64CF" w:rsidRDefault="005F64CF" w:rsidP="009509D8"/>
    <w:p w14:paraId="5DEBA908" w14:textId="62F4F7A1" w:rsidR="009509D8" w:rsidRPr="009509D8" w:rsidRDefault="009509D8" w:rsidP="009509D8">
      <w:pPr>
        <w:sectPr w:rsidR="009509D8" w:rsidRPr="009509D8" w:rsidSect="001B1808">
          <w:pgSz w:w="12240" w:h="15840" w:code="1"/>
          <w:pgMar w:top="1440" w:right="1440" w:bottom="1440" w:left="1440" w:header="720" w:footer="720" w:gutter="0"/>
          <w:pgNumType w:fmt="lowerRoman"/>
          <w:cols w:space="720"/>
        </w:sectPr>
      </w:pPr>
    </w:p>
    <w:p w14:paraId="3731601C" w14:textId="77777777" w:rsidR="001B1808" w:rsidRDefault="004E64EA" w:rsidP="001B1808">
      <w:pPr>
        <w:jc w:val="center"/>
        <w:rPr>
          <w:b/>
          <w:bCs/>
        </w:rPr>
      </w:pPr>
      <w:r w:rsidRPr="00A86F42">
        <w:rPr>
          <w:b/>
          <w:bCs/>
          <w:szCs w:val="24"/>
        </w:rPr>
        <w:lastRenderedPageBreak/>
        <w:t xml:space="preserve"> </w:t>
      </w:r>
      <w:r w:rsidR="001B1808" w:rsidRPr="009F258D">
        <w:rPr>
          <w:b/>
          <w:bCs/>
        </w:rPr>
        <w:t>National Survey of Drug Use and Health</w:t>
      </w:r>
      <w:r w:rsidR="001B1808">
        <w:rPr>
          <w:b/>
          <w:bCs/>
        </w:rPr>
        <w:t xml:space="preserve"> (2016-2018)</w:t>
      </w:r>
    </w:p>
    <w:p w14:paraId="7C40E809" w14:textId="77777777" w:rsidR="001B1808" w:rsidRPr="006221AA" w:rsidRDefault="001B1808" w:rsidP="001B1808">
      <w:pPr>
        <w:jc w:val="center"/>
        <w:rPr>
          <w:b/>
          <w:bCs/>
          <w:sz w:val="28"/>
          <w:szCs w:val="28"/>
        </w:rPr>
      </w:pPr>
      <w:r w:rsidRPr="006221AA">
        <w:rPr>
          <w:b/>
          <w:bCs/>
          <w:sz w:val="28"/>
          <w:szCs w:val="28"/>
        </w:rPr>
        <w:t>Data Book for Greater New Orleans:</w:t>
      </w:r>
    </w:p>
    <w:p w14:paraId="6112A79D" w14:textId="77777777" w:rsidR="001B1808" w:rsidRPr="009F258D" w:rsidRDefault="001B1808" w:rsidP="001B1808">
      <w:pPr>
        <w:jc w:val="center"/>
        <w:rPr>
          <w:b/>
          <w:bCs/>
        </w:rPr>
      </w:pPr>
      <w:r>
        <w:rPr>
          <w:b/>
          <w:bCs/>
        </w:rPr>
        <w:t xml:space="preserve">Population </w:t>
      </w:r>
      <w:r w:rsidRPr="009F258D">
        <w:rPr>
          <w:b/>
          <w:bCs/>
        </w:rPr>
        <w:t xml:space="preserve">Prevalence Estimates for </w:t>
      </w:r>
      <w:r>
        <w:rPr>
          <w:b/>
          <w:bCs/>
        </w:rPr>
        <w:t>July 2019</w:t>
      </w:r>
    </w:p>
    <w:p w14:paraId="3B256540" w14:textId="23B5261A" w:rsidR="004002CB" w:rsidRPr="00A86F42" w:rsidRDefault="004002CB" w:rsidP="001B1808">
      <w:pPr>
        <w:jc w:val="center"/>
        <w:rPr>
          <w:b/>
          <w:bCs/>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360"/>
      </w:tblGrid>
      <w:tr w:rsidR="00740B9F" w:rsidRPr="00740B9F" w14:paraId="7BA622CE" w14:textId="77777777" w:rsidTr="00740B9F">
        <w:trPr>
          <w:gridAfter w:val="1"/>
          <w:wAfter w:w="360" w:type="dxa"/>
          <w:jc w:val="center"/>
        </w:trPr>
        <w:tc>
          <w:tcPr>
            <w:tcW w:w="8185" w:type="dxa"/>
          </w:tcPr>
          <w:p w14:paraId="13D5C4EE" w14:textId="77777777" w:rsidR="00165A84" w:rsidRDefault="00740B9F" w:rsidP="00165A84">
            <w:pPr>
              <w:jc w:val="center"/>
              <w:rPr>
                <w:szCs w:val="24"/>
              </w:rPr>
            </w:pPr>
            <w:r w:rsidRPr="00740B9F">
              <w:rPr>
                <w:szCs w:val="24"/>
              </w:rPr>
              <w:t xml:space="preserve">Statewide, Greater New Orleans, the Metropolitan District, Orleans Parish, </w:t>
            </w:r>
          </w:p>
          <w:p w14:paraId="46FD39FB" w14:textId="05B5E39D" w:rsidR="00740B9F" w:rsidRPr="00740B9F" w:rsidRDefault="00740B9F" w:rsidP="00165A84">
            <w:pPr>
              <w:jc w:val="center"/>
              <w:rPr>
                <w:szCs w:val="24"/>
              </w:rPr>
            </w:pPr>
            <w:r w:rsidRPr="00740B9F">
              <w:rPr>
                <w:szCs w:val="24"/>
              </w:rPr>
              <w:t>St. Bernard Parish</w:t>
            </w:r>
            <w:r w:rsidR="00A86F42">
              <w:rPr>
                <w:szCs w:val="24"/>
              </w:rPr>
              <w:t>,</w:t>
            </w:r>
            <w:r w:rsidRPr="00740B9F">
              <w:rPr>
                <w:szCs w:val="24"/>
              </w:rPr>
              <w:t xml:space="preserve"> Plaquemines Parish </w:t>
            </w:r>
            <w:r w:rsidR="00A86F42">
              <w:rPr>
                <w:szCs w:val="24"/>
              </w:rPr>
              <w:t>and</w:t>
            </w:r>
            <w:r w:rsidRPr="00740B9F">
              <w:rPr>
                <w:szCs w:val="24"/>
              </w:rPr>
              <w:t xml:space="preserve"> Jefferson Parish </w:t>
            </w:r>
          </w:p>
        </w:tc>
      </w:tr>
      <w:tr w:rsidR="004002CB" w:rsidRPr="004002CB" w14:paraId="5A1F9BD8" w14:textId="77777777" w:rsidTr="00740B9F">
        <w:trPr>
          <w:jc w:val="center"/>
        </w:trPr>
        <w:tc>
          <w:tcPr>
            <w:tcW w:w="8545" w:type="dxa"/>
            <w:gridSpan w:val="2"/>
            <w:shd w:val="clear" w:color="auto" w:fill="auto"/>
          </w:tcPr>
          <w:p w14:paraId="7082846F" w14:textId="4930CC07" w:rsidR="004002CB" w:rsidRPr="004002CB" w:rsidRDefault="004002CB" w:rsidP="00A31AE9">
            <w:pPr>
              <w:rPr>
                <w:b/>
                <w:bCs/>
                <w:i/>
                <w:iCs/>
              </w:rPr>
            </w:pPr>
            <w:bookmarkStart w:id="4" w:name="_Hlk71883784"/>
          </w:p>
        </w:tc>
      </w:tr>
    </w:tbl>
    <w:bookmarkEnd w:id="4"/>
    <w:p w14:paraId="565B79BD" w14:textId="7480573D" w:rsidR="00240F05" w:rsidRPr="001B1808" w:rsidRDefault="001B1808">
      <w:pPr>
        <w:rPr>
          <w:b/>
          <w:bCs/>
        </w:rPr>
      </w:pPr>
      <w:r w:rsidRPr="001B1808">
        <w:rPr>
          <w:b/>
          <w:bCs/>
        </w:rPr>
        <w:t>Background and Methodology</w:t>
      </w:r>
    </w:p>
    <w:p w14:paraId="7A9FB46B" w14:textId="77777777" w:rsidR="001B1808" w:rsidRDefault="001B1808"/>
    <w:p w14:paraId="6199BA77" w14:textId="40C6F1CD" w:rsidR="005D3839" w:rsidRDefault="009F258D">
      <w:r>
        <w:t xml:space="preserve">The National Survey on Drug Use and Health (NSDUH) provides “small area” prevalence estimates on 30 indicators for </w:t>
      </w:r>
      <w:r w:rsidR="008D7167">
        <w:t>areas designated by the state authorities.</w:t>
      </w:r>
      <w:r w:rsidR="00BC7D2F">
        <w:rPr>
          <w:rStyle w:val="FootnoteReference"/>
        </w:rPr>
        <w:footnoteReference w:id="1"/>
      </w:r>
      <w:r w:rsidR="008D7167">
        <w:t xml:space="preserve"> </w:t>
      </w:r>
      <w:r w:rsidR="005D3839">
        <w:t xml:space="preserve">The local planning areas designated for Louisiana include Greater New Orleans (the 4 parishes), </w:t>
      </w:r>
      <w:r w:rsidR="001B1808">
        <w:t>t</w:t>
      </w:r>
      <w:r w:rsidR="005D3839">
        <w:t xml:space="preserve">he Metropolitan Human Services District (consisting of Orleans, St. </w:t>
      </w:r>
      <w:proofErr w:type="gramStart"/>
      <w:r w:rsidR="005D3839">
        <w:t>Bernard</w:t>
      </w:r>
      <w:proofErr w:type="gramEnd"/>
      <w:r w:rsidR="005D3839">
        <w:t xml:space="preserve"> and Plaquemines parishes) and Jefferson Parish.</w:t>
      </w:r>
    </w:p>
    <w:p w14:paraId="22FDB0F3" w14:textId="7177CB4B" w:rsidR="004419B8" w:rsidRDefault="004419B8"/>
    <w:p w14:paraId="7921374D" w14:textId="7DDC6581" w:rsidR="00667FE5" w:rsidRDefault="004419B8" w:rsidP="00667FE5">
      <w:bookmarkStart w:id="5" w:name="_Hlk58483434"/>
      <w:r>
        <w:t>The goal</w:t>
      </w:r>
      <w:r w:rsidR="00F6197C">
        <w:t>s</w:t>
      </w:r>
      <w:r>
        <w:t xml:space="preserve"> of this Data Book </w:t>
      </w:r>
      <w:r w:rsidR="00C77374">
        <w:t>are</w:t>
      </w:r>
      <w:r>
        <w:t xml:space="preserve"> to make</w:t>
      </w:r>
      <w:r w:rsidR="00667FE5">
        <w:t xml:space="preserve"> the most recent</w:t>
      </w:r>
      <w:r>
        <w:t xml:space="preserve"> local NSDUH prevalen</w:t>
      </w:r>
      <w:r w:rsidR="00F6197C">
        <w:t>ce</w:t>
      </w:r>
      <w:r>
        <w:t xml:space="preserve"> rate estimates more easily available and to provide</w:t>
      </w:r>
      <w:r w:rsidR="00667FE5">
        <w:t xml:space="preserve"> corresponding estimates of the number of individuals using substances, experiencing substance use disorders (SUDs), needing but not receiving treatment, and experiencing a mental health problems, for the smallest </w:t>
      </w:r>
      <w:r w:rsidR="00F6197C">
        <w:t xml:space="preserve">planning </w:t>
      </w:r>
      <w:r w:rsidR="00667FE5">
        <w:t xml:space="preserve">areas possible. </w:t>
      </w:r>
      <w:bookmarkEnd w:id="5"/>
      <w:r w:rsidR="00667FE5">
        <w:t xml:space="preserve">These data </w:t>
      </w:r>
      <w:r w:rsidR="00F6197C">
        <w:t>can</w:t>
      </w:r>
      <w:r w:rsidR="00667FE5">
        <w:t xml:space="preserve"> be used for planning and policy development as well as for assessment of service system performance. </w:t>
      </w:r>
    </w:p>
    <w:p w14:paraId="42631FB3" w14:textId="5C1533CD" w:rsidR="005D3839" w:rsidRDefault="005D3839"/>
    <w:p w14:paraId="3C0FE5EB" w14:textId="5DE25DE9" w:rsidR="009F258D" w:rsidRDefault="005121CE">
      <w:r>
        <w:t>NSDUH indicators address the following areas: substance use behaviors; perceptions of risk; substance use disorders and treatment need; and mental health</w:t>
      </w:r>
      <w:r w:rsidR="00763966">
        <w:t xml:space="preserve"> conditions.</w:t>
      </w:r>
      <w:r w:rsidR="00AB4848">
        <w:t xml:space="preserve"> </w:t>
      </w:r>
      <w:r w:rsidR="008D7167">
        <w:t>Estimates are provided for the following age groups: ages 12-17, ages 18-25, ages 26 and older</w:t>
      </w:r>
      <w:r w:rsidR="00BC7D2F">
        <w:t>,</w:t>
      </w:r>
      <w:r w:rsidR="008D7167">
        <w:t xml:space="preserve"> ages 18 and older</w:t>
      </w:r>
      <w:r w:rsidR="00BC7D2F">
        <w:t xml:space="preserve"> and ages 12 and older</w:t>
      </w:r>
      <w:r w:rsidR="008D7167">
        <w:t>.</w:t>
      </w:r>
      <w:r w:rsidR="00BC7D2F">
        <w:t xml:space="preserve"> We refer to these age groups as </w:t>
      </w:r>
      <w:r w:rsidR="00BC7D2F" w:rsidRPr="00BC7D2F">
        <w:rPr>
          <w:i/>
          <w:iCs/>
        </w:rPr>
        <w:t>adolescents</w:t>
      </w:r>
      <w:r w:rsidR="00BC7D2F">
        <w:t xml:space="preserve">, </w:t>
      </w:r>
      <w:r w:rsidR="00BC7D2F" w:rsidRPr="00BC7D2F">
        <w:rPr>
          <w:i/>
          <w:iCs/>
        </w:rPr>
        <w:t>young adults</w:t>
      </w:r>
      <w:r w:rsidR="00BC7D2F">
        <w:t xml:space="preserve">, </w:t>
      </w:r>
      <w:r w:rsidR="00BC7D2F" w:rsidRPr="00BC7D2F">
        <w:rPr>
          <w:i/>
          <w:iCs/>
        </w:rPr>
        <w:t>older adults</w:t>
      </w:r>
      <w:r w:rsidR="00BC7D2F">
        <w:t xml:space="preserve">, </w:t>
      </w:r>
      <w:r w:rsidR="00BC7D2F" w:rsidRPr="00BC7D2F">
        <w:rPr>
          <w:i/>
          <w:iCs/>
        </w:rPr>
        <w:t>all adults</w:t>
      </w:r>
      <w:r w:rsidR="00BC7D2F">
        <w:t xml:space="preserve">, and </w:t>
      </w:r>
      <w:r w:rsidR="00BC7D2F" w:rsidRPr="00BC7D2F">
        <w:rPr>
          <w:i/>
          <w:iCs/>
        </w:rPr>
        <w:t>total sample</w:t>
      </w:r>
      <w:r w:rsidR="00BC7D2F">
        <w:t>.</w:t>
      </w:r>
      <w:r w:rsidR="00915194">
        <w:t xml:space="preserve"> (NSDUH also produces estimates of underage drinking for </w:t>
      </w:r>
      <w:r w:rsidR="00AB4848">
        <w:t>12-20-year-olds</w:t>
      </w:r>
      <w:r w:rsidR="00915194">
        <w:t>.)</w:t>
      </w:r>
      <w:r w:rsidR="00475184">
        <w:t xml:space="preserve"> </w:t>
      </w:r>
      <w:bookmarkStart w:id="6" w:name="_Hlk72946759"/>
      <w:r w:rsidR="00475184">
        <w:t>Caution is advised in using prevalence estimates for adolescents (ages 12-17) since NSDUH has been shown to underestimate prevalence among adolescents.</w:t>
      </w:r>
      <w:r w:rsidR="00A76111">
        <w:t xml:space="preserve"> </w:t>
      </w:r>
      <w:bookmarkEnd w:id="6"/>
      <w:r w:rsidR="00A76111">
        <w:t>(See discussion below.)</w:t>
      </w:r>
    </w:p>
    <w:p w14:paraId="7EAFAFDC" w14:textId="410D92C8" w:rsidR="008D7167" w:rsidRDefault="008D7167"/>
    <w:p w14:paraId="40C4C7E4" w14:textId="2B372C93" w:rsidR="003F02E8" w:rsidRDefault="003F02E8">
      <w:r>
        <w:t xml:space="preserve">The NSDUH survey is conducted in households using laptop computers which read the survey </w:t>
      </w:r>
      <w:r w:rsidR="006221AA">
        <w:t xml:space="preserve">questions </w:t>
      </w:r>
      <w:r>
        <w:t xml:space="preserve">to respondents and record their responses (computer assisted interviewing). Approximately 70,000 persons are interviewed annually. While NSDUH produces national prevalence estimates annually, state-level estimates are produced biannually and are based on two years of data. Prevalence estimates for </w:t>
      </w:r>
      <w:r w:rsidR="00915194">
        <w:t>local</w:t>
      </w:r>
      <w:r>
        <w:t xml:space="preserve"> planning </w:t>
      </w:r>
      <w:r w:rsidR="00915194">
        <w:t>areas</w:t>
      </w:r>
      <w:r>
        <w:t xml:space="preserve"> are also produced bi-</w:t>
      </w:r>
      <w:r w:rsidR="00915194">
        <w:t>annually but</w:t>
      </w:r>
      <w:r>
        <w:t xml:space="preserve"> are based on the pooling of the most recent </w:t>
      </w:r>
      <w:r w:rsidR="00915194" w:rsidRPr="00915194">
        <w:rPr>
          <w:i/>
          <w:iCs/>
        </w:rPr>
        <w:t>three years of data</w:t>
      </w:r>
      <w:r w:rsidR="00915194">
        <w:t>. The</w:t>
      </w:r>
      <w:r w:rsidR="006221AA">
        <w:t xml:space="preserve"> currently</w:t>
      </w:r>
      <w:r w:rsidR="00915194">
        <w:t xml:space="preserve"> most recent NSDUH estimates </w:t>
      </w:r>
      <w:r w:rsidR="00F6197C">
        <w:t xml:space="preserve">available </w:t>
      </w:r>
      <w:r w:rsidR="00915194">
        <w:t>for local planning areas are based on survey data from 2016-2018, representing a point-prevalence for July 2017</w:t>
      </w:r>
      <w:r w:rsidR="00F6197C">
        <w:t xml:space="preserve"> (the mid-point of the survey period)</w:t>
      </w:r>
      <w:r w:rsidR="00915194">
        <w:t>.</w:t>
      </w:r>
    </w:p>
    <w:p w14:paraId="20F16CEA" w14:textId="52C13767" w:rsidR="009F258D" w:rsidRDefault="009F258D"/>
    <w:p w14:paraId="59775BB5" w14:textId="385F1FF6" w:rsidR="00915194" w:rsidRDefault="00AB4848">
      <w:r>
        <w:t xml:space="preserve">Prevalence estimates are provided as </w:t>
      </w:r>
      <w:r w:rsidRPr="00AB4848">
        <w:rPr>
          <w:i/>
          <w:iCs/>
        </w:rPr>
        <w:t>rates</w:t>
      </w:r>
      <w:r>
        <w:t xml:space="preserve"> (percent</w:t>
      </w:r>
      <w:r w:rsidR="006221AA">
        <w:t>age</w:t>
      </w:r>
      <w:r>
        <w:t xml:space="preserve">s) for the population in each age group. </w:t>
      </w:r>
      <w:proofErr w:type="gramStart"/>
      <w:r>
        <w:t>In order to</w:t>
      </w:r>
      <w:proofErr w:type="gramEnd"/>
      <w:r>
        <w:t xml:space="preserve"> estimate the </w:t>
      </w:r>
      <w:r w:rsidRPr="00AB4848">
        <w:rPr>
          <w:i/>
          <w:iCs/>
        </w:rPr>
        <w:t>number</w:t>
      </w:r>
      <w:r>
        <w:t xml:space="preserve"> of prevalent individuals, the rates must be multiplied by the </w:t>
      </w:r>
      <w:r w:rsidR="00EF057D">
        <w:t xml:space="preserve">corresponding </w:t>
      </w:r>
      <w:r>
        <w:t>population</w:t>
      </w:r>
      <w:r w:rsidR="00EF057D">
        <w:t xml:space="preserve"> denominator</w:t>
      </w:r>
      <w:r>
        <w:t>. The strategy used here is to apply the most recent</w:t>
      </w:r>
      <w:r w:rsidR="00CB5595">
        <w:t xml:space="preserve"> prevalence</w:t>
      </w:r>
      <w:r>
        <w:t xml:space="preserve"> rates available (July 2017) to the most recent population estimates for the local planning areas (July 2019)</w:t>
      </w:r>
      <w:r w:rsidR="00621E68">
        <w:t xml:space="preserve">. (See </w:t>
      </w:r>
      <w:r w:rsidR="006221AA">
        <w:t>A</w:t>
      </w:r>
      <w:r w:rsidR="00621E68">
        <w:t>ppendix</w:t>
      </w:r>
      <w:r w:rsidR="006221AA">
        <w:t xml:space="preserve"> A</w:t>
      </w:r>
      <w:r w:rsidR="00621E68">
        <w:t>.)</w:t>
      </w:r>
    </w:p>
    <w:p w14:paraId="42C8B4D7" w14:textId="46F01FDA" w:rsidR="00274FB7" w:rsidRDefault="00274FB7"/>
    <w:p w14:paraId="5889DE61" w14:textId="77777777" w:rsidR="008035BD" w:rsidRDefault="008035BD" w:rsidP="008035BD">
      <w:r>
        <w:t xml:space="preserve">The NSDUH survey does not include homeless, incarcerated, </w:t>
      </w:r>
      <w:proofErr w:type="gramStart"/>
      <w:r>
        <w:t>institutionalized</w:t>
      </w:r>
      <w:proofErr w:type="gramEnd"/>
      <w:r>
        <w:t xml:space="preserve"> or non-civilian populations. Other methods should be used to estimate prevalence among these populations. If any these populations represent a sizable proportion of the general population to be served, their number may be subtracted from the numerators and denominators of the household population if needed. NSDUH has historically underestimated prevalence estimates for adolescents as well as the opiate using population. Other sources or methods may be needed for these populations.</w:t>
      </w:r>
    </w:p>
    <w:p w14:paraId="0502D3F4" w14:textId="77777777" w:rsidR="008035BD" w:rsidRDefault="008035BD"/>
    <w:p w14:paraId="1AF755DD" w14:textId="5A53A726" w:rsidR="0075085F" w:rsidRDefault="00274FB7">
      <w:r>
        <w:t xml:space="preserve">NSDUH provides </w:t>
      </w:r>
      <w:r w:rsidR="007A6B80">
        <w:t xml:space="preserve">prevalence rate </w:t>
      </w:r>
      <w:r>
        <w:t>estimates for the Metropolitan District</w:t>
      </w:r>
      <w:r w:rsidR="006221AA">
        <w:t xml:space="preserve">. </w:t>
      </w:r>
      <w:proofErr w:type="gramStart"/>
      <w:r w:rsidR="007A6B80">
        <w:t>In order to</w:t>
      </w:r>
      <w:proofErr w:type="gramEnd"/>
      <w:r w:rsidR="007A6B80">
        <w:t xml:space="preserve"> estimate the number of prevalent individuals in each parish,</w:t>
      </w:r>
      <w:r>
        <w:t xml:space="preserve"> the</w:t>
      </w:r>
      <w:r w:rsidR="007A6B80">
        <w:t xml:space="preserve"> District</w:t>
      </w:r>
      <w:r>
        <w:t xml:space="preserve"> rates are applied to the populations of the three parishes (Orleans, St. Bernard and Plaquemines). </w:t>
      </w:r>
      <w:r w:rsidR="007A6B80">
        <w:t xml:space="preserve">This follows </w:t>
      </w:r>
      <w:r w:rsidR="0075085F">
        <w:t>a</w:t>
      </w:r>
      <w:r w:rsidR="007A6B80">
        <w:t xml:space="preserve"> general practice in planning</w:t>
      </w:r>
      <w:r w:rsidR="0075085F">
        <w:t xml:space="preserve">, to apply the rates for a larger geographical area (or a social area) to a smaller constituent area </w:t>
      </w:r>
      <w:proofErr w:type="gramStart"/>
      <w:r w:rsidR="0075085F">
        <w:t>in order to</w:t>
      </w:r>
      <w:proofErr w:type="gramEnd"/>
      <w:r w:rsidR="0075085F">
        <w:t xml:space="preserve"> obtain </w:t>
      </w:r>
      <w:r w:rsidR="00507B7F">
        <w:t>an</w:t>
      </w:r>
      <w:r w:rsidR="0075085F">
        <w:t xml:space="preserve"> estimate for the smaller area.</w:t>
      </w:r>
    </w:p>
    <w:p w14:paraId="7A90BFF2" w14:textId="10F49D68" w:rsidR="0075085F" w:rsidRDefault="0075085F"/>
    <w:p w14:paraId="134767C4" w14:textId="5CF963EA" w:rsidR="00A76111" w:rsidRPr="00A76111" w:rsidRDefault="00A76111">
      <w:pPr>
        <w:rPr>
          <w:u w:val="single"/>
        </w:rPr>
      </w:pPr>
      <w:r w:rsidRPr="00A76111">
        <w:rPr>
          <w:u w:val="single"/>
        </w:rPr>
        <w:t>Using NSDUH Prevalence Estimates for Adolescent – Caution</w:t>
      </w:r>
    </w:p>
    <w:p w14:paraId="6ABD9350" w14:textId="7E6941BF" w:rsidR="00A76111" w:rsidRDefault="00A76111"/>
    <w:p w14:paraId="5C3EA8A1" w14:textId="6EF13CFF" w:rsidR="00A76111" w:rsidRPr="00A76111" w:rsidRDefault="00A76111" w:rsidP="00A76111">
      <w:r w:rsidRPr="00A76111">
        <w:t xml:space="preserve">NSDUH has been shown to underestimate </w:t>
      </w:r>
      <w:r w:rsidR="00AD6E0A">
        <w:t>various prevalence rates</w:t>
      </w:r>
      <w:r w:rsidRPr="00A76111">
        <w:t xml:space="preserve"> among adolescents</w:t>
      </w:r>
      <w:r>
        <w:t xml:space="preserve"> (ages 12-17) relative to c</w:t>
      </w:r>
      <w:r w:rsidRPr="00A76111">
        <w:t xml:space="preserve">omparable indicators from school surveys </w:t>
      </w:r>
      <w:r w:rsidR="005646B2">
        <w:t>which generally</w:t>
      </w:r>
      <w:r w:rsidRPr="00A76111">
        <w:t xml:space="preserve"> provide substantially higher prevalence estimates. </w:t>
      </w:r>
      <w:r w:rsidR="005646B2">
        <w:t xml:space="preserve">There are many factors that can potentially bias survey estimates up or down. </w:t>
      </w:r>
      <w:r w:rsidRPr="00A76111">
        <w:t>School surveys are typically conducted with paper and pencil forms or with online survey software in a familiar and struct</w:t>
      </w:r>
      <w:r w:rsidR="005646B2">
        <w:t>ur</w:t>
      </w:r>
      <w:r w:rsidRPr="00A76111">
        <w:t xml:space="preserve">ed setting while the NSDUH is conducted in the household using a laptop computer and headphones. For adolescents this typically means completing the survey with their parents at home, </w:t>
      </w:r>
      <w:r w:rsidR="005646B2">
        <w:t>which</w:t>
      </w:r>
      <w:r w:rsidRPr="00A76111">
        <w:t xml:space="preserve"> </w:t>
      </w:r>
      <w:r w:rsidRPr="00A76111">
        <w:rPr>
          <w:i/>
          <w:iCs/>
        </w:rPr>
        <w:t>may</w:t>
      </w:r>
      <w:r w:rsidRPr="00A76111">
        <w:t xml:space="preserve"> reduce their expectation of privacy and confidentiality in answering questions that are sensitive or involve illegal behavior.</w:t>
      </w:r>
      <w:r w:rsidR="005646B2">
        <w:t xml:space="preserve"> </w:t>
      </w:r>
      <w:r w:rsidR="007F3AC2">
        <w:t>On the other hand, it has been suggested that some students may complete school surveys frivolously and or just fill in answers without read the questions. Most school surveys include frivolity indicators and exclude suspicious survey forms.</w:t>
      </w:r>
    </w:p>
    <w:p w14:paraId="1738777C" w14:textId="77777777" w:rsidR="00A76111" w:rsidRDefault="00A76111"/>
    <w:p w14:paraId="306EFAD5" w14:textId="71A2A781" w:rsidR="003E673C" w:rsidRPr="003E673C" w:rsidRDefault="003E673C">
      <w:pPr>
        <w:rPr>
          <w:u w:val="single"/>
        </w:rPr>
      </w:pPr>
      <w:r w:rsidRPr="003E673C">
        <w:rPr>
          <w:u w:val="single"/>
        </w:rPr>
        <w:t>Missing Estimates for Certain Indicators, Age Groups</w:t>
      </w:r>
    </w:p>
    <w:p w14:paraId="18965030" w14:textId="77777777" w:rsidR="003E673C" w:rsidRDefault="003E673C"/>
    <w:p w14:paraId="437B13F4" w14:textId="224CB663" w:rsidR="007A6B80" w:rsidRDefault="0075085F">
      <w:r>
        <w:t>NSDUH provides estimates</w:t>
      </w:r>
      <w:r w:rsidR="00507B7F">
        <w:t xml:space="preserve"> for different age groups</w:t>
      </w:r>
      <w:r>
        <w:t xml:space="preserve"> for approximately 500 “small areas”</w:t>
      </w:r>
      <w:r w:rsidR="00507B7F">
        <w:t xml:space="preserve"> using hierarchical Bayes statistical methods.</w:t>
      </w:r>
      <w:r>
        <w:t xml:space="preserve"> </w:t>
      </w:r>
      <w:r w:rsidR="00507B7F">
        <w:t>H</w:t>
      </w:r>
      <w:r>
        <w:t>owever, not all indicators can be estimated for all areas. NSDUH uses it</w:t>
      </w:r>
      <w:r w:rsidR="00507B7F">
        <w:t>s</w:t>
      </w:r>
      <w:r>
        <w:t xml:space="preserve"> published criteria to determine when it provides or does not provide an estimate. Factors that may result</w:t>
      </w:r>
      <w:r w:rsidR="00F6197C">
        <w:t xml:space="preserve"> in</w:t>
      </w:r>
      <w:r>
        <w:t xml:space="preserve"> no estimate being made include small sample size and non-responses to certain survey questions.</w:t>
      </w:r>
      <w:r w:rsidR="00507B7F">
        <w:t xml:space="preserve"> For instance, for some indicators in some age groups, NSDUH does not provide an estimate for Greater New Orleans (or any of its constituents). I</w:t>
      </w:r>
      <w:r w:rsidR="00DA3B75">
        <w:t>n</w:t>
      </w:r>
      <w:r w:rsidR="00507B7F">
        <w:t xml:space="preserve"> other cases, </w:t>
      </w:r>
      <w:r w:rsidR="00DA3B75">
        <w:t>NSDUH</w:t>
      </w:r>
      <w:r w:rsidR="00507B7F">
        <w:t xml:space="preserve"> may be able to </w:t>
      </w:r>
      <w:r w:rsidR="003E673C">
        <w:t xml:space="preserve">provide a </w:t>
      </w:r>
      <w:r w:rsidR="00507B7F">
        <w:t xml:space="preserve">GNO estimate, but not </w:t>
      </w:r>
      <w:r w:rsidR="003E673C">
        <w:t xml:space="preserve">a </w:t>
      </w:r>
      <w:r w:rsidR="00507B7F">
        <w:t xml:space="preserve">Metropolitan District estimate or not </w:t>
      </w:r>
      <w:r w:rsidR="003E673C">
        <w:t xml:space="preserve">a </w:t>
      </w:r>
      <w:r w:rsidR="00507B7F">
        <w:t>Jefferson Parish estimate</w:t>
      </w:r>
      <w:r w:rsidR="003E673C">
        <w:t>, or perhaps neither of these.</w:t>
      </w:r>
      <w:r w:rsidR="00507B7F">
        <w:t xml:space="preserve"> </w:t>
      </w:r>
    </w:p>
    <w:p w14:paraId="59EA5129" w14:textId="080103D1" w:rsidR="007A6B80" w:rsidRDefault="007A6B80"/>
    <w:p w14:paraId="29FC1775" w14:textId="36557059" w:rsidR="003E673C" w:rsidRDefault="003E673C">
      <w:proofErr w:type="gramStart"/>
      <w:r>
        <w:lastRenderedPageBreak/>
        <w:t>In order to</w:t>
      </w:r>
      <w:proofErr w:type="gramEnd"/>
      <w:r>
        <w:t xml:space="preserve"> provide reasonable</w:t>
      </w:r>
      <w:r w:rsidR="00DA3B75">
        <w:t>, “small area”</w:t>
      </w:r>
      <w:r>
        <w:t xml:space="preserve"> planning estimates of the number of individuals</w:t>
      </w:r>
      <w:r w:rsidR="00D85032">
        <w:t xml:space="preserve"> </w:t>
      </w:r>
      <w:r w:rsidR="004419B8">
        <w:t xml:space="preserve">using a substance, experiencing a substance use disorder, </w:t>
      </w:r>
      <w:r w:rsidR="00667FE5">
        <w:t>needing but not receiving</w:t>
      </w:r>
      <w:r w:rsidR="004419B8">
        <w:t xml:space="preserve"> treatment</w:t>
      </w:r>
      <w:r w:rsidR="00667FE5">
        <w:t>,</w:t>
      </w:r>
      <w:r w:rsidR="004419B8">
        <w:t xml:space="preserve"> or experiencing a mental health problem</w:t>
      </w:r>
      <w:r w:rsidR="00F6197C">
        <w:t>,</w:t>
      </w:r>
      <w:r w:rsidR="004419B8">
        <w:t xml:space="preserve"> </w:t>
      </w:r>
      <w:r w:rsidR="00DA3B75">
        <w:t xml:space="preserve">the following </w:t>
      </w:r>
      <w:r w:rsidR="00F6197C">
        <w:t>criteria</w:t>
      </w:r>
      <w:r w:rsidR="00DA3B75">
        <w:t xml:space="preserve"> are used:</w:t>
      </w:r>
      <w:r w:rsidR="004419B8">
        <w:t xml:space="preserve"> </w:t>
      </w:r>
    </w:p>
    <w:p w14:paraId="6CBDF616" w14:textId="312DE848" w:rsidR="004419B8" w:rsidRDefault="004419B8"/>
    <w:p w14:paraId="4934E434" w14:textId="62A49493" w:rsidR="00DA3B75" w:rsidRDefault="00DA3B75" w:rsidP="003A36B2">
      <w:pPr>
        <w:pStyle w:val="ListParagraph"/>
        <w:numPr>
          <w:ilvl w:val="0"/>
          <w:numId w:val="1"/>
        </w:numPr>
      </w:pPr>
      <w:r>
        <w:t xml:space="preserve">If NSDUH does not provide an estimate for Greater New Orleans, </w:t>
      </w:r>
      <w:r w:rsidR="003A36B2">
        <w:t xml:space="preserve">then </w:t>
      </w:r>
      <w:r>
        <w:t>the number of prevalent individuals cannot be estimated. The statewide prevalence rate cannot be assigned to GNO because, for most indicators, it would be unreasonable to assume the statewide rate and GNO rate are similar.</w:t>
      </w:r>
    </w:p>
    <w:p w14:paraId="5EE4AC35" w14:textId="77777777" w:rsidR="00AE37FE" w:rsidRDefault="00AE37FE" w:rsidP="00AE37FE"/>
    <w:p w14:paraId="55963B5B" w14:textId="13E37D2F" w:rsidR="00AE37FE" w:rsidRDefault="00DA3B75" w:rsidP="00AE37FE">
      <w:pPr>
        <w:pStyle w:val="ListParagraph"/>
        <w:numPr>
          <w:ilvl w:val="0"/>
          <w:numId w:val="1"/>
        </w:numPr>
      </w:pPr>
      <w:r>
        <w:t>If NSDUH estimates a prevalence rate for GNO</w:t>
      </w:r>
      <w:r w:rsidR="003A36B2">
        <w:t xml:space="preserve">, but not for the Metropolitan District and Jefferson County, then the GNO rate is applied to both Jefferson Parish, the Metropolitan District, and Metropolitan’s constituent parishes (Orleans, St. </w:t>
      </w:r>
      <w:proofErr w:type="gramStart"/>
      <w:r w:rsidR="003A36B2">
        <w:t>Bernard</w:t>
      </w:r>
      <w:proofErr w:type="gramEnd"/>
      <w:r w:rsidR="003A36B2">
        <w:t xml:space="preserve"> and Plaquemines).</w:t>
      </w:r>
    </w:p>
    <w:p w14:paraId="0361AF7F" w14:textId="77777777" w:rsidR="00AE37FE" w:rsidRDefault="00AE37FE" w:rsidP="00AE37FE"/>
    <w:p w14:paraId="591E5ACD" w14:textId="2DFE6BD4" w:rsidR="003A36B2" w:rsidRDefault="003A36B2" w:rsidP="003A36B2">
      <w:pPr>
        <w:pStyle w:val="ListParagraph"/>
        <w:numPr>
          <w:ilvl w:val="0"/>
          <w:numId w:val="1"/>
        </w:numPr>
      </w:pPr>
      <w:r>
        <w:t xml:space="preserve">If NSDUH estimates a prevalence rate for Jefferson Parish but not for the Metropolitan District, then the prevalence number (of individuals) for Jefferson is subtracted from the GNO prevalence number to yield </w:t>
      </w:r>
      <w:r w:rsidR="00510329">
        <w:t>an estimated prevalence number for the Metropolitan District.</w:t>
      </w:r>
      <w:r w:rsidR="00077E77" w:rsidRPr="00077E77">
        <w:rPr>
          <w:rStyle w:val="FootnoteReference"/>
        </w:rPr>
        <w:t xml:space="preserve"> </w:t>
      </w:r>
      <w:r w:rsidR="00077E77">
        <w:rPr>
          <w:rStyle w:val="FootnoteReference"/>
        </w:rPr>
        <w:footnoteReference w:id="2"/>
      </w:r>
      <w:r w:rsidR="00077E77">
        <w:t xml:space="preserve"> </w:t>
      </w:r>
      <w:r w:rsidR="00510329">
        <w:t xml:space="preserve"> No prevalence </w:t>
      </w:r>
      <w:r w:rsidR="00510329" w:rsidRPr="00475184">
        <w:rPr>
          <w:i/>
          <w:iCs/>
        </w:rPr>
        <w:t>rate</w:t>
      </w:r>
      <w:r w:rsidR="00510329">
        <w:t xml:space="preserve"> is (back) computed for Metropolitan and there is no confidence interval for this estimate.</w:t>
      </w:r>
      <w:r w:rsidR="00247CF4">
        <w:t xml:space="preserve"> The prevalence number estimate for the</w:t>
      </w:r>
      <w:r w:rsidR="009C60FB">
        <w:t xml:space="preserve"> three</w:t>
      </w:r>
      <w:r w:rsidR="00247CF4">
        <w:t xml:space="preserve"> Metropolitan pari</w:t>
      </w:r>
      <w:r w:rsidR="009C60FB">
        <w:t>shes is computed by allocating the total Metropolitan number based on the parish population in the age group.</w:t>
      </w:r>
    </w:p>
    <w:p w14:paraId="695AC59E" w14:textId="77777777" w:rsidR="00AE37FE" w:rsidRDefault="00AE37FE" w:rsidP="00AE37FE"/>
    <w:p w14:paraId="38FCC66A" w14:textId="7987E7F5" w:rsidR="00510329" w:rsidRDefault="00510329" w:rsidP="003A36B2">
      <w:pPr>
        <w:pStyle w:val="ListParagraph"/>
        <w:numPr>
          <w:ilvl w:val="0"/>
          <w:numId w:val="1"/>
        </w:numPr>
      </w:pPr>
      <w:r>
        <w:t xml:space="preserve">If NSDUH estimates a prevalence rate for the Metropolitan District but not for Jefferson Parish, then the prevalence number (of individuals) for Metropolitan is subtracted from the GNO prevalence number to yield an estimated prevalence number for Jefferson Parish. No prevalence rate is (back) computed for </w:t>
      </w:r>
      <w:r w:rsidR="00247CF4">
        <w:t>Jefferson</w:t>
      </w:r>
      <w:r>
        <w:t xml:space="preserve"> and there is no confidence interval for this estimate</w:t>
      </w:r>
      <w:r w:rsidR="00247CF4">
        <w:t>. (The Metropolitan prevalence rate estimate is applied to each of the three parishes in the district.)</w:t>
      </w:r>
    </w:p>
    <w:p w14:paraId="03BEA0EB" w14:textId="77777777" w:rsidR="004419B8" w:rsidRDefault="004419B8"/>
    <w:p w14:paraId="52BE1E7D" w14:textId="77777777" w:rsidR="00AE37FE" w:rsidRDefault="00AE37FE">
      <w:r>
        <w:br w:type="page"/>
      </w:r>
    </w:p>
    <w:p w14:paraId="28B763FE" w14:textId="630BB225" w:rsidR="00C77374" w:rsidRPr="00AE37FE" w:rsidRDefault="00AE37FE" w:rsidP="00AE37FE">
      <w:pPr>
        <w:rPr>
          <w:b/>
          <w:bCs/>
        </w:rPr>
      </w:pPr>
      <w:r w:rsidRPr="00AE37FE">
        <w:rPr>
          <w:b/>
          <w:bCs/>
        </w:rPr>
        <w:lastRenderedPageBreak/>
        <w:t>Summary Sheet: Prevalence Rates by Age Category for Greater New Orleans</w:t>
      </w:r>
    </w:p>
    <w:p w14:paraId="294BFBE8" w14:textId="77777777" w:rsidR="00AE37FE" w:rsidRDefault="00AE37FE" w:rsidP="00AE37FE"/>
    <w:tbl>
      <w:tblPr>
        <w:tblW w:w="9360" w:type="dxa"/>
        <w:tblLayout w:type="fixed"/>
        <w:tblLook w:val="04A0" w:firstRow="1" w:lastRow="0" w:firstColumn="1" w:lastColumn="0" w:noHBand="0" w:noVBand="1"/>
      </w:tblPr>
      <w:tblGrid>
        <w:gridCol w:w="5940"/>
        <w:gridCol w:w="855"/>
        <w:gridCol w:w="855"/>
        <w:gridCol w:w="855"/>
        <w:gridCol w:w="855"/>
      </w:tblGrid>
      <w:tr w:rsidR="00C77374" w:rsidRPr="00C77374" w14:paraId="4A31CDF0" w14:textId="77777777" w:rsidTr="00165A84">
        <w:trPr>
          <w:trHeight w:val="20"/>
        </w:trPr>
        <w:tc>
          <w:tcPr>
            <w:tcW w:w="9360" w:type="dxa"/>
            <w:gridSpan w:val="5"/>
            <w:tcBorders>
              <w:top w:val="nil"/>
              <w:left w:val="nil"/>
              <w:right w:val="nil"/>
            </w:tcBorders>
            <w:shd w:val="clear" w:color="auto" w:fill="auto"/>
            <w:noWrap/>
            <w:hideMark/>
          </w:tcPr>
          <w:p w14:paraId="679E97C8" w14:textId="77777777" w:rsidR="00C77374" w:rsidRPr="00130E39" w:rsidRDefault="00C77374" w:rsidP="00C77374">
            <w:pPr>
              <w:jc w:val="center"/>
              <w:rPr>
                <w:sz w:val="21"/>
                <w:szCs w:val="21"/>
              </w:rPr>
            </w:pPr>
            <w:r w:rsidRPr="00130E39">
              <w:rPr>
                <w:b/>
                <w:bCs/>
                <w:color w:val="000000"/>
                <w:sz w:val="21"/>
                <w:szCs w:val="21"/>
              </w:rPr>
              <w:t>National Survey on Drug Use and Health Indicators by Age Category for Sub-state Planning Area</w:t>
            </w:r>
          </w:p>
        </w:tc>
      </w:tr>
      <w:tr w:rsidR="00C77374" w:rsidRPr="00C77374" w14:paraId="3D2312E6" w14:textId="77777777" w:rsidTr="00165A84">
        <w:trPr>
          <w:trHeight w:val="20"/>
        </w:trPr>
        <w:tc>
          <w:tcPr>
            <w:tcW w:w="9360" w:type="dxa"/>
            <w:gridSpan w:val="5"/>
            <w:tcBorders>
              <w:left w:val="nil"/>
              <w:bottom w:val="single" w:sz="4" w:space="0" w:color="auto"/>
              <w:right w:val="nil"/>
            </w:tcBorders>
            <w:shd w:val="clear" w:color="auto" w:fill="auto"/>
            <w:noWrap/>
          </w:tcPr>
          <w:p w14:paraId="20717F08" w14:textId="256E0EED" w:rsidR="00C77374" w:rsidRPr="00130E39" w:rsidRDefault="00C77374" w:rsidP="00C77374">
            <w:pPr>
              <w:jc w:val="center"/>
              <w:rPr>
                <w:color w:val="000000"/>
                <w:sz w:val="21"/>
                <w:szCs w:val="21"/>
              </w:rPr>
            </w:pPr>
            <w:r w:rsidRPr="00130E39">
              <w:rPr>
                <w:color w:val="000000"/>
                <w:sz w:val="21"/>
                <w:szCs w:val="21"/>
              </w:rPr>
              <w:t xml:space="preserve">Based on Data from </w:t>
            </w:r>
            <w:r w:rsidR="00130E39" w:rsidRPr="00130E39">
              <w:rPr>
                <w:color w:val="000000"/>
                <w:sz w:val="21"/>
                <w:szCs w:val="21"/>
              </w:rPr>
              <w:t xml:space="preserve">the </w:t>
            </w:r>
            <w:r w:rsidRPr="00130E39">
              <w:rPr>
                <w:color w:val="000000"/>
                <w:sz w:val="21"/>
                <w:szCs w:val="21"/>
              </w:rPr>
              <w:t>2016 through 2018</w:t>
            </w:r>
            <w:r w:rsidR="00130E39" w:rsidRPr="00130E39">
              <w:rPr>
                <w:color w:val="000000"/>
                <w:sz w:val="21"/>
                <w:szCs w:val="21"/>
              </w:rPr>
              <w:t xml:space="preserve"> Surveys</w:t>
            </w:r>
            <w:r w:rsidRPr="00130E39">
              <w:rPr>
                <w:color w:val="000000"/>
                <w:sz w:val="21"/>
                <w:szCs w:val="21"/>
              </w:rPr>
              <w:t xml:space="preserve"> (midpoint: 2017)</w:t>
            </w:r>
          </w:p>
        </w:tc>
      </w:tr>
      <w:tr w:rsidR="00C77374" w:rsidRPr="00C77374" w14:paraId="2313E682"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D5DA" w14:textId="07B5C658" w:rsidR="00C77374" w:rsidRPr="00C77374" w:rsidRDefault="00130E39" w:rsidP="00C77374">
            <w:pPr>
              <w:jc w:val="center"/>
              <w:rPr>
                <w:b/>
                <w:bCs/>
                <w:color w:val="000000"/>
                <w:sz w:val="20"/>
              </w:rPr>
            </w:pPr>
            <w:r w:rsidRPr="00064C3F">
              <w:rPr>
                <w:b/>
                <w:bCs/>
                <w:color w:val="000000"/>
                <w:sz w:val="22"/>
                <w:szCs w:val="22"/>
              </w:rPr>
              <w:t>Greater New Orleans (4 parishes)</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0CCEF" w14:textId="77777777" w:rsidR="00C77374" w:rsidRPr="00C77374" w:rsidRDefault="00C77374" w:rsidP="00C77374">
            <w:pPr>
              <w:jc w:val="center"/>
              <w:rPr>
                <w:b/>
                <w:bCs/>
                <w:color w:val="000000"/>
                <w:sz w:val="20"/>
              </w:rPr>
            </w:pPr>
            <w:r w:rsidRPr="00C77374">
              <w:rPr>
                <w:b/>
                <w:bCs/>
                <w:color w:val="000000"/>
                <w:sz w:val="20"/>
              </w:rPr>
              <w:t>Ages 12-17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DD2C444" w14:textId="77777777" w:rsidR="00C77374" w:rsidRPr="00C77374" w:rsidRDefault="00C77374" w:rsidP="00C77374">
            <w:pPr>
              <w:jc w:val="center"/>
              <w:rPr>
                <w:b/>
                <w:bCs/>
                <w:color w:val="000000"/>
                <w:sz w:val="20"/>
              </w:rPr>
            </w:pPr>
            <w:r w:rsidRPr="00C77374">
              <w:rPr>
                <w:b/>
                <w:bCs/>
                <w:color w:val="000000"/>
                <w:sz w:val="20"/>
              </w:rPr>
              <w:t>Ages 18-25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9C03D91" w14:textId="77777777" w:rsidR="00C77374" w:rsidRPr="00C77374" w:rsidRDefault="00C77374" w:rsidP="00C77374">
            <w:pPr>
              <w:jc w:val="center"/>
              <w:rPr>
                <w:b/>
                <w:bCs/>
                <w:color w:val="000000"/>
                <w:sz w:val="20"/>
              </w:rPr>
            </w:pPr>
            <w:r w:rsidRPr="00C77374">
              <w:rPr>
                <w:b/>
                <w:bCs/>
                <w:color w:val="000000"/>
                <w:sz w:val="20"/>
              </w:rPr>
              <w:t>Ages 26+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6CDD9" w14:textId="77777777" w:rsidR="00C77374" w:rsidRPr="00C77374" w:rsidRDefault="00C77374" w:rsidP="00C77374">
            <w:pPr>
              <w:jc w:val="center"/>
              <w:rPr>
                <w:b/>
                <w:bCs/>
                <w:color w:val="000000"/>
                <w:sz w:val="20"/>
              </w:rPr>
            </w:pPr>
            <w:r w:rsidRPr="00C77374">
              <w:rPr>
                <w:b/>
                <w:bCs/>
                <w:color w:val="000000"/>
                <w:sz w:val="20"/>
              </w:rPr>
              <w:t>Ages 18+</w:t>
            </w:r>
          </w:p>
        </w:tc>
      </w:tr>
      <w:tr w:rsidR="00C77374" w:rsidRPr="00C77374" w14:paraId="066776A1"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ED98D" w14:textId="77777777" w:rsidR="00C77374" w:rsidRPr="00C77374" w:rsidRDefault="00C77374" w:rsidP="00C77374">
            <w:pPr>
              <w:rPr>
                <w:b/>
                <w:bCs/>
                <w:color w:val="000000"/>
                <w:sz w:val="20"/>
              </w:rPr>
            </w:pPr>
            <w:r w:rsidRPr="00C77374">
              <w:rPr>
                <w:b/>
                <w:bCs/>
                <w:color w:val="000000"/>
                <w:sz w:val="20"/>
              </w:rPr>
              <w:t>Illicit Drugs</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C546" w14:textId="77777777" w:rsidR="00C77374" w:rsidRPr="00C77374" w:rsidRDefault="00C77374" w:rsidP="00C77374">
            <w:pPr>
              <w:jc w:val="center"/>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5D8DA1B" w14:textId="77777777" w:rsidR="00C77374" w:rsidRPr="00C77374" w:rsidRDefault="00C77374" w:rsidP="00C77374">
            <w:pPr>
              <w:jc w:val="center"/>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B34292E" w14:textId="77777777" w:rsidR="00C77374" w:rsidRPr="00C77374" w:rsidRDefault="00C77374" w:rsidP="00C77374">
            <w:pPr>
              <w:jc w:val="center"/>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CAEB7" w14:textId="77777777" w:rsidR="00C77374" w:rsidRPr="00C77374" w:rsidRDefault="00C77374" w:rsidP="00C77374">
            <w:pPr>
              <w:jc w:val="center"/>
              <w:rPr>
                <w:sz w:val="20"/>
              </w:rPr>
            </w:pPr>
          </w:p>
        </w:tc>
      </w:tr>
      <w:tr w:rsidR="00C77374" w:rsidRPr="00C77374" w14:paraId="4561C084"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B14A" w14:textId="77777777" w:rsidR="00C77374" w:rsidRPr="00C77374" w:rsidRDefault="00C77374" w:rsidP="00C77374">
            <w:pPr>
              <w:rPr>
                <w:color w:val="000000"/>
                <w:sz w:val="20"/>
              </w:rPr>
            </w:pPr>
            <w:r w:rsidRPr="00C77374">
              <w:rPr>
                <w:color w:val="000000"/>
                <w:sz w:val="20"/>
              </w:rPr>
              <w:t xml:space="preserve">1. Illicit Drug Use in the Past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62244391" w14:textId="77777777" w:rsidR="00C77374" w:rsidRPr="00C77374" w:rsidRDefault="00C77374" w:rsidP="00C77374">
            <w:pPr>
              <w:jc w:val="right"/>
              <w:rPr>
                <w:color w:val="000000"/>
                <w:sz w:val="20"/>
              </w:rPr>
            </w:pPr>
            <w:r w:rsidRPr="00C77374">
              <w:rPr>
                <w:color w:val="000000"/>
                <w:sz w:val="20"/>
              </w:rPr>
              <w:t>7.74%</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2440E9CB" w14:textId="77777777" w:rsidR="00C77374" w:rsidRPr="00C77374" w:rsidRDefault="00C77374" w:rsidP="00C77374">
            <w:pPr>
              <w:jc w:val="right"/>
              <w:rPr>
                <w:color w:val="000000"/>
                <w:sz w:val="20"/>
              </w:rPr>
            </w:pPr>
            <w:r w:rsidRPr="00C77374">
              <w:rPr>
                <w:color w:val="000000"/>
                <w:sz w:val="20"/>
              </w:rPr>
              <w:t>25.84%</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6955DB99" w14:textId="77777777" w:rsidR="00C77374" w:rsidRPr="00C77374" w:rsidRDefault="00C77374" w:rsidP="00C77374">
            <w:pPr>
              <w:jc w:val="right"/>
              <w:rPr>
                <w:color w:val="000000"/>
                <w:sz w:val="20"/>
              </w:rPr>
            </w:pPr>
            <w:r w:rsidRPr="00C77374">
              <w:rPr>
                <w:color w:val="000000"/>
                <w:sz w:val="20"/>
              </w:rPr>
              <w:t>10.16%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66808" w14:textId="77777777" w:rsidR="00C77374" w:rsidRPr="00C77374" w:rsidRDefault="00C77374" w:rsidP="00C77374">
            <w:pPr>
              <w:jc w:val="right"/>
              <w:rPr>
                <w:color w:val="000000"/>
                <w:sz w:val="20"/>
              </w:rPr>
            </w:pPr>
            <w:r w:rsidRPr="00C77374">
              <w:rPr>
                <w:color w:val="000000"/>
                <w:sz w:val="20"/>
              </w:rPr>
              <w:t>12.17%</w:t>
            </w:r>
          </w:p>
        </w:tc>
      </w:tr>
      <w:tr w:rsidR="00C77374" w:rsidRPr="00C77374" w14:paraId="5A973510"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357FA" w14:textId="77777777" w:rsidR="00C77374" w:rsidRPr="00C77374" w:rsidRDefault="00C77374" w:rsidP="00C77374">
            <w:pPr>
              <w:rPr>
                <w:color w:val="000000"/>
                <w:sz w:val="20"/>
              </w:rPr>
            </w:pPr>
            <w:r w:rsidRPr="00C77374">
              <w:rPr>
                <w:color w:val="000000"/>
                <w:sz w:val="20"/>
              </w:rPr>
              <w:t xml:space="preserve">2. Marijuana Use in the Past Year  </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2EB5C" w14:textId="77777777" w:rsidR="00C77374" w:rsidRPr="00C77374" w:rsidRDefault="00C77374" w:rsidP="00C77374">
            <w:pPr>
              <w:jc w:val="right"/>
              <w:rPr>
                <w:color w:val="000000"/>
                <w:sz w:val="20"/>
              </w:rPr>
            </w:pPr>
            <w:r w:rsidRPr="00C77374">
              <w:rPr>
                <w:color w:val="000000"/>
                <w:sz w:val="20"/>
              </w:rPr>
              <w:t>10.40%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23C0495" w14:textId="77777777" w:rsidR="00C77374" w:rsidRPr="00C77374" w:rsidRDefault="00C77374" w:rsidP="00C77374">
            <w:pPr>
              <w:jc w:val="right"/>
              <w:rPr>
                <w:color w:val="000000"/>
                <w:sz w:val="20"/>
              </w:rPr>
            </w:pPr>
            <w:r w:rsidRPr="00C77374">
              <w:rPr>
                <w:color w:val="000000"/>
                <w:sz w:val="20"/>
              </w:rPr>
              <w:t>34.51%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388B202" w14:textId="77777777" w:rsidR="00C77374" w:rsidRPr="00C77374" w:rsidRDefault="00C77374" w:rsidP="00C77374">
            <w:pPr>
              <w:jc w:val="right"/>
              <w:rPr>
                <w:color w:val="000000"/>
                <w:sz w:val="20"/>
              </w:rPr>
            </w:pPr>
            <w:r w:rsidRPr="00C77374">
              <w:rPr>
                <w:color w:val="000000"/>
                <w:sz w:val="20"/>
              </w:rPr>
              <w:t>12.68%</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19D2B" w14:textId="77777777" w:rsidR="00C77374" w:rsidRPr="00C77374" w:rsidRDefault="00C77374" w:rsidP="00C77374">
            <w:pPr>
              <w:jc w:val="right"/>
              <w:rPr>
                <w:color w:val="000000"/>
                <w:sz w:val="20"/>
              </w:rPr>
            </w:pPr>
            <w:r w:rsidRPr="00C77374">
              <w:rPr>
                <w:color w:val="000000"/>
                <w:sz w:val="20"/>
              </w:rPr>
              <w:t>15.48%</w:t>
            </w:r>
          </w:p>
        </w:tc>
      </w:tr>
      <w:tr w:rsidR="00C77374" w:rsidRPr="00C77374" w14:paraId="762A4787"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B9AB9" w14:textId="77777777" w:rsidR="00C77374" w:rsidRPr="00C77374" w:rsidRDefault="00C77374" w:rsidP="00C77374">
            <w:pPr>
              <w:rPr>
                <w:color w:val="000000"/>
                <w:sz w:val="20"/>
              </w:rPr>
            </w:pPr>
            <w:r w:rsidRPr="00C77374">
              <w:rPr>
                <w:color w:val="000000"/>
                <w:sz w:val="20"/>
              </w:rPr>
              <w:t xml:space="preserve">3. Marijuana Use in the Past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04CBAB57" w14:textId="77777777" w:rsidR="00C77374" w:rsidRPr="00C77374" w:rsidRDefault="00C77374" w:rsidP="00C77374">
            <w:pPr>
              <w:jc w:val="right"/>
              <w:rPr>
                <w:color w:val="000000"/>
                <w:sz w:val="20"/>
              </w:rPr>
            </w:pPr>
            <w:r w:rsidRPr="00C77374">
              <w:rPr>
                <w:color w:val="000000"/>
                <w:sz w:val="20"/>
              </w:rPr>
              <w:t>6.19%</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478CD19" w14:textId="77777777" w:rsidR="00C77374" w:rsidRPr="00C77374" w:rsidRDefault="00C77374" w:rsidP="00C77374">
            <w:pPr>
              <w:jc w:val="right"/>
              <w:rPr>
                <w:color w:val="000000"/>
                <w:sz w:val="20"/>
              </w:rPr>
            </w:pPr>
            <w:r w:rsidRPr="00C77374">
              <w:rPr>
                <w:color w:val="000000"/>
                <w:sz w:val="20"/>
              </w:rPr>
              <w:t>23.41%</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7960FD2A" w14:textId="77777777" w:rsidR="00C77374" w:rsidRPr="00C77374" w:rsidRDefault="00C77374" w:rsidP="00C77374">
            <w:pPr>
              <w:jc w:val="right"/>
              <w:rPr>
                <w:color w:val="000000"/>
                <w:sz w:val="20"/>
              </w:rPr>
            </w:pPr>
            <w:r w:rsidRPr="00C77374">
              <w:rPr>
                <w:color w:val="000000"/>
                <w:sz w:val="20"/>
              </w:rPr>
              <w:t>7.99%</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D203B" w14:textId="77777777" w:rsidR="00C77374" w:rsidRPr="00C77374" w:rsidRDefault="00C77374" w:rsidP="00C77374">
            <w:pPr>
              <w:jc w:val="right"/>
              <w:rPr>
                <w:color w:val="000000"/>
                <w:sz w:val="20"/>
              </w:rPr>
            </w:pPr>
            <w:r w:rsidRPr="00C77374">
              <w:rPr>
                <w:color w:val="000000"/>
                <w:sz w:val="20"/>
              </w:rPr>
              <w:t>9.97%</w:t>
            </w:r>
          </w:p>
        </w:tc>
      </w:tr>
      <w:tr w:rsidR="00C77374" w:rsidRPr="00C77374" w14:paraId="18D24401"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70CEA" w14:textId="77777777" w:rsidR="00C77374" w:rsidRPr="00C77374" w:rsidRDefault="00C77374" w:rsidP="00C77374">
            <w:pPr>
              <w:rPr>
                <w:color w:val="000000"/>
                <w:sz w:val="20"/>
              </w:rPr>
            </w:pPr>
            <w:r w:rsidRPr="00C77374">
              <w:rPr>
                <w:color w:val="000000"/>
                <w:sz w:val="20"/>
              </w:rPr>
              <w:t xml:space="preserve">4. Perceptions of Great Risk from Smoking Marijuana Once a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5C87450C" w14:textId="77777777" w:rsidR="00C77374" w:rsidRPr="00C77374" w:rsidRDefault="00C77374" w:rsidP="00C77374">
            <w:pPr>
              <w:jc w:val="right"/>
              <w:rPr>
                <w:color w:val="000000"/>
                <w:sz w:val="20"/>
              </w:rPr>
            </w:pPr>
            <w:r w:rsidRPr="00C77374">
              <w:rPr>
                <w:color w:val="000000"/>
                <w:sz w:val="20"/>
              </w:rPr>
              <w:t>25.01%</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C70C79B" w14:textId="77777777" w:rsidR="00C77374" w:rsidRPr="00C77374" w:rsidRDefault="00C77374" w:rsidP="00C77374">
            <w:pPr>
              <w:jc w:val="right"/>
              <w:rPr>
                <w:color w:val="000000"/>
                <w:sz w:val="20"/>
              </w:rPr>
            </w:pPr>
            <w:r w:rsidRPr="00C77374">
              <w:rPr>
                <w:color w:val="000000"/>
                <w:sz w:val="20"/>
              </w:rPr>
              <w:t>12.12%</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DA674E1" w14:textId="77777777" w:rsidR="00C77374" w:rsidRPr="00C77374" w:rsidRDefault="00C77374" w:rsidP="00C77374">
            <w:pPr>
              <w:jc w:val="right"/>
              <w:rPr>
                <w:color w:val="000000"/>
                <w:sz w:val="20"/>
              </w:rPr>
            </w:pPr>
            <w:r w:rsidRPr="00C77374">
              <w:rPr>
                <w:color w:val="000000"/>
                <w:sz w:val="20"/>
              </w:rPr>
              <w:t>28.93%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EA0FA" w14:textId="77777777" w:rsidR="00C77374" w:rsidRPr="00C77374" w:rsidRDefault="00C77374" w:rsidP="00C77374">
            <w:pPr>
              <w:jc w:val="right"/>
              <w:rPr>
                <w:color w:val="000000"/>
                <w:sz w:val="20"/>
              </w:rPr>
            </w:pPr>
            <w:r w:rsidRPr="00C77374">
              <w:rPr>
                <w:color w:val="000000"/>
                <w:sz w:val="20"/>
              </w:rPr>
              <w:t>26.76%</w:t>
            </w:r>
          </w:p>
        </w:tc>
      </w:tr>
      <w:tr w:rsidR="00C77374" w:rsidRPr="00C77374" w14:paraId="3B66FCB2"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7A225" w14:textId="77777777" w:rsidR="00C77374" w:rsidRPr="00C77374" w:rsidRDefault="00C77374" w:rsidP="00C77374">
            <w:pPr>
              <w:rPr>
                <w:color w:val="000000"/>
                <w:sz w:val="20"/>
              </w:rPr>
            </w:pPr>
            <w:r w:rsidRPr="00C77374">
              <w:rPr>
                <w:color w:val="000000"/>
                <w:sz w:val="20"/>
              </w:rPr>
              <w:t>5. First Use of Marijuana: Average Annual Initiation*</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4F643FBB" w14:textId="77777777" w:rsidR="00C77374" w:rsidRPr="00C77374" w:rsidRDefault="00C77374" w:rsidP="00C77374">
            <w:pPr>
              <w:jc w:val="right"/>
              <w:rPr>
                <w:color w:val="000000"/>
                <w:sz w:val="20"/>
              </w:rPr>
            </w:pPr>
            <w:r w:rsidRPr="00C77374">
              <w:rPr>
                <w:color w:val="000000"/>
                <w:sz w:val="20"/>
              </w:rPr>
              <w:t>5.34%</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3EDBE0D" w14:textId="77777777" w:rsidR="00C77374" w:rsidRPr="00C77374" w:rsidRDefault="00C77374" w:rsidP="00C77374">
            <w:pPr>
              <w:jc w:val="right"/>
              <w:rPr>
                <w:color w:val="000000"/>
                <w:sz w:val="20"/>
              </w:rPr>
            </w:pPr>
            <w:r w:rsidRPr="00C77374">
              <w:rPr>
                <w:color w:val="000000"/>
                <w:sz w:val="20"/>
              </w:rPr>
              <w:t>6.97%</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62A0DFBF" w14:textId="77777777" w:rsidR="00C77374" w:rsidRPr="00C77374" w:rsidRDefault="00C77374" w:rsidP="00C77374">
            <w:pPr>
              <w:jc w:val="right"/>
              <w:rPr>
                <w:color w:val="000000"/>
                <w:sz w:val="20"/>
              </w:rPr>
            </w:pPr>
            <w:r w:rsidRPr="00C77374">
              <w:rPr>
                <w:color w:val="000000"/>
                <w:sz w:val="20"/>
              </w:rPr>
              <w:t>0.40%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49939" w14:textId="77777777" w:rsidR="00C77374" w:rsidRPr="00C77374" w:rsidRDefault="00C77374" w:rsidP="00C77374">
            <w:pPr>
              <w:jc w:val="right"/>
              <w:rPr>
                <w:color w:val="000000"/>
                <w:sz w:val="20"/>
              </w:rPr>
            </w:pPr>
            <w:r w:rsidRPr="00C77374">
              <w:rPr>
                <w:color w:val="000000"/>
                <w:sz w:val="20"/>
              </w:rPr>
              <w:t>1.20%</w:t>
            </w:r>
          </w:p>
        </w:tc>
      </w:tr>
      <w:tr w:rsidR="00C77374" w:rsidRPr="00C77374" w14:paraId="118575E8"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8FC19" w14:textId="77777777" w:rsidR="00C77374" w:rsidRPr="00C77374" w:rsidRDefault="00C77374" w:rsidP="00C77374">
            <w:pPr>
              <w:rPr>
                <w:color w:val="000000"/>
                <w:sz w:val="20"/>
              </w:rPr>
            </w:pPr>
            <w:r w:rsidRPr="00C77374">
              <w:rPr>
                <w:color w:val="000000"/>
                <w:sz w:val="20"/>
              </w:rPr>
              <w:t xml:space="preserve">6. Illicit Drug Use Other Than Marijuana in the Past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02EC3735" w14:textId="77777777" w:rsidR="00C77374" w:rsidRPr="00C77374" w:rsidRDefault="00C77374" w:rsidP="00C77374">
            <w:pPr>
              <w:jc w:val="right"/>
              <w:rPr>
                <w:color w:val="000000"/>
                <w:sz w:val="20"/>
              </w:rPr>
            </w:pPr>
            <w:r w:rsidRPr="00C77374">
              <w:rPr>
                <w:color w:val="000000"/>
                <w:sz w:val="20"/>
              </w:rPr>
              <w:t>2.59%</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B0EA3ED" w14:textId="77777777" w:rsidR="00C77374" w:rsidRPr="00C77374" w:rsidRDefault="00C77374" w:rsidP="00C77374">
            <w:pPr>
              <w:jc w:val="right"/>
              <w:rPr>
                <w:color w:val="000000"/>
                <w:sz w:val="20"/>
              </w:rPr>
            </w:pPr>
            <w:r w:rsidRPr="00C77374">
              <w:rPr>
                <w:color w:val="000000"/>
                <w:sz w:val="20"/>
              </w:rPr>
              <w:t>6.08%</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BB3935E" w14:textId="77777777" w:rsidR="00C77374" w:rsidRPr="00C77374" w:rsidRDefault="00C77374" w:rsidP="00C77374">
            <w:pPr>
              <w:jc w:val="right"/>
              <w:rPr>
                <w:color w:val="000000"/>
                <w:sz w:val="20"/>
              </w:rPr>
            </w:pPr>
            <w:r w:rsidRPr="00C77374">
              <w:rPr>
                <w:color w:val="000000"/>
                <w:sz w:val="20"/>
              </w:rPr>
              <w:t>3.49%</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94693" w14:textId="77777777" w:rsidR="00C77374" w:rsidRPr="00C77374" w:rsidRDefault="00C77374" w:rsidP="00C77374">
            <w:pPr>
              <w:jc w:val="right"/>
              <w:rPr>
                <w:color w:val="000000"/>
                <w:sz w:val="20"/>
              </w:rPr>
            </w:pPr>
            <w:r w:rsidRPr="00C77374">
              <w:rPr>
                <w:color w:val="000000"/>
                <w:sz w:val="20"/>
              </w:rPr>
              <w:t>3.83%</w:t>
            </w:r>
          </w:p>
        </w:tc>
      </w:tr>
      <w:tr w:rsidR="00C77374" w:rsidRPr="00C77374" w14:paraId="23A9B7E9"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90C8A" w14:textId="77777777" w:rsidR="00C77374" w:rsidRPr="00C77374" w:rsidRDefault="00C77374" w:rsidP="00C77374">
            <w:pPr>
              <w:rPr>
                <w:color w:val="000000"/>
                <w:sz w:val="20"/>
              </w:rPr>
            </w:pPr>
            <w:r w:rsidRPr="00C77374">
              <w:rPr>
                <w:color w:val="000000"/>
                <w:sz w:val="20"/>
              </w:rPr>
              <w:t xml:space="preserve">7. Cocaine Use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1E32DA02" w14:textId="77777777" w:rsidR="00C77374" w:rsidRPr="00C77374" w:rsidRDefault="00C77374" w:rsidP="00C77374">
            <w:pPr>
              <w:jc w:val="right"/>
              <w:rPr>
                <w:color w:val="000000"/>
                <w:sz w:val="20"/>
              </w:rPr>
            </w:pPr>
            <w:r w:rsidRPr="00C77374">
              <w:rPr>
                <w:color w:val="000000"/>
                <w:sz w:val="20"/>
              </w:rPr>
              <w:t>***</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FE24A55" w14:textId="77777777" w:rsidR="00C77374" w:rsidRPr="00C77374" w:rsidRDefault="00C77374" w:rsidP="00C77374">
            <w:pPr>
              <w:jc w:val="right"/>
              <w:rPr>
                <w:color w:val="000000"/>
                <w:sz w:val="20"/>
              </w:rPr>
            </w:pPr>
            <w:r w:rsidRPr="00C77374">
              <w:rPr>
                <w:color w:val="000000"/>
                <w:sz w:val="20"/>
              </w:rPr>
              <w:t>4.46%</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74A5CEB" w14:textId="77777777" w:rsidR="00C77374" w:rsidRPr="00C77374" w:rsidRDefault="00C77374" w:rsidP="00C77374">
            <w:pPr>
              <w:jc w:val="right"/>
              <w:rPr>
                <w:color w:val="000000"/>
                <w:sz w:val="20"/>
              </w:rPr>
            </w:pPr>
            <w:r w:rsidRPr="00C77374">
              <w:rPr>
                <w:color w:val="000000"/>
                <w:sz w:val="20"/>
              </w:rPr>
              <w:t>1.50%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B8C80" w14:textId="77777777" w:rsidR="00C77374" w:rsidRPr="00C77374" w:rsidRDefault="00C77374" w:rsidP="00C77374">
            <w:pPr>
              <w:jc w:val="right"/>
              <w:rPr>
                <w:color w:val="000000"/>
                <w:sz w:val="20"/>
              </w:rPr>
            </w:pPr>
            <w:r w:rsidRPr="00C77374">
              <w:rPr>
                <w:color w:val="000000"/>
                <w:sz w:val="20"/>
              </w:rPr>
              <w:t>1.88%</w:t>
            </w:r>
          </w:p>
        </w:tc>
      </w:tr>
      <w:tr w:rsidR="00C77374" w:rsidRPr="00C77374" w14:paraId="0B12E927"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1BF8" w14:textId="77777777" w:rsidR="00C77374" w:rsidRPr="00C77374" w:rsidRDefault="00C77374" w:rsidP="00C77374">
            <w:pPr>
              <w:rPr>
                <w:color w:val="000000"/>
                <w:sz w:val="20"/>
              </w:rPr>
            </w:pPr>
            <w:r w:rsidRPr="00C77374">
              <w:rPr>
                <w:color w:val="000000"/>
                <w:sz w:val="20"/>
              </w:rPr>
              <w:t xml:space="preserve">8. Perceptions of Great Risk from Using Cocaine Once a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629AC704" w14:textId="77777777" w:rsidR="00C77374" w:rsidRPr="00C77374" w:rsidRDefault="00C77374" w:rsidP="00C77374">
            <w:pPr>
              <w:jc w:val="right"/>
              <w:rPr>
                <w:color w:val="000000"/>
                <w:sz w:val="20"/>
              </w:rPr>
            </w:pPr>
            <w:r w:rsidRPr="00C77374">
              <w:rPr>
                <w:color w:val="000000"/>
                <w:sz w:val="20"/>
              </w:rPr>
              <w:t>54.70%</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66D1E10F" w14:textId="77777777" w:rsidR="00C77374" w:rsidRPr="00C77374" w:rsidRDefault="00C77374" w:rsidP="00C77374">
            <w:pPr>
              <w:jc w:val="right"/>
              <w:rPr>
                <w:color w:val="000000"/>
                <w:sz w:val="20"/>
              </w:rPr>
            </w:pPr>
            <w:r w:rsidRPr="00C77374">
              <w:rPr>
                <w:color w:val="000000"/>
                <w:sz w:val="20"/>
              </w:rPr>
              <w:t>67.42%</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CB3D8EA" w14:textId="77777777" w:rsidR="00C77374" w:rsidRPr="00C77374" w:rsidRDefault="00C77374" w:rsidP="00C77374">
            <w:pPr>
              <w:jc w:val="right"/>
              <w:rPr>
                <w:color w:val="000000"/>
                <w:sz w:val="20"/>
              </w:rPr>
            </w:pPr>
            <w:r w:rsidRPr="00C77374">
              <w:rPr>
                <w:color w:val="000000"/>
                <w:sz w:val="20"/>
              </w:rPr>
              <w:t>74.05%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54207" w14:textId="77777777" w:rsidR="00C77374" w:rsidRPr="00C77374" w:rsidRDefault="00C77374" w:rsidP="00C77374">
            <w:pPr>
              <w:jc w:val="right"/>
              <w:rPr>
                <w:color w:val="000000"/>
                <w:sz w:val="20"/>
              </w:rPr>
            </w:pPr>
            <w:r w:rsidRPr="00C77374">
              <w:rPr>
                <w:color w:val="000000"/>
                <w:sz w:val="20"/>
              </w:rPr>
              <w:t>73.19%</w:t>
            </w:r>
          </w:p>
        </w:tc>
      </w:tr>
      <w:tr w:rsidR="00C77374" w:rsidRPr="00C77374" w14:paraId="08F9044C"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73224" w14:textId="77777777" w:rsidR="00C77374" w:rsidRPr="00C77374" w:rsidRDefault="00C77374" w:rsidP="00C77374">
            <w:pPr>
              <w:rPr>
                <w:color w:val="000000"/>
                <w:sz w:val="20"/>
              </w:rPr>
            </w:pPr>
            <w:r w:rsidRPr="00C77374">
              <w:rPr>
                <w:color w:val="000000"/>
                <w:sz w:val="20"/>
              </w:rPr>
              <w:t xml:space="preserve">9. Heroin Use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309B7907" w14:textId="77777777" w:rsidR="00C77374" w:rsidRPr="00C77374" w:rsidRDefault="00C77374" w:rsidP="00C77374">
            <w:pPr>
              <w:jc w:val="right"/>
              <w:rPr>
                <w:color w:val="000000"/>
                <w:sz w:val="20"/>
              </w:rPr>
            </w:pPr>
            <w:r w:rsidRPr="00C77374">
              <w:rPr>
                <w:color w:val="000000"/>
                <w:sz w:val="20"/>
              </w:rPr>
              <w:t>***</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77ED563" w14:textId="77777777" w:rsidR="00C77374" w:rsidRPr="00C77374" w:rsidRDefault="00C77374" w:rsidP="00C77374">
            <w:pPr>
              <w:jc w:val="right"/>
              <w:rPr>
                <w:color w:val="000000"/>
                <w:sz w:val="20"/>
              </w:rPr>
            </w:pPr>
            <w:r w:rsidRPr="00C77374">
              <w:rPr>
                <w:color w:val="000000"/>
                <w:sz w:val="20"/>
              </w:rPr>
              <w:t>***</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7CD1A9F" w14:textId="77777777" w:rsidR="00C77374" w:rsidRPr="00C77374" w:rsidRDefault="00C77374" w:rsidP="00C77374">
            <w:pPr>
              <w:jc w:val="right"/>
              <w:rPr>
                <w:color w:val="000000"/>
                <w:sz w:val="20"/>
              </w:rPr>
            </w:pPr>
            <w:r w:rsidRPr="00C77374">
              <w:rPr>
                <w:color w:val="000000"/>
                <w:sz w:val="20"/>
              </w:rPr>
              <w:t>0.23%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0F91" w14:textId="77777777" w:rsidR="00C77374" w:rsidRPr="00C77374" w:rsidRDefault="00C77374" w:rsidP="00C77374">
            <w:pPr>
              <w:jc w:val="right"/>
              <w:rPr>
                <w:color w:val="000000"/>
                <w:sz w:val="20"/>
              </w:rPr>
            </w:pPr>
            <w:r w:rsidRPr="00C77374">
              <w:rPr>
                <w:color w:val="000000"/>
                <w:sz w:val="20"/>
              </w:rPr>
              <w:t>0.24%</w:t>
            </w:r>
          </w:p>
        </w:tc>
      </w:tr>
      <w:tr w:rsidR="00C77374" w:rsidRPr="00C77374" w14:paraId="4D57BD7E"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68A2F" w14:textId="77777777" w:rsidR="00C77374" w:rsidRPr="00C77374" w:rsidRDefault="00C77374" w:rsidP="00C77374">
            <w:pPr>
              <w:rPr>
                <w:color w:val="000000"/>
                <w:sz w:val="20"/>
              </w:rPr>
            </w:pPr>
            <w:r w:rsidRPr="00C77374">
              <w:rPr>
                <w:color w:val="000000"/>
                <w:sz w:val="20"/>
              </w:rPr>
              <w:t xml:space="preserve">10. Perceptions of Great Risk from Trying Heroin Once or Twice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65901E37" w14:textId="77777777" w:rsidR="00C77374" w:rsidRPr="00C77374" w:rsidRDefault="00C77374" w:rsidP="00C77374">
            <w:pPr>
              <w:jc w:val="right"/>
              <w:rPr>
                <w:color w:val="000000"/>
                <w:sz w:val="20"/>
              </w:rPr>
            </w:pPr>
            <w:r w:rsidRPr="00C77374">
              <w:rPr>
                <w:color w:val="000000"/>
                <w:sz w:val="20"/>
              </w:rPr>
              <w:t>66.64%</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64E40875" w14:textId="77777777" w:rsidR="00C77374" w:rsidRPr="00C77374" w:rsidRDefault="00C77374" w:rsidP="00C77374">
            <w:pPr>
              <w:jc w:val="right"/>
              <w:rPr>
                <w:color w:val="000000"/>
                <w:sz w:val="20"/>
              </w:rPr>
            </w:pPr>
            <w:r w:rsidRPr="00C77374">
              <w:rPr>
                <w:color w:val="000000"/>
                <w:sz w:val="20"/>
              </w:rPr>
              <w:t>85.26%</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B256099" w14:textId="77777777" w:rsidR="00C77374" w:rsidRPr="00C77374" w:rsidRDefault="00C77374" w:rsidP="00C77374">
            <w:pPr>
              <w:jc w:val="right"/>
              <w:rPr>
                <w:color w:val="000000"/>
                <w:sz w:val="20"/>
              </w:rPr>
            </w:pPr>
            <w:r w:rsidRPr="00C77374">
              <w:rPr>
                <w:color w:val="000000"/>
                <w:sz w:val="20"/>
              </w:rPr>
              <w:t>90.21%</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79D3C" w14:textId="77777777" w:rsidR="00C77374" w:rsidRPr="00C77374" w:rsidRDefault="00C77374" w:rsidP="00C77374">
            <w:pPr>
              <w:jc w:val="right"/>
              <w:rPr>
                <w:color w:val="000000"/>
                <w:sz w:val="20"/>
              </w:rPr>
            </w:pPr>
            <w:r w:rsidRPr="00C77374">
              <w:rPr>
                <w:color w:val="000000"/>
                <w:sz w:val="20"/>
              </w:rPr>
              <w:t>89.58%</w:t>
            </w:r>
          </w:p>
        </w:tc>
      </w:tr>
      <w:tr w:rsidR="00C77374" w:rsidRPr="00C77374" w14:paraId="3B975FB9"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D7B8B" w14:textId="77777777" w:rsidR="00C77374" w:rsidRPr="00C77374" w:rsidRDefault="00C77374" w:rsidP="00C77374">
            <w:pPr>
              <w:rPr>
                <w:color w:val="000000"/>
                <w:sz w:val="20"/>
              </w:rPr>
            </w:pPr>
            <w:r w:rsidRPr="00C77374">
              <w:rPr>
                <w:color w:val="000000"/>
                <w:sz w:val="20"/>
              </w:rPr>
              <w:t xml:space="preserve">11. Methamphetamine Use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32494522" w14:textId="77777777" w:rsidR="00C77374" w:rsidRPr="00C77374" w:rsidRDefault="00C77374" w:rsidP="00C77374">
            <w:pPr>
              <w:jc w:val="right"/>
              <w:rPr>
                <w:color w:val="000000"/>
                <w:sz w:val="20"/>
              </w:rPr>
            </w:pPr>
            <w:r w:rsidRPr="00C77374">
              <w:rPr>
                <w:color w:val="000000"/>
                <w:sz w:val="20"/>
              </w:rPr>
              <w:t>***</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FEE07B0" w14:textId="77777777" w:rsidR="00C77374" w:rsidRPr="00C77374" w:rsidRDefault="00C77374" w:rsidP="00C77374">
            <w:pPr>
              <w:jc w:val="right"/>
              <w:rPr>
                <w:color w:val="000000"/>
                <w:sz w:val="20"/>
              </w:rPr>
            </w:pPr>
            <w:r w:rsidRPr="00C77374">
              <w:rPr>
                <w:color w:val="000000"/>
                <w:sz w:val="20"/>
              </w:rPr>
              <w:t>***</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29A9B8B7" w14:textId="77777777" w:rsidR="00C77374" w:rsidRPr="00C77374" w:rsidRDefault="00C77374" w:rsidP="00C77374">
            <w:pPr>
              <w:jc w:val="right"/>
              <w:rPr>
                <w:color w:val="000000"/>
                <w:sz w:val="20"/>
              </w:rPr>
            </w:pPr>
            <w:r w:rsidRPr="00C77374">
              <w:rPr>
                <w:color w:val="000000"/>
                <w:sz w:val="20"/>
              </w:rPr>
              <w:t>0.47%</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00CC9" w14:textId="77777777" w:rsidR="00C77374" w:rsidRPr="00C77374" w:rsidRDefault="00C77374" w:rsidP="00C77374">
            <w:pPr>
              <w:jc w:val="right"/>
              <w:rPr>
                <w:color w:val="000000"/>
                <w:sz w:val="20"/>
              </w:rPr>
            </w:pPr>
            <w:r w:rsidRPr="00C77374">
              <w:rPr>
                <w:color w:val="000000"/>
                <w:sz w:val="20"/>
              </w:rPr>
              <w:t>0.46%</w:t>
            </w:r>
          </w:p>
        </w:tc>
      </w:tr>
      <w:tr w:rsidR="00C77374" w:rsidRPr="00C77374" w14:paraId="7DE05203"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01AD8" w14:textId="77777777" w:rsidR="00C77374" w:rsidRPr="00C77374" w:rsidRDefault="00C77374" w:rsidP="00C77374">
            <w:pPr>
              <w:rPr>
                <w:color w:val="000000"/>
                <w:sz w:val="20"/>
              </w:rPr>
            </w:pPr>
            <w:r w:rsidRPr="00C77374">
              <w:rPr>
                <w:color w:val="000000"/>
                <w:sz w:val="20"/>
              </w:rPr>
              <w:t xml:space="preserve">12. Pain Reliever Misuse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6B5293C1" w14:textId="77777777" w:rsidR="00C77374" w:rsidRPr="00C77374" w:rsidRDefault="00C77374" w:rsidP="00C77374">
            <w:pPr>
              <w:jc w:val="right"/>
              <w:rPr>
                <w:color w:val="000000"/>
                <w:sz w:val="20"/>
              </w:rPr>
            </w:pPr>
            <w:r w:rsidRPr="00C77374">
              <w:rPr>
                <w:color w:val="000000"/>
                <w:sz w:val="20"/>
              </w:rPr>
              <w:t>3.08%</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9FB314C" w14:textId="77777777" w:rsidR="00C77374" w:rsidRPr="00C77374" w:rsidRDefault="00C77374" w:rsidP="00C77374">
            <w:pPr>
              <w:jc w:val="right"/>
              <w:rPr>
                <w:color w:val="000000"/>
                <w:sz w:val="20"/>
              </w:rPr>
            </w:pPr>
            <w:r w:rsidRPr="00C77374">
              <w:rPr>
                <w:color w:val="000000"/>
                <w:sz w:val="20"/>
              </w:rPr>
              <w:t>6.62%</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49F16E4" w14:textId="77777777" w:rsidR="00C77374" w:rsidRPr="00C77374" w:rsidRDefault="00C77374" w:rsidP="00C77374">
            <w:pPr>
              <w:jc w:val="right"/>
              <w:rPr>
                <w:color w:val="000000"/>
                <w:sz w:val="20"/>
              </w:rPr>
            </w:pPr>
            <w:r w:rsidRPr="00C77374">
              <w:rPr>
                <w:color w:val="000000"/>
                <w:sz w:val="20"/>
              </w:rPr>
              <w:t>3.96%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D9FB" w14:textId="77777777" w:rsidR="00C77374" w:rsidRPr="00C77374" w:rsidRDefault="00C77374" w:rsidP="00C77374">
            <w:pPr>
              <w:jc w:val="right"/>
              <w:rPr>
                <w:color w:val="000000"/>
                <w:sz w:val="20"/>
              </w:rPr>
            </w:pPr>
            <w:r w:rsidRPr="00C77374">
              <w:rPr>
                <w:color w:val="000000"/>
                <w:sz w:val="20"/>
              </w:rPr>
              <w:t>4.30%</w:t>
            </w:r>
          </w:p>
        </w:tc>
      </w:tr>
      <w:tr w:rsidR="00C77374" w:rsidRPr="00C77374" w14:paraId="7F5DEFCB"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74982" w14:textId="77777777" w:rsidR="00C77374" w:rsidRPr="00C77374" w:rsidRDefault="00C77374" w:rsidP="00C77374">
            <w:pPr>
              <w:rPr>
                <w:b/>
                <w:bCs/>
                <w:color w:val="000000"/>
                <w:sz w:val="20"/>
              </w:rPr>
            </w:pPr>
            <w:r w:rsidRPr="00C77374">
              <w:rPr>
                <w:b/>
                <w:bCs/>
                <w:color w:val="000000"/>
                <w:sz w:val="20"/>
              </w:rPr>
              <w:t>Alcohol Use</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BC2FE"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FC437AD"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598EAE6"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478D" w14:textId="77777777" w:rsidR="00C77374" w:rsidRPr="00C77374" w:rsidRDefault="00C77374" w:rsidP="00C77374">
            <w:pPr>
              <w:jc w:val="right"/>
              <w:rPr>
                <w:sz w:val="20"/>
              </w:rPr>
            </w:pPr>
          </w:p>
        </w:tc>
      </w:tr>
      <w:tr w:rsidR="00C77374" w:rsidRPr="00C77374" w14:paraId="45FF4D36"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53D73" w14:textId="77777777" w:rsidR="00C77374" w:rsidRPr="00C77374" w:rsidRDefault="00C77374" w:rsidP="00C77374">
            <w:pPr>
              <w:rPr>
                <w:color w:val="000000"/>
                <w:sz w:val="20"/>
              </w:rPr>
            </w:pPr>
            <w:r w:rsidRPr="00C77374">
              <w:rPr>
                <w:color w:val="000000"/>
                <w:sz w:val="20"/>
              </w:rPr>
              <w:t xml:space="preserve">13. Alcohol Use in the Past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16D3449D" w14:textId="77777777" w:rsidR="00C77374" w:rsidRPr="00C77374" w:rsidRDefault="00C77374" w:rsidP="00C77374">
            <w:pPr>
              <w:jc w:val="right"/>
              <w:rPr>
                <w:color w:val="000000"/>
                <w:sz w:val="20"/>
              </w:rPr>
            </w:pPr>
            <w:r w:rsidRPr="00C77374">
              <w:rPr>
                <w:color w:val="000000"/>
                <w:sz w:val="20"/>
              </w:rPr>
              <w:t>10.17%</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1FBFAB9" w14:textId="77777777" w:rsidR="00C77374" w:rsidRPr="00C77374" w:rsidRDefault="00C77374" w:rsidP="00C77374">
            <w:pPr>
              <w:jc w:val="right"/>
              <w:rPr>
                <w:color w:val="000000"/>
                <w:sz w:val="20"/>
              </w:rPr>
            </w:pPr>
            <w:r w:rsidRPr="00C77374">
              <w:rPr>
                <w:color w:val="000000"/>
                <w:sz w:val="20"/>
              </w:rPr>
              <w:t>57.46%</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7ACE742E" w14:textId="77777777" w:rsidR="00C77374" w:rsidRPr="00C77374" w:rsidRDefault="00C77374" w:rsidP="00C77374">
            <w:pPr>
              <w:jc w:val="right"/>
              <w:rPr>
                <w:color w:val="000000"/>
                <w:sz w:val="20"/>
              </w:rPr>
            </w:pPr>
            <w:r w:rsidRPr="00C77374">
              <w:rPr>
                <w:color w:val="000000"/>
                <w:sz w:val="20"/>
              </w:rPr>
              <w:t>59.71%</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BF4E8" w14:textId="77777777" w:rsidR="00C77374" w:rsidRPr="00C77374" w:rsidRDefault="00C77374" w:rsidP="00C77374">
            <w:pPr>
              <w:jc w:val="right"/>
              <w:rPr>
                <w:color w:val="000000"/>
                <w:sz w:val="20"/>
              </w:rPr>
            </w:pPr>
            <w:r w:rsidRPr="00C77374">
              <w:rPr>
                <w:color w:val="000000"/>
                <w:sz w:val="20"/>
              </w:rPr>
              <w:t>59.43%</w:t>
            </w:r>
          </w:p>
        </w:tc>
      </w:tr>
      <w:tr w:rsidR="00C77374" w:rsidRPr="00C77374" w14:paraId="0F295E1A" w14:textId="77777777" w:rsidTr="00C7737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DDCA" w14:textId="77777777" w:rsidR="00C77374" w:rsidRPr="00C77374" w:rsidRDefault="00C77374" w:rsidP="00C77374">
            <w:pPr>
              <w:rPr>
                <w:color w:val="000000"/>
                <w:sz w:val="20"/>
              </w:rPr>
            </w:pPr>
            <w:r w:rsidRPr="00C77374">
              <w:rPr>
                <w:color w:val="000000"/>
                <w:sz w:val="20"/>
              </w:rPr>
              <w:t>13a. Underage Drinking in Past Month (Ages 12-20) **</w:t>
            </w:r>
          </w:p>
        </w:tc>
        <w:tc>
          <w:tcPr>
            <w:tcW w:w="855" w:type="dxa"/>
            <w:tcBorders>
              <w:top w:val="single" w:sz="4" w:space="0" w:color="auto"/>
              <w:left w:val="single" w:sz="4" w:space="0" w:color="9BBB59"/>
              <w:bottom w:val="single" w:sz="4" w:space="0" w:color="auto"/>
              <w:right w:val="single" w:sz="4" w:space="0" w:color="auto"/>
            </w:tcBorders>
            <w:shd w:val="clear" w:color="auto" w:fill="auto"/>
            <w:noWrap/>
            <w:vAlign w:val="center"/>
            <w:hideMark/>
          </w:tcPr>
          <w:p w14:paraId="6FE69207" w14:textId="77777777" w:rsidR="00C77374" w:rsidRPr="00C77374" w:rsidRDefault="00C77374" w:rsidP="00C77374">
            <w:pPr>
              <w:jc w:val="right"/>
              <w:rPr>
                <w:color w:val="000000"/>
                <w:sz w:val="20"/>
              </w:rPr>
            </w:pPr>
            <w:r w:rsidRPr="00C77374">
              <w:rPr>
                <w:color w:val="000000"/>
                <w:sz w:val="20"/>
              </w:rPr>
              <w:t>20.57%</w:t>
            </w:r>
          </w:p>
        </w:tc>
        <w:tc>
          <w:tcPr>
            <w:tcW w:w="855" w:type="dxa"/>
            <w:tcBorders>
              <w:top w:val="single" w:sz="4" w:space="0" w:color="auto"/>
              <w:left w:val="single" w:sz="4" w:space="0" w:color="auto"/>
              <w:bottom w:val="single" w:sz="4" w:space="0" w:color="auto"/>
              <w:right w:val="single" w:sz="4" w:space="0" w:color="auto"/>
            </w:tcBorders>
            <w:shd w:val="clear" w:color="auto" w:fill="E5DFEC"/>
            <w:vAlign w:val="center"/>
          </w:tcPr>
          <w:p w14:paraId="7B7D1C49" w14:textId="77777777" w:rsidR="00C77374" w:rsidRPr="00C77374" w:rsidRDefault="00C77374" w:rsidP="00C77374">
            <w:pPr>
              <w:jc w:val="right"/>
              <w:rPr>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E5DFEC"/>
            <w:vAlign w:val="center"/>
          </w:tcPr>
          <w:p w14:paraId="09B32591" w14:textId="77777777" w:rsidR="00C77374" w:rsidRPr="00C77374" w:rsidRDefault="00C77374" w:rsidP="00C77374">
            <w:pPr>
              <w:jc w:val="right"/>
              <w:rPr>
                <w:color w:val="000000"/>
                <w:sz w:val="20"/>
              </w:rPr>
            </w:pPr>
            <w:r w:rsidRPr="00C77374">
              <w:rPr>
                <w:color w:val="000000"/>
                <w:sz w:val="20"/>
              </w:rPr>
              <w:t> </w:t>
            </w:r>
          </w:p>
        </w:tc>
        <w:tc>
          <w:tcPr>
            <w:tcW w:w="855"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38B4E7B2" w14:textId="77777777" w:rsidR="00C77374" w:rsidRPr="00C77374" w:rsidRDefault="00C77374" w:rsidP="00C77374">
            <w:pPr>
              <w:jc w:val="right"/>
              <w:rPr>
                <w:color w:val="000000"/>
                <w:sz w:val="20"/>
              </w:rPr>
            </w:pPr>
          </w:p>
        </w:tc>
      </w:tr>
      <w:tr w:rsidR="00C77374" w:rsidRPr="00C77374" w14:paraId="7F64EFBA"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BB508" w14:textId="77777777" w:rsidR="00C77374" w:rsidRPr="00C77374" w:rsidRDefault="00C77374" w:rsidP="00C77374">
            <w:pPr>
              <w:rPr>
                <w:color w:val="000000"/>
                <w:sz w:val="20"/>
              </w:rPr>
            </w:pPr>
            <w:r w:rsidRPr="00C77374">
              <w:rPr>
                <w:color w:val="000000"/>
                <w:sz w:val="20"/>
              </w:rPr>
              <w:t xml:space="preserve">14. Binge Alcohol Use in the Past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792CC679" w14:textId="77777777" w:rsidR="00C77374" w:rsidRPr="00C77374" w:rsidRDefault="00C77374" w:rsidP="00C77374">
            <w:pPr>
              <w:jc w:val="right"/>
              <w:rPr>
                <w:color w:val="000000"/>
                <w:sz w:val="20"/>
              </w:rPr>
            </w:pPr>
            <w:r w:rsidRPr="00C77374">
              <w:rPr>
                <w:color w:val="000000"/>
                <w:sz w:val="20"/>
              </w:rPr>
              <w:t>4.53%</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5C7169A" w14:textId="77777777" w:rsidR="00C77374" w:rsidRPr="00C77374" w:rsidRDefault="00C77374" w:rsidP="00C77374">
            <w:pPr>
              <w:jc w:val="right"/>
              <w:rPr>
                <w:color w:val="000000"/>
                <w:sz w:val="20"/>
              </w:rPr>
            </w:pPr>
            <w:r w:rsidRPr="00C77374">
              <w:rPr>
                <w:color w:val="000000"/>
                <w:sz w:val="20"/>
              </w:rPr>
              <w:t>35.08%</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01BAFB86" w14:textId="77777777" w:rsidR="00C77374" w:rsidRPr="00C77374" w:rsidRDefault="00C77374" w:rsidP="00C77374">
            <w:pPr>
              <w:jc w:val="right"/>
              <w:rPr>
                <w:color w:val="000000"/>
                <w:sz w:val="20"/>
              </w:rPr>
            </w:pPr>
            <w:r w:rsidRPr="00C77374">
              <w:rPr>
                <w:color w:val="000000"/>
                <w:sz w:val="20"/>
              </w:rPr>
              <w:t>27.80%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F488" w14:textId="77777777" w:rsidR="00C77374" w:rsidRPr="00C77374" w:rsidRDefault="00C77374" w:rsidP="00C77374">
            <w:pPr>
              <w:jc w:val="right"/>
              <w:rPr>
                <w:color w:val="000000"/>
                <w:sz w:val="20"/>
              </w:rPr>
            </w:pPr>
            <w:r w:rsidRPr="00C77374">
              <w:rPr>
                <w:color w:val="000000"/>
                <w:sz w:val="20"/>
              </w:rPr>
              <w:t>28.74%</w:t>
            </w:r>
          </w:p>
        </w:tc>
      </w:tr>
      <w:tr w:rsidR="00C77374" w:rsidRPr="00C77374" w14:paraId="60E33B06" w14:textId="77777777" w:rsidTr="00C7737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DC01C" w14:textId="77777777" w:rsidR="00C77374" w:rsidRPr="00C77374" w:rsidRDefault="00C77374" w:rsidP="00C77374">
            <w:pPr>
              <w:rPr>
                <w:color w:val="000000"/>
                <w:sz w:val="20"/>
              </w:rPr>
            </w:pPr>
            <w:r w:rsidRPr="00C77374">
              <w:rPr>
                <w:color w:val="000000"/>
                <w:sz w:val="20"/>
              </w:rPr>
              <w:t>14a. Underage Binge Drinking in the Pat Month (Ages 12-20) **</w:t>
            </w:r>
          </w:p>
        </w:tc>
        <w:tc>
          <w:tcPr>
            <w:tcW w:w="855" w:type="dxa"/>
            <w:tcBorders>
              <w:top w:val="single" w:sz="4" w:space="0" w:color="auto"/>
              <w:left w:val="single" w:sz="4" w:space="0" w:color="9BBB59"/>
              <w:bottom w:val="single" w:sz="4" w:space="0" w:color="auto"/>
              <w:right w:val="single" w:sz="4" w:space="0" w:color="auto"/>
            </w:tcBorders>
            <w:shd w:val="clear" w:color="auto" w:fill="auto"/>
            <w:noWrap/>
            <w:vAlign w:val="center"/>
          </w:tcPr>
          <w:p w14:paraId="67CFD0A8" w14:textId="77777777" w:rsidR="00C77374" w:rsidRPr="00C77374" w:rsidRDefault="00C77374" w:rsidP="00C77374">
            <w:pPr>
              <w:jc w:val="right"/>
              <w:rPr>
                <w:color w:val="000000"/>
                <w:sz w:val="20"/>
              </w:rPr>
            </w:pPr>
            <w:r w:rsidRPr="00C77374">
              <w:rPr>
                <w:color w:val="000000"/>
                <w:sz w:val="20"/>
              </w:rPr>
              <w:t>10.97%</w:t>
            </w:r>
          </w:p>
        </w:tc>
        <w:tc>
          <w:tcPr>
            <w:tcW w:w="855" w:type="dxa"/>
            <w:tcBorders>
              <w:top w:val="single" w:sz="4" w:space="0" w:color="auto"/>
              <w:left w:val="single" w:sz="4" w:space="0" w:color="auto"/>
              <w:bottom w:val="single" w:sz="4" w:space="0" w:color="auto"/>
              <w:right w:val="single" w:sz="4" w:space="0" w:color="auto"/>
            </w:tcBorders>
            <w:shd w:val="clear" w:color="auto" w:fill="E5DFEC"/>
            <w:vAlign w:val="center"/>
          </w:tcPr>
          <w:p w14:paraId="2A8498BF" w14:textId="77777777" w:rsidR="00C77374" w:rsidRPr="00C77374" w:rsidRDefault="00C77374" w:rsidP="00C77374">
            <w:pPr>
              <w:jc w:val="right"/>
              <w:rPr>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E5DFEC"/>
            <w:vAlign w:val="center"/>
          </w:tcPr>
          <w:p w14:paraId="3BE49773" w14:textId="77777777" w:rsidR="00C77374" w:rsidRPr="00C77374" w:rsidRDefault="00C77374" w:rsidP="00C77374">
            <w:pPr>
              <w:jc w:val="right"/>
              <w:rPr>
                <w:color w:val="000000"/>
                <w:sz w:val="20"/>
              </w:rPr>
            </w:pPr>
            <w:r w:rsidRPr="00C77374">
              <w:rPr>
                <w:color w:val="000000"/>
                <w:sz w:val="20"/>
              </w:rPr>
              <w:t> </w:t>
            </w:r>
          </w:p>
        </w:tc>
        <w:tc>
          <w:tcPr>
            <w:tcW w:w="855" w:type="dxa"/>
            <w:tcBorders>
              <w:top w:val="single" w:sz="4" w:space="0" w:color="auto"/>
              <w:left w:val="single" w:sz="4" w:space="0" w:color="auto"/>
              <w:bottom w:val="single" w:sz="4" w:space="0" w:color="auto"/>
              <w:right w:val="single" w:sz="4" w:space="0" w:color="auto"/>
            </w:tcBorders>
            <w:shd w:val="clear" w:color="auto" w:fill="E5DFEC"/>
            <w:noWrap/>
            <w:vAlign w:val="center"/>
          </w:tcPr>
          <w:p w14:paraId="4B92FC3B" w14:textId="77777777" w:rsidR="00C77374" w:rsidRPr="00C77374" w:rsidRDefault="00C77374" w:rsidP="00C77374">
            <w:pPr>
              <w:jc w:val="right"/>
              <w:rPr>
                <w:color w:val="000000"/>
                <w:sz w:val="20"/>
              </w:rPr>
            </w:pPr>
          </w:p>
        </w:tc>
      </w:tr>
      <w:tr w:rsidR="00C77374" w:rsidRPr="00C77374" w14:paraId="74BC5F72"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C3BFC" w14:textId="77777777" w:rsidR="00C77374" w:rsidRPr="00C77374" w:rsidRDefault="00C77374" w:rsidP="00C77374">
            <w:pPr>
              <w:rPr>
                <w:color w:val="000000"/>
                <w:sz w:val="20"/>
              </w:rPr>
            </w:pPr>
            <w:r w:rsidRPr="00C77374">
              <w:rPr>
                <w:color w:val="000000"/>
                <w:sz w:val="20"/>
              </w:rPr>
              <w:t xml:space="preserve">15. Perceptions of Great Risk from Having Five or More Drinks of an Alcoholic Beverage Once or Twice a Week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5575EE1D" w14:textId="77777777" w:rsidR="00C77374" w:rsidRPr="00C77374" w:rsidRDefault="00C77374" w:rsidP="00C77374">
            <w:pPr>
              <w:jc w:val="right"/>
              <w:rPr>
                <w:color w:val="000000"/>
                <w:sz w:val="20"/>
              </w:rPr>
            </w:pPr>
            <w:r w:rsidRPr="00C77374">
              <w:rPr>
                <w:color w:val="000000"/>
                <w:sz w:val="20"/>
              </w:rPr>
              <w:t>46.59%</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283CB7E3" w14:textId="77777777" w:rsidR="00C77374" w:rsidRPr="00C77374" w:rsidRDefault="00C77374" w:rsidP="00C77374">
            <w:pPr>
              <w:jc w:val="right"/>
              <w:rPr>
                <w:color w:val="000000"/>
                <w:sz w:val="20"/>
              </w:rPr>
            </w:pPr>
            <w:r w:rsidRPr="00C77374">
              <w:rPr>
                <w:color w:val="000000"/>
                <w:sz w:val="20"/>
              </w:rPr>
              <w:t>41.60%</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C6741C7" w14:textId="77777777" w:rsidR="00C77374" w:rsidRPr="00C77374" w:rsidRDefault="00C77374" w:rsidP="00C77374">
            <w:pPr>
              <w:jc w:val="right"/>
              <w:rPr>
                <w:color w:val="000000"/>
                <w:sz w:val="20"/>
              </w:rPr>
            </w:pPr>
            <w:r w:rsidRPr="00C77374">
              <w:rPr>
                <w:color w:val="000000"/>
                <w:sz w:val="20"/>
              </w:rPr>
              <w:t>46.39%</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3F9D" w14:textId="77777777" w:rsidR="00C77374" w:rsidRPr="00C77374" w:rsidRDefault="00C77374" w:rsidP="00C77374">
            <w:pPr>
              <w:jc w:val="right"/>
              <w:rPr>
                <w:color w:val="000000"/>
                <w:sz w:val="20"/>
              </w:rPr>
            </w:pPr>
            <w:r w:rsidRPr="00C77374">
              <w:rPr>
                <w:color w:val="000000"/>
                <w:sz w:val="20"/>
              </w:rPr>
              <w:t>45.77%</w:t>
            </w:r>
          </w:p>
        </w:tc>
      </w:tr>
      <w:tr w:rsidR="00C77374" w:rsidRPr="00C77374" w14:paraId="4B1DE0FA"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68A74" w14:textId="77777777" w:rsidR="00C77374" w:rsidRPr="00C77374" w:rsidRDefault="00C77374" w:rsidP="00C77374">
            <w:pPr>
              <w:rPr>
                <w:b/>
                <w:bCs/>
                <w:color w:val="000000"/>
                <w:sz w:val="20"/>
              </w:rPr>
            </w:pPr>
            <w:r w:rsidRPr="00C77374">
              <w:rPr>
                <w:b/>
                <w:bCs/>
                <w:color w:val="000000"/>
                <w:sz w:val="20"/>
              </w:rPr>
              <w:t>Tobacco Use</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6FAB"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23A9968"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D1C2403"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E833F" w14:textId="77777777" w:rsidR="00C77374" w:rsidRPr="00C77374" w:rsidRDefault="00C77374" w:rsidP="00C77374">
            <w:pPr>
              <w:jc w:val="right"/>
              <w:rPr>
                <w:sz w:val="20"/>
              </w:rPr>
            </w:pPr>
          </w:p>
        </w:tc>
      </w:tr>
      <w:tr w:rsidR="00C77374" w:rsidRPr="00C77374" w14:paraId="77F7B1DD"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CAF89" w14:textId="77777777" w:rsidR="00C77374" w:rsidRPr="00C77374" w:rsidRDefault="00C77374" w:rsidP="00C77374">
            <w:pPr>
              <w:rPr>
                <w:color w:val="000000"/>
                <w:sz w:val="20"/>
              </w:rPr>
            </w:pPr>
            <w:r w:rsidRPr="00C77374">
              <w:rPr>
                <w:color w:val="000000"/>
                <w:sz w:val="20"/>
              </w:rPr>
              <w:t xml:space="preserve">16. Tobacco Product Use in the Past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1CF6F702" w14:textId="77777777" w:rsidR="00C77374" w:rsidRPr="00C77374" w:rsidRDefault="00C77374" w:rsidP="00C77374">
            <w:pPr>
              <w:jc w:val="right"/>
              <w:rPr>
                <w:color w:val="000000"/>
                <w:sz w:val="20"/>
              </w:rPr>
            </w:pPr>
            <w:r w:rsidRPr="00C77374">
              <w:rPr>
                <w:color w:val="000000"/>
                <w:sz w:val="20"/>
              </w:rPr>
              <w:t>4.37%</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96ED234" w14:textId="77777777" w:rsidR="00C77374" w:rsidRPr="00C77374" w:rsidRDefault="00C77374" w:rsidP="00C77374">
            <w:pPr>
              <w:jc w:val="right"/>
              <w:rPr>
                <w:color w:val="000000"/>
                <w:sz w:val="20"/>
              </w:rPr>
            </w:pPr>
            <w:r w:rsidRPr="00C77374">
              <w:rPr>
                <w:color w:val="000000"/>
                <w:sz w:val="20"/>
              </w:rPr>
              <w:t>29.16%</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B8303DC" w14:textId="77777777" w:rsidR="00C77374" w:rsidRPr="00C77374" w:rsidRDefault="00C77374" w:rsidP="00C77374">
            <w:pPr>
              <w:jc w:val="right"/>
              <w:rPr>
                <w:color w:val="000000"/>
                <w:sz w:val="20"/>
              </w:rPr>
            </w:pPr>
            <w:r w:rsidRPr="00C77374">
              <w:rPr>
                <w:color w:val="000000"/>
                <w:sz w:val="20"/>
              </w:rPr>
              <w:t>25.56%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7E923" w14:textId="77777777" w:rsidR="00C77374" w:rsidRPr="00C77374" w:rsidRDefault="00C77374" w:rsidP="00C77374">
            <w:pPr>
              <w:jc w:val="right"/>
              <w:rPr>
                <w:color w:val="000000"/>
                <w:sz w:val="20"/>
              </w:rPr>
            </w:pPr>
            <w:r w:rsidRPr="00C77374">
              <w:rPr>
                <w:color w:val="000000"/>
                <w:sz w:val="20"/>
              </w:rPr>
              <w:t>26.02%</w:t>
            </w:r>
          </w:p>
        </w:tc>
      </w:tr>
      <w:tr w:rsidR="00C77374" w:rsidRPr="00C77374" w14:paraId="4DFD3BD9"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566E" w14:textId="77777777" w:rsidR="00C77374" w:rsidRPr="00C77374" w:rsidRDefault="00C77374" w:rsidP="00C77374">
            <w:pPr>
              <w:rPr>
                <w:color w:val="000000"/>
                <w:sz w:val="20"/>
              </w:rPr>
            </w:pPr>
            <w:r w:rsidRPr="00C77374">
              <w:rPr>
                <w:color w:val="000000"/>
                <w:sz w:val="20"/>
              </w:rPr>
              <w:t xml:space="preserve">17. Cigarette Use in the Past Month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6E53B092" w14:textId="77777777" w:rsidR="00C77374" w:rsidRPr="00C77374" w:rsidRDefault="00C77374" w:rsidP="00C77374">
            <w:pPr>
              <w:jc w:val="right"/>
              <w:rPr>
                <w:color w:val="000000"/>
                <w:sz w:val="20"/>
              </w:rPr>
            </w:pPr>
            <w:r w:rsidRPr="00C77374">
              <w:rPr>
                <w:color w:val="000000"/>
                <w:sz w:val="20"/>
              </w:rPr>
              <w:t>2.38%</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BA9BF90" w14:textId="77777777" w:rsidR="00C77374" w:rsidRPr="00C77374" w:rsidRDefault="00C77374" w:rsidP="00C77374">
            <w:pPr>
              <w:jc w:val="right"/>
              <w:rPr>
                <w:color w:val="000000"/>
                <w:sz w:val="20"/>
              </w:rPr>
            </w:pPr>
            <w:r w:rsidRPr="00C77374">
              <w:rPr>
                <w:color w:val="000000"/>
                <w:sz w:val="20"/>
              </w:rPr>
              <w:t>21.70%</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A26A7CA" w14:textId="77777777" w:rsidR="00C77374" w:rsidRPr="00C77374" w:rsidRDefault="00C77374" w:rsidP="00C77374">
            <w:pPr>
              <w:jc w:val="right"/>
              <w:rPr>
                <w:color w:val="000000"/>
                <w:sz w:val="20"/>
              </w:rPr>
            </w:pPr>
            <w:r w:rsidRPr="00C77374">
              <w:rPr>
                <w:color w:val="000000"/>
                <w:sz w:val="20"/>
              </w:rPr>
              <w:t>19.65%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DE3B" w14:textId="77777777" w:rsidR="00C77374" w:rsidRPr="00C77374" w:rsidRDefault="00C77374" w:rsidP="00C77374">
            <w:pPr>
              <w:jc w:val="right"/>
              <w:rPr>
                <w:color w:val="000000"/>
                <w:sz w:val="20"/>
              </w:rPr>
            </w:pPr>
            <w:r w:rsidRPr="00C77374">
              <w:rPr>
                <w:color w:val="000000"/>
                <w:sz w:val="20"/>
              </w:rPr>
              <w:t>19.91%</w:t>
            </w:r>
          </w:p>
        </w:tc>
      </w:tr>
      <w:tr w:rsidR="00C77374" w:rsidRPr="00C77374" w14:paraId="24B98955"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D970" w14:textId="77777777" w:rsidR="00C77374" w:rsidRPr="00C77374" w:rsidRDefault="00C77374" w:rsidP="00C77374">
            <w:pPr>
              <w:rPr>
                <w:color w:val="000000"/>
                <w:sz w:val="20"/>
              </w:rPr>
            </w:pPr>
            <w:r w:rsidRPr="00C77374">
              <w:rPr>
                <w:color w:val="000000"/>
                <w:sz w:val="20"/>
              </w:rPr>
              <w:t xml:space="preserve">18. Perceptions of Great Risk from Smoking One or More Packs of Cigarettes per Day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6DBB5CD9" w14:textId="77777777" w:rsidR="00C77374" w:rsidRPr="00C77374" w:rsidRDefault="00C77374" w:rsidP="00C77374">
            <w:pPr>
              <w:jc w:val="right"/>
              <w:rPr>
                <w:color w:val="000000"/>
                <w:sz w:val="20"/>
              </w:rPr>
            </w:pPr>
            <w:r w:rsidRPr="00C77374">
              <w:rPr>
                <w:color w:val="000000"/>
                <w:sz w:val="20"/>
              </w:rPr>
              <w:t>65.29%</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7E5F5C1" w14:textId="77777777" w:rsidR="00C77374" w:rsidRPr="00C77374" w:rsidRDefault="00C77374" w:rsidP="00C77374">
            <w:pPr>
              <w:jc w:val="right"/>
              <w:rPr>
                <w:color w:val="000000"/>
                <w:sz w:val="20"/>
              </w:rPr>
            </w:pPr>
            <w:r w:rsidRPr="00C77374">
              <w:rPr>
                <w:color w:val="000000"/>
                <w:sz w:val="20"/>
              </w:rPr>
              <w:t>69.11%</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C11CFF1" w14:textId="77777777" w:rsidR="00C77374" w:rsidRPr="00C77374" w:rsidRDefault="00C77374" w:rsidP="00C77374">
            <w:pPr>
              <w:jc w:val="right"/>
              <w:rPr>
                <w:color w:val="000000"/>
                <w:sz w:val="20"/>
              </w:rPr>
            </w:pPr>
            <w:r w:rsidRPr="00C77374">
              <w:rPr>
                <w:color w:val="000000"/>
                <w:sz w:val="20"/>
              </w:rPr>
              <w:t>72.36%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340CB" w14:textId="77777777" w:rsidR="00C77374" w:rsidRPr="00C77374" w:rsidRDefault="00C77374" w:rsidP="00C77374">
            <w:pPr>
              <w:jc w:val="right"/>
              <w:rPr>
                <w:color w:val="000000"/>
                <w:sz w:val="20"/>
              </w:rPr>
            </w:pPr>
            <w:r w:rsidRPr="00C77374">
              <w:rPr>
                <w:color w:val="000000"/>
                <w:sz w:val="20"/>
              </w:rPr>
              <w:t>71.94%</w:t>
            </w:r>
          </w:p>
        </w:tc>
      </w:tr>
      <w:tr w:rsidR="00C77374" w:rsidRPr="00C77374" w14:paraId="7AC2CBD1"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656B2" w14:textId="77777777" w:rsidR="00C77374" w:rsidRPr="00C77374" w:rsidRDefault="00C77374" w:rsidP="00C77374">
            <w:pPr>
              <w:rPr>
                <w:b/>
                <w:bCs/>
                <w:color w:val="000000"/>
                <w:sz w:val="20"/>
              </w:rPr>
            </w:pPr>
            <w:r w:rsidRPr="00C77374">
              <w:rPr>
                <w:b/>
                <w:bCs/>
                <w:color w:val="000000"/>
                <w:sz w:val="20"/>
              </w:rPr>
              <w:t>Substance Use Disorders (SUDs)</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8DC2E"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5B3B1BE"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9B6A87B"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4416" w14:textId="77777777" w:rsidR="00C77374" w:rsidRPr="00C77374" w:rsidRDefault="00C77374" w:rsidP="00C77374">
            <w:pPr>
              <w:jc w:val="right"/>
              <w:rPr>
                <w:sz w:val="20"/>
              </w:rPr>
            </w:pPr>
          </w:p>
        </w:tc>
      </w:tr>
      <w:tr w:rsidR="00C77374" w:rsidRPr="00C77374" w14:paraId="7FF8D887"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0A3D" w14:textId="77777777" w:rsidR="00C77374" w:rsidRPr="00C77374" w:rsidRDefault="00C77374" w:rsidP="00C77374">
            <w:pPr>
              <w:rPr>
                <w:color w:val="000000"/>
                <w:sz w:val="20"/>
              </w:rPr>
            </w:pPr>
            <w:r w:rsidRPr="00C77374">
              <w:rPr>
                <w:color w:val="000000"/>
                <w:sz w:val="20"/>
              </w:rPr>
              <w:t xml:space="preserve">19. Illicit Drug Use Disorder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351F7CA2" w14:textId="77777777" w:rsidR="00C77374" w:rsidRPr="00C77374" w:rsidRDefault="00C77374" w:rsidP="00C77374">
            <w:pPr>
              <w:jc w:val="right"/>
              <w:rPr>
                <w:color w:val="000000"/>
                <w:sz w:val="20"/>
              </w:rPr>
            </w:pPr>
            <w:r w:rsidRPr="00C77374">
              <w:rPr>
                <w:color w:val="000000"/>
                <w:sz w:val="20"/>
              </w:rPr>
              <w:t>2.44%</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3FD2EB7" w14:textId="77777777" w:rsidR="00C77374" w:rsidRPr="00C77374" w:rsidRDefault="00C77374" w:rsidP="00C77374">
            <w:pPr>
              <w:jc w:val="right"/>
              <w:rPr>
                <w:color w:val="000000"/>
                <w:sz w:val="20"/>
              </w:rPr>
            </w:pPr>
            <w:r w:rsidRPr="00C77374">
              <w:rPr>
                <w:color w:val="000000"/>
                <w:sz w:val="20"/>
              </w:rPr>
              <w:t>6.88%</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72F5F07A" w14:textId="77777777" w:rsidR="00C77374" w:rsidRPr="00C77374" w:rsidRDefault="00C77374" w:rsidP="00C77374">
            <w:pPr>
              <w:jc w:val="right"/>
              <w:rPr>
                <w:color w:val="000000"/>
                <w:sz w:val="20"/>
              </w:rPr>
            </w:pPr>
            <w:r w:rsidRPr="00C77374">
              <w:rPr>
                <w:color w:val="000000"/>
                <w:sz w:val="20"/>
              </w:rPr>
              <w:t>2.25%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77BE5" w14:textId="77777777" w:rsidR="00C77374" w:rsidRPr="00C77374" w:rsidRDefault="00C77374" w:rsidP="00C77374">
            <w:pPr>
              <w:jc w:val="right"/>
              <w:rPr>
                <w:color w:val="000000"/>
                <w:sz w:val="20"/>
              </w:rPr>
            </w:pPr>
            <w:r w:rsidRPr="00C77374">
              <w:rPr>
                <w:color w:val="000000"/>
                <w:sz w:val="20"/>
              </w:rPr>
              <w:t>2.84%</w:t>
            </w:r>
          </w:p>
        </w:tc>
      </w:tr>
      <w:tr w:rsidR="00C77374" w:rsidRPr="00C77374" w14:paraId="72117EAC"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7B92B" w14:textId="77777777" w:rsidR="00C77374" w:rsidRPr="00C77374" w:rsidRDefault="00C77374" w:rsidP="00C77374">
            <w:pPr>
              <w:rPr>
                <w:color w:val="000000"/>
                <w:sz w:val="20"/>
              </w:rPr>
            </w:pPr>
            <w:r w:rsidRPr="00C77374">
              <w:rPr>
                <w:color w:val="000000"/>
                <w:sz w:val="20"/>
              </w:rPr>
              <w:t xml:space="preserve">20. Pain Reliever Use Disorder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3FA75F7E" w14:textId="77777777" w:rsidR="00C77374" w:rsidRPr="00C77374" w:rsidRDefault="00C77374" w:rsidP="00C77374">
            <w:pPr>
              <w:jc w:val="right"/>
              <w:rPr>
                <w:color w:val="000000"/>
                <w:sz w:val="20"/>
              </w:rPr>
            </w:pPr>
            <w:r w:rsidRPr="00C77374">
              <w:rPr>
                <w:color w:val="000000"/>
                <w:sz w:val="20"/>
              </w:rPr>
              <w:t>***</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3073972" w14:textId="77777777" w:rsidR="00C77374" w:rsidRPr="00C77374" w:rsidRDefault="00C77374" w:rsidP="00C77374">
            <w:pPr>
              <w:jc w:val="right"/>
              <w:rPr>
                <w:color w:val="000000"/>
                <w:sz w:val="20"/>
              </w:rPr>
            </w:pPr>
            <w:r w:rsidRPr="00C77374">
              <w:rPr>
                <w:color w:val="000000"/>
                <w:sz w:val="20"/>
              </w:rPr>
              <w:t>0.90%</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73387A2" w14:textId="77777777" w:rsidR="00C77374" w:rsidRPr="00C77374" w:rsidRDefault="00C77374" w:rsidP="00C77374">
            <w:pPr>
              <w:jc w:val="right"/>
              <w:rPr>
                <w:color w:val="000000"/>
                <w:sz w:val="20"/>
              </w:rPr>
            </w:pPr>
            <w:r w:rsidRPr="00C77374">
              <w:rPr>
                <w:color w:val="000000"/>
                <w:sz w:val="20"/>
              </w:rPr>
              <w:t>0.67%</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714B0" w14:textId="77777777" w:rsidR="00C77374" w:rsidRPr="00C77374" w:rsidRDefault="00C77374" w:rsidP="00C77374">
            <w:pPr>
              <w:jc w:val="right"/>
              <w:rPr>
                <w:color w:val="000000"/>
                <w:sz w:val="20"/>
              </w:rPr>
            </w:pPr>
            <w:r w:rsidRPr="00C77374">
              <w:rPr>
                <w:color w:val="000000"/>
                <w:sz w:val="20"/>
              </w:rPr>
              <w:t>0.70%</w:t>
            </w:r>
          </w:p>
        </w:tc>
      </w:tr>
      <w:tr w:rsidR="00C77374" w:rsidRPr="00C77374" w14:paraId="4457B145"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58B6A" w14:textId="77777777" w:rsidR="00C77374" w:rsidRPr="00C77374" w:rsidRDefault="00C77374" w:rsidP="00C77374">
            <w:pPr>
              <w:rPr>
                <w:color w:val="000000"/>
                <w:sz w:val="20"/>
              </w:rPr>
            </w:pPr>
            <w:r w:rsidRPr="00C77374">
              <w:rPr>
                <w:color w:val="000000"/>
                <w:sz w:val="20"/>
              </w:rPr>
              <w:t xml:space="preserve">21. Alcohol Use Disorder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35322FF5" w14:textId="77777777" w:rsidR="00C77374" w:rsidRPr="00C77374" w:rsidRDefault="00C77374" w:rsidP="00C77374">
            <w:pPr>
              <w:jc w:val="right"/>
              <w:rPr>
                <w:color w:val="000000"/>
                <w:sz w:val="20"/>
              </w:rPr>
            </w:pPr>
            <w:r w:rsidRPr="00C77374">
              <w:rPr>
                <w:color w:val="000000"/>
                <w:sz w:val="20"/>
              </w:rPr>
              <w:t>1.99%</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6166AAA9" w14:textId="77777777" w:rsidR="00C77374" w:rsidRPr="00C77374" w:rsidRDefault="00C77374" w:rsidP="00C77374">
            <w:pPr>
              <w:jc w:val="right"/>
              <w:rPr>
                <w:color w:val="000000"/>
                <w:sz w:val="20"/>
              </w:rPr>
            </w:pPr>
            <w:r w:rsidRPr="00C77374">
              <w:rPr>
                <w:color w:val="000000"/>
                <w:sz w:val="20"/>
              </w:rPr>
              <w:t>9.80%</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AADFB5F" w14:textId="77777777" w:rsidR="00C77374" w:rsidRPr="00C77374" w:rsidRDefault="00C77374" w:rsidP="00C77374">
            <w:pPr>
              <w:jc w:val="right"/>
              <w:rPr>
                <w:color w:val="000000"/>
                <w:sz w:val="20"/>
              </w:rPr>
            </w:pPr>
            <w:r w:rsidRPr="00C77374">
              <w:rPr>
                <w:color w:val="000000"/>
                <w:sz w:val="20"/>
              </w:rPr>
              <w:t>6.58%</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4D85" w14:textId="77777777" w:rsidR="00C77374" w:rsidRPr="00C77374" w:rsidRDefault="00C77374" w:rsidP="00C77374">
            <w:pPr>
              <w:jc w:val="right"/>
              <w:rPr>
                <w:color w:val="000000"/>
                <w:sz w:val="20"/>
              </w:rPr>
            </w:pPr>
            <w:r w:rsidRPr="00C77374">
              <w:rPr>
                <w:color w:val="000000"/>
                <w:sz w:val="20"/>
              </w:rPr>
              <w:t>6.99%</w:t>
            </w:r>
          </w:p>
        </w:tc>
      </w:tr>
      <w:tr w:rsidR="00C77374" w:rsidRPr="00C77374" w14:paraId="753A949B"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8889E" w14:textId="77777777" w:rsidR="00C77374" w:rsidRPr="00C77374" w:rsidRDefault="00C77374" w:rsidP="00C77374">
            <w:pPr>
              <w:rPr>
                <w:color w:val="000000"/>
                <w:sz w:val="20"/>
              </w:rPr>
            </w:pPr>
            <w:r w:rsidRPr="00C77374">
              <w:rPr>
                <w:color w:val="000000"/>
                <w:sz w:val="20"/>
              </w:rPr>
              <w:t xml:space="preserve">22. Substance Use Disorder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5ADE0C75" w14:textId="77777777" w:rsidR="00C77374" w:rsidRPr="00C77374" w:rsidRDefault="00C77374" w:rsidP="00C77374">
            <w:pPr>
              <w:jc w:val="right"/>
              <w:rPr>
                <w:color w:val="000000"/>
                <w:sz w:val="20"/>
              </w:rPr>
            </w:pPr>
            <w:r w:rsidRPr="00C77374">
              <w:rPr>
                <w:color w:val="000000"/>
                <w:sz w:val="20"/>
              </w:rPr>
              <w:t>3.53%</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390D679" w14:textId="77777777" w:rsidR="00C77374" w:rsidRPr="00C77374" w:rsidRDefault="00C77374" w:rsidP="00C77374">
            <w:pPr>
              <w:jc w:val="right"/>
              <w:rPr>
                <w:color w:val="000000"/>
                <w:sz w:val="20"/>
              </w:rPr>
            </w:pPr>
            <w:r w:rsidRPr="00C77374">
              <w:rPr>
                <w:color w:val="000000"/>
                <w:sz w:val="20"/>
              </w:rPr>
              <w:t>14.86%</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6809E00" w14:textId="77777777" w:rsidR="00C77374" w:rsidRPr="00C77374" w:rsidRDefault="00C77374" w:rsidP="00C77374">
            <w:pPr>
              <w:jc w:val="right"/>
              <w:rPr>
                <w:color w:val="000000"/>
                <w:sz w:val="20"/>
              </w:rPr>
            </w:pPr>
            <w:r w:rsidRPr="00C77374">
              <w:rPr>
                <w:color w:val="000000"/>
                <w:sz w:val="20"/>
              </w:rPr>
              <w:t>7.93%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A28C2" w14:textId="77777777" w:rsidR="00C77374" w:rsidRPr="00C77374" w:rsidRDefault="00C77374" w:rsidP="00C77374">
            <w:pPr>
              <w:jc w:val="right"/>
              <w:rPr>
                <w:color w:val="000000"/>
                <w:sz w:val="20"/>
              </w:rPr>
            </w:pPr>
            <w:r w:rsidRPr="00C77374">
              <w:rPr>
                <w:color w:val="000000"/>
                <w:sz w:val="20"/>
              </w:rPr>
              <w:t>8.82%</w:t>
            </w:r>
          </w:p>
        </w:tc>
      </w:tr>
      <w:tr w:rsidR="00C77374" w:rsidRPr="00C77374" w14:paraId="667C13E8"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0182" w14:textId="77777777" w:rsidR="00C77374" w:rsidRPr="00C77374" w:rsidRDefault="00C77374" w:rsidP="00C77374">
            <w:pPr>
              <w:rPr>
                <w:b/>
                <w:bCs/>
                <w:color w:val="000000"/>
                <w:sz w:val="20"/>
              </w:rPr>
            </w:pPr>
            <w:r w:rsidRPr="00C77374">
              <w:rPr>
                <w:b/>
                <w:bCs/>
                <w:color w:val="000000"/>
                <w:sz w:val="20"/>
              </w:rPr>
              <w:t>Unmet Need for SUD Treatment</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AB42B"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FFE843A"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2237E29"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BC39C" w14:textId="77777777" w:rsidR="00C77374" w:rsidRPr="00C77374" w:rsidRDefault="00C77374" w:rsidP="00C77374">
            <w:pPr>
              <w:jc w:val="right"/>
              <w:rPr>
                <w:sz w:val="20"/>
              </w:rPr>
            </w:pPr>
          </w:p>
        </w:tc>
      </w:tr>
      <w:tr w:rsidR="00C77374" w:rsidRPr="00C77374" w14:paraId="5BD232FB"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49C20" w14:textId="77777777" w:rsidR="00C77374" w:rsidRPr="00C77374" w:rsidRDefault="00C77374" w:rsidP="00C77374">
            <w:pPr>
              <w:rPr>
                <w:color w:val="000000"/>
                <w:sz w:val="20"/>
              </w:rPr>
            </w:pPr>
            <w:r w:rsidRPr="00C77374">
              <w:rPr>
                <w:color w:val="000000"/>
                <w:sz w:val="20"/>
              </w:rPr>
              <w:t xml:space="preserve">23. Needing </w:t>
            </w:r>
            <w:proofErr w:type="gramStart"/>
            <w:r w:rsidRPr="00C77374">
              <w:rPr>
                <w:color w:val="000000"/>
                <w:sz w:val="20"/>
              </w:rPr>
              <w:t>But</w:t>
            </w:r>
            <w:proofErr w:type="gramEnd"/>
            <w:r w:rsidRPr="00C77374">
              <w:rPr>
                <w:color w:val="000000"/>
                <w:sz w:val="20"/>
              </w:rPr>
              <w:t xml:space="preserve"> Not Receiving Treatment at a Specialty Facility for Illicit Drug Use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auto"/>
            <w:noWrap/>
            <w:vAlign w:val="center"/>
            <w:hideMark/>
          </w:tcPr>
          <w:p w14:paraId="4EB6403B" w14:textId="77777777" w:rsidR="00C77374" w:rsidRPr="00C77374" w:rsidRDefault="00C77374" w:rsidP="00C77374">
            <w:pPr>
              <w:jc w:val="right"/>
              <w:rPr>
                <w:color w:val="000000"/>
                <w:sz w:val="20"/>
              </w:rPr>
            </w:pPr>
            <w:r w:rsidRPr="00C77374">
              <w:rPr>
                <w:color w:val="000000"/>
                <w:sz w:val="20"/>
              </w:rPr>
              <w:t>2.26%</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0CAF1A6" w14:textId="77777777" w:rsidR="00C77374" w:rsidRPr="00C77374" w:rsidRDefault="00C77374" w:rsidP="00C77374">
            <w:pPr>
              <w:jc w:val="right"/>
              <w:rPr>
                <w:color w:val="000000"/>
                <w:sz w:val="20"/>
              </w:rPr>
            </w:pPr>
            <w:r w:rsidRPr="00C77374">
              <w:rPr>
                <w:color w:val="000000"/>
                <w:sz w:val="20"/>
              </w:rPr>
              <w:t>6.33%</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44A53B74" w14:textId="77777777" w:rsidR="00C77374" w:rsidRPr="00C77374" w:rsidRDefault="00C77374" w:rsidP="00C77374">
            <w:pPr>
              <w:jc w:val="right"/>
              <w:rPr>
                <w:color w:val="000000"/>
                <w:sz w:val="20"/>
              </w:rPr>
            </w:pPr>
            <w:r w:rsidRPr="00C77374">
              <w:rPr>
                <w:color w:val="000000"/>
                <w:sz w:val="20"/>
              </w:rPr>
              <w:t>2.12%</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6BC4B" w14:textId="77777777" w:rsidR="00C77374" w:rsidRPr="00C77374" w:rsidRDefault="00C77374" w:rsidP="00C77374">
            <w:pPr>
              <w:jc w:val="right"/>
              <w:rPr>
                <w:color w:val="000000"/>
                <w:sz w:val="20"/>
              </w:rPr>
            </w:pPr>
            <w:r w:rsidRPr="00C77374">
              <w:rPr>
                <w:color w:val="000000"/>
                <w:sz w:val="20"/>
              </w:rPr>
              <w:t>2.66%</w:t>
            </w:r>
          </w:p>
        </w:tc>
      </w:tr>
      <w:tr w:rsidR="00C77374" w:rsidRPr="00C77374" w14:paraId="6C47921A"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AA7B1" w14:textId="77777777" w:rsidR="00C77374" w:rsidRPr="00C77374" w:rsidRDefault="00C77374" w:rsidP="00C77374">
            <w:pPr>
              <w:rPr>
                <w:color w:val="000000"/>
                <w:sz w:val="20"/>
              </w:rPr>
            </w:pPr>
            <w:r w:rsidRPr="00C77374">
              <w:rPr>
                <w:color w:val="000000"/>
                <w:sz w:val="20"/>
              </w:rPr>
              <w:t xml:space="preserve">24. Needing </w:t>
            </w:r>
            <w:proofErr w:type="gramStart"/>
            <w:r w:rsidRPr="00C77374">
              <w:rPr>
                <w:color w:val="000000"/>
                <w:sz w:val="20"/>
              </w:rPr>
              <w:t>But</w:t>
            </w:r>
            <w:proofErr w:type="gramEnd"/>
            <w:r w:rsidRPr="00C77374">
              <w:rPr>
                <w:color w:val="000000"/>
                <w:sz w:val="20"/>
              </w:rPr>
              <w:t xml:space="preserve"> Not Receiving Treatment at a Specialty Facility for Alcohol Use in the Past Year  </w:t>
            </w:r>
          </w:p>
        </w:tc>
        <w:tc>
          <w:tcPr>
            <w:tcW w:w="855" w:type="dxa"/>
            <w:tcBorders>
              <w:top w:val="single" w:sz="4" w:space="0" w:color="auto"/>
              <w:left w:val="single" w:sz="4" w:space="0" w:color="9BBB59"/>
              <w:bottom w:val="single" w:sz="4" w:space="0" w:color="auto"/>
              <w:right w:val="single" w:sz="4" w:space="0" w:color="9BBB59"/>
            </w:tcBorders>
            <w:shd w:val="clear" w:color="auto" w:fill="auto"/>
            <w:noWrap/>
            <w:vAlign w:val="center"/>
            <w:hideMark/>
          </w:tcPr>
          <w:p w14:paraId="10000958" w14:textId="77777777" w:rsidR="00C77374" w:rsidRPr="00C77374" w:rsidRDefault="00C77374" w:rsidP="00C77374">
            <w:pPr>
              <w:jc w:val="right"/>
              <w:rPr>
                <w:color w:val="000000"/>
                <w:sz w:val="20"/>
              </w:rPr>
            </w:pPr>
            <w:r w:rsidRPr="00C77374">
              <w:rPr>
                <w:color w:val="000000"/>
                <w:sz w:val="20"/>
              </w:rPr>
              <w:t>1.87%</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6C7338DA" w14:textId="77777777" w:rsidR="00C77374" w:rsidRPr="00C77374" w:rsidRDefault="00C77374" w:rsidP="00C77374">
            <w:pPr>
              <w:jc w:val="right"/>
              <w:rPr>
                <w:color w:val="000000"/>
                <w:sz w:val="20"/>
              </w:rPr>
            </w:pPr>
            <w:r w:rsidRPr="00C77374">
              <w:rPr>
                <w:color w:val="000000"/>
                <w:sz w:val="20"/>
              </w:rPr>
              <w:t>9.62%</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B58F2C4" w14:textId="77777777" w:rsidR="00C77374" w:rsidRPr="00C77374" w:rsidRDefault="00C77374" w:rsidP="00C77374">
            <w:pPr>
              <w:jc w:val="right"/>
              <w:rPr>
                <w:color w:val="000000"/>
                <w:sz w:val="20"/>
              </w:rPr>
            </w:pPr>
            <w:r w:rsidRPr="00C77374">
              <w:rPr>
                <w:color w:val="000000"/>
                <w:sz w:val="20"/>
              </w:rPr>
              <w:t>6.17%</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0E83" w14:textId="77777777" w:rsidR="00C77374" w:rsidRPr="00C77374" w:rsidRDefault="00C77374" w:rsidP="00C77374">
            <w:pPr>
              <w:jc w:val="right"/>
              <w:rPr>
                <w:color w:val="000000"/>
                <w:sz w:val="20"/>
              </w:rPr>
            </w:pPr>
            <w:r w:rsidRPr="00C77374">
              <w:rPr>
                <w:color w:val="000000"/>
                <w:sz w:val="20"/>
              </w:rPr>
              <w:t>6.61%</w:t>
            </w:r>
          </w:p>
        </w:tc>
      </w:tr>
      <w:tr w:rsidR="00C77374" w:rsidRPr="00C77374" w14:paraId="757B403F"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CD979" w14:textId="77777777" w:rsidR="00C77374" w:rsidRPr="00C77374" w:rsidRDefault="00C77374" w:rsidP="00C77374">
            <w:pPr>
              <w:rPr>
                <w:color w:val="000000"/>
                <w:sz w:val="20"/>
              </w:rPr>
            </w:pPr>
            <w:r w:rsidRPr="00C77374">
              <w:rPr>
                <w:color w:val="000000"/>
                <w:sz w:val="20"/>
              </w:rPr>
              <w:t xml:space="preserve">25. Needing </w:t>
            </w:r>
            <w:proofErr w:type="gramStart"/>
            <w:r w:rsidRPr="00C77374">
              <w:rPr>
                <w:color w:val="000000"/>
                <w:sz w:val="20"/>
              </w:rPr>
              <w:t>But</w:t>
            </w:r>
            <w:proofErr w:type="gramEnd"/>
            <w:r w:rsidRPr="00C77374">
              <w:rPr>
                <w:color w:val="000000"/>
                <w:sz w:val="20"/>
              </w:rPr>
              <w:t xml:space="preserve"> Not Receiving Treatment at a Specialty Facility for Substance Use in the Past Year  </w:t>
            </w:r>
          </w:p>
        </w:tc>
        <w:tc>
          <w:tcPr>
            <w:tcW w:w="855" w:type="dxa"/>
            <w:tcBorders>
              <w:top w:val="single" w:sz="4" w:space="0" w:color="auto"/>
              <w:left w:val="single" w:sz="4" w:space="0" w:color="9BBB59"/>
              <w:bottom w:val="single" w:sz="4" w:space="0" w:color="auto"/>
              <w:right w:val="single" w:sz="4" w:space="0" w:color="9BBB59"/>
            </w:tcBorders>
            <w:shd w:val="clear" w:color="auto" w:fill="auto"/>
            <w:noWrap/>
            <w:vAlign w:val="center"/>
            <w:hideMark/>
          </w:tcPr>
          <w:p w14:paraId="37EFAB55" w14:textId="77777777" w:rsidR="00C77374" w:rsidRPr="00C77374" w:rsidRDefault="00C77374" w:rsidP="00C77374">
            <w:pPr>
              <w:jc w:val="right"/>
              <w:rPr>
                <w:color w:val="000000"/>
                <w:sz w:val="20"/>
              </w:rPr>
            </w:pPr>
            <w:r w:rsidRPr="00C77374">
              <w:rPr>
                <w:color w:val="000000"/>
                <w:sz w:val="20"/>
              </w:rPr>
              <w:t>3.63%</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008CB473" w14:textId="77777777" w:rsidR="00C77374" w:rsidRPr="00C77374" w:rsidRDefault="00C77374" w:rsidP="00C77374">
            <w:pPr>
              <w:jc w:val="right"/>
              <w:rPr>
                <w:color w:val="000000"/>
                <w:sz w:val="20"/>
              </w:rPr>
            </w:pPr>
            <w:r w:rsidRPr="00C77374">
              <w:rPr>
                <w:color w:val="000000"/>
                <w:sz w:val="20"/>
              </w:rPr>
              <w:t>13.82%</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30F347B7" w14:textId="77777777" w:rsidR="00C77374" w:rsidRPr="00C77374" w:rsidRDefault="00C77374" w:rsidP="00C77374">
            <w:pPr>
              <w:jc w:val="right"/>
              <w:rPr>
                <w:color w:val="000000"/>
                <w:sz w:val="20"/>
              </w:rPr>
            </w:pPr>
            <w:r w:rsidRPr="00C77374">
              <w:rPr>
                <w:color w:val="000000"/>
                <w:sz w:val="20"/>
              </w:rPr>
              <w:t>7.26%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30A35" w14:textId="77777777" w:rsidR="00C77374" w:rsidRPr="00C77374" w:rsidRDefault="00C77374" w:rsidP="00C77374">
            <w:pPr>
              <w:jc w:val="right"/>
              <w:rPr>
                <w:color w:val="000000"/>
                <w:sz w:val="20"/>
              </w:rPr>
            </w:pPr>
            <w:r w:rsidRPr="00C77374">
              <w:rPr>
                <w:color w:val="000000"/>
                <w:sz w:val="20"/>
              </w:rPr>
              <w:t>8.10%</w:t>
            </w:r>
          </w:p>
        </w:tc>
      </w:tr>
      <w:tr w:rsidR="00C77374" w:rsidRPr="00C77374" w14:paraId="34A27BFD"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CA0CC" w14:textId="77777777" w:rsidR="00C77374" w:rsidRPr="00C77374" w:rsidRDefault="00C77374" w:rsidP="00C77374">
            <w:pPr>
              <w:rPr>
                <w:b/>
                <w:bCs/>
                <w:color w:val="000000"/>
                <w:sz w:val="20"/>
              </w:rPr>
            </w:pPr>
            <w:r w:rsidRPr="00C77374">
              <w:rPr>
                <w:b/>
                <w:bCs/>
                <w:color w:val="000000"/>
                <w:sz w:val="20"/>
              </w:rPr>
              <w:t>Mental Health Indicators</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16AD5"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5BC341D"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02801FE" w14:textId="77777777" w:rsidR="00C77374" w:rsidRPr="00C77374" w:rsidRDefault="00C77374" w:rsidP="00C77374">
            <w:pPr>
              <w:jc w:val="right"/>
              <w:rPr>
                <w:b/>
                <w:bCs/>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155B9" w14:textId="77777777" w:rsidR="00C77374" w:rsidRPr="00C77374" w:rsidRDefault="00C77374" w:rsidP="00C77374">
            <w:pPr>
              <w:jc w:val="right"/>
              <w:rPr>
                <w:sz w:val="20"/>
              </w:rPr>
            </w:pPr>
          </w:p>
        </w:tc>
      </w:tr>
      <w:tr w:rsidR="00C77374" w:rsidRPr="00C77374" w14:paraId="1ECDADCB" w14:textId="77777777" w:rsidTr="00C7737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B7452" w14:textId="77777777" w:rsidR="00C77374" w:rsidRPr="00C77374" w:rsidRDefault="00C77374" w:rsidP="00C77374">
            <w:pPr>
              <w:rPr>
                <w:color w:val="000000"/>
                <w:sz w:val="20"/>
              </w:rPr>
            </w:pPr>
            <w:r w:rsidRPr="00C77374">
              <w:rPr>
                <w:color w:val="000000"/>
                <w:sz w:val="20"/>
              </w:rPr>
              <w:t xml:space="preserve">26. Serious Mental Illness in the Past Year  </w:t>
            </w:r>
          </w:p>
        </w:tc>
        <w:tc>
          <w:tcPr>
            <w:tcW w:w="855" w:type="dxa"/>
            <w:tcBorders>
              <w:top w:val="single" w:sz="4" w:space="0" w:color="auto"/>
              <w:left w:val="single" w:sz="4" w:space="0" w:color="9BBB59"/>
              <w:bottom w:val="single" w:sz="4" w:space="0" w:color="auto"/>
              <w:right w:val="single" w:sz="4" w:space="0" w:color="9BBB59"/>
            </w:tcBorders>
            <w:shd w:val="clear" w:color="auto" w:fill="E5DFEC"/>
            <w:noWrap/>
            <w:vAlign w:val="center"/>
            <w:hideMark/>
          </w:tcPr>
          <w:p w14:paraId="132A5EB6" w14:textId="77777777" w:rsidR="00C77374" w:rsidRPr="00C77374" w:rsidRDefault="00C77374" w:rsidP="00C77374">
            <w:pPr>
              <w:jc w:val="right"/>
              <w:rPr>
                <w:color w:val="000000"/>
                <w:sz w:val="20"/>
              </w:rPr>
            </w:pP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B801554" w14:textId="77777777" w:rsidR="00C77374" w:rsidRPr="00C77374" w:rsidRDefault="00C77374" w:rsidP="00C77374">
            <w:pPr>
              <w:jc w:val="right"/>
              <w:rPr>
                <w:color w:val="000000"/>
                <w:sz w:val="20"/>
              </w:rPr>
            </w:pPr>
            <w:r w:rsidRPr="00C77374">
              <w:rPr>
                <w:color w:val="000000"/>
                <w:sz w:val="20"/>
              </w:rPr>
              <w:t>6.15%</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BBF0D9B" w14:textId="77777777" w:rsidR="00C77374" w:rsidRPr="00C77374" w:rsidRDefault="00C77374" w:rsidP="00C77374">
            <w:pPr>
              <w:jc w:val="right"/>
              <w:rPr>
                <w:color w:val="000000"/>
                <w:sz w:val="20"/>
              </w:rPr>
            </w:pPr>
            <w:r w:rsidRPr="00C77374">
              <w:rPr>
                <w:color w:val="000000"/>
                <w:sz w:val="20"/>
              </w:rPr>
              <w:t>4.43%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9E832" w14:textId="77777777" w:rsidR="00C77374" w:rsidRPr="00C77374" w:rsidRDefault="00C77374" w:rsidP="00C77374">
            <w:pPr>
              <w:jc w:val="right"/>
              <w:rPr>
                <w:color w:val="000000"/>
                <w:sz w:val="20"/>
              </w:rPr>
            </w:pPr>
            <w:r w:rsidRPr="00C77374">
              <w:rPr>
                <w:color w:val="000000"/>
                <w:sz w:val="20"/>
              </w:rPr>
              <w:t>4.65%</w:t>
            </w:r>
          </w:p>
        </w:tc>
      </w:tr>
      <w:tr w:rsidR="00C77374" w:rsidRPr="00C77374" w14:paraId="235794C4" w14:textId="77777777" w:rsidTr="00C7737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1003D" w14:textId="77777777" w:rsidR="00C77374" w:rsidRPr="00C77374" w:rsidRDefault="00C77374" w:rsidP="00C77374">
            <w:pPr>
              <w:rPr>
                <w:color w:val="000000"/>
                <w:sz w:val="20"/>
              </w:rPr>
            </w:pPr>
            <w:r w:rsidRPr="00C77374">
              <w:rPr>
                <w:color w:val="000000"/>
                <w:sz w:val="20"/>
              </w:rPr>
              <w:t xml:space="preserve">27. Any Mental Illness in the Past Year  </w:t>
            </w:r>
          </w:p>
        </w:tc>
        <w:tc>
          <w:tcPr>
            <w:tcW w:w="855" w:type="dxa"/>
            <w:tcBorders>
              <w:top w:val="single" w:sz="4" w:space="0" w:color="auto"/>
              <w:left w:val="single" w:sz="4" w:space="0" w:color="9BBB59"/>
              <w:bottom w:val="single" w:sz="4" w:space="0" w:color="auto"/>
              <w:right w:val="single" w:sz="4" w:space="0" w:color="9BBB59"/>
            </w:tcBorders>
            <w:shd w:val="clear" w:color="auto" w:fill="E5DFEC"/>
            <w:noWrap/>
            <w:vAlign w:val="center"/>
            <w:hideMark/>
          </w:tcPr>
          <w:p w14:paraId="7CC3068A" w14:textId="77777777" w:rsidR="00C77374" w:rsidRPr="00C77374" w:rsidRDefault="00C77374" w:rsidP="00C77374">
            <w:pPr>
              <w:jc w:val="right"/>
              <w:rPr>
                <w:color w:val="000000"/>
                <w:sz w:val="20"/>
              </w:rPr>
            </w:pP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60DEC8ED" w14:textId="77777777" w:rsidR="00C77374" w:rsidRPr="00C77374" w:rsidRDefault="00C77374" w:rsidP="00C77374">
            <w:pPr>
              <w:jc w:val="right"/>
              <w:rPr>
                <w:color w:val="000000"/>
                <w:sz w:val="20"/>
              </w:rPr>
            </w:pPr>
            <w:r w:rsidRPr="00C77374">
              <w:rPr>
                <w:color w:val="000000"/>
                <w:sz w:val="20"/>
              </w:rPr>
              <w:t>22.80%</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5DCF2268" w14:textId="77777777" w:rsidR="00C77374" w:rsidRPr="00C77374" w:rsidRDefault="00C77374" w:rsidP="00C77374">
            <w:pPr>
              <w:jc w:val="right"/>
              <w:rPr>
                <w:color w:val="000000"/>
                <w:sz w:val="20"/>
              </w:rPr>
            </w:pPr>
            <w:r w:rsidRPr="00C77374">
              <w:rPr>
                <w:color w:val="000000"/>
                <w:sz w:val="20"/>
              </w:rPr>
              <w:t>19.41%</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7E8B7" w14:textId="77777777" w:rsidR="00C77374" w:rsidRPr="00C77374" w:rsidRDefault="00C77374" w:rsidP="00C77374">
            <w:pPr>
              <w:jc w:val="right"/>
              <w:rPr>
                <w:color w:val="000000"/>
                <w:sz w:val="20"/>
              </w:rPr>
            </w:pPr>
            <w:r w:rsidRPr="00C77374">
              <w:rPr>
                <w:color w:val="000000"/>
                <w:sz w:val="20"/>
              </w:rPr>
              <w:t>19.84%</w:t>
            </w:r>
          </w:p>
        </w:tc>
      </w:tr>
      <w:tr w:rsidR="00C77374" w:rsidRPr="00C77374" w14:paraId="2CFB5E72" w14:textId="77777777" w:rsidTr="00C7737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2E669" w14:textId="77777777" w:rsidR="00C77374" w:rsidRPr="00C77374" w:rsidRDefault="00C77374" w:rsidP="00C77374">
            <w:pPr>
              <w:rPr>
                <w:color w:val="000000"/>
                <w:sz w:val="20"/>
              </w:rPr>
            </w:pPr>
            <w:r w:rsidRPr="00C77374">
              <w:rPr>
                <w:color w:val="000000"/>
                <w:sz w:val="20"/>
              </w:rPr>
              <w:t xml:space="preserve">28. Received Mental Health Services in the Past Year  </w:t>
            </w:r>
          </w:p>
        </w:tc>
        <w:tc>
          <w:tcPr>
            <w:tcW w:w="855" w:type="dxa"/>
            <w:tcBorders>
              <w:top w:val="single" w:sz="4" w:space="0" w:color="auto"/>
              <w:left w:val="single" w:sz="4" w:space="0" w:color="auto"/>
              <w:bottom w:val="single" w:sz="4" w:space="0" w:color="auto"/>
              <w:right w:val="single" w:sz="4" w:space="0" w:color="9BBB59"/>
            </w:tcBorders>
            <w:shd w:val="clear" w:color="auto" w:fill="E5DFEC"/>
            <w:noWrap/>
            <w:vAlign w:val="center"/>
            <w:hideMark/>
          </w:tcPr>
          <w:p w14:paraId="0E7E47BA" w14:textId="77777777" w:rsidR="00C77374" w:rsidRPr="00C77374" w:rsidRDefault="00C77374" w:rsidP="00C77374">
            <w:pPr>
              <w:jc w:val="right"/>
              <w:rPr>
                <w:color w:val="000000"/>
                <w:sz w:val="20"/>
              </w:rPr>
            </w:pPr>
            <w:r w:rsidRPr="00C77374">
              <w:rPr>
                <w:color w:val="000000"/>
                <w:sz w:val="20"/>
              </w:rPr>
              <w:t> </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D926E88" w14:textId="77777777" w:rsidR="00C77374" w:rsidRPr="00C77374" w:rsidRDefault="00C77374" w:rsidP="00C77374">
            <w:pPr>
              <w:jc w:val="right"/>
              <w:rPr>
                <w:color w:val="000000"/>
                <w:sz w:val="20"/>
              </w:rPr>
            </w:pPr>
            <w:r w:rsidRPr="00C77374">
              <w:rPr>
                <w:color w:val="000000"/>
                <w:sz w:val="20"/>
              </w:rPr>
              <w:t>11.32%</w:t>
            </w:r>
          </w:p>
        </w:tc>
        <w:tc>
          <w:tcPr>
            <w:tcW w:w="855" w:type="dxa"/>
            <w:tcBorders>
              <w:top w:val="single" w:sz="4" w:space="0" w:color="auto"/>
              <w:left w:val="single" w:sz="4" w:space="0" w:color="auto"/>
              <w:bottom w:val="single" w:sz="4" w:space="0" w:color="auto"/>
              <w:right w:val="single" w:sz="4" w:space="0" w:color="9BBB59"/>
            </w:tcBorders>
            <w:shd w:val="clear" w:color="auto" w:fill="auto"/>
            <w:vAlign w:val="center"/>
          </w:tcPr>
          <w:p w14:paraId="15A72795" w14:textId="77777777" w:rsidR="00C77374" w:rsidRPr="00C77374" w:rsidRDefault="00C77374" w:rsidP="00C77374">
            <w:pPr>
              <w:jc w:val="right"/>
              <w:rPr>
                <w:color w:val="000000"/>
                <w:sz w:val="20"/>
              </w:rPr>
            </w:pPr>
            <w:r w:rsidRPr="00C77374">
              <w:rPr>
                <w:color w:val="000000"/>
                <w:sz w:val="20"/>
              </w:rPr>
              <w:t>14.63%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6403E" w14:textId="77777777" w:rsidR="00C77374" w:rsidRPr="00C77374" w:rsidRDefault="00C77374" w:rsidP="00C77374">
            <w:pPr>
              <w:jc w:val="right"/>
              <w:rPr>
                <w:color w:val="000000"/>
                <w:sz w:val="20"/>
              </w:rPr>
            </w:pPr>
            <w:r w:rsidRPr="00C77374">
              <w:rPr>
                <w:color w:val="000000"/>
                <w:sz w:val="20"/>
              </w:rPr>
              <w:t>14.21%</w:t>
            </w:r>
          </w:p>
        </w:tc>
      </w:tr>
      <w:tr w:rsidR="00C77374" w:rsidRPr="00C77374" w14:paraId="051B8305" w14:textId="77777777" w:rsidTr="00C7737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FFAD" w14:textId="77777777" w:rsidR="00C77374" w:rsidRPr="00C77374" w:rsidRDefault="00C77374" w:rsidP="00C77374">
            <w:pPr>
              <w:rPr>
                <w:color w:val="000000"/>
                <w:sz w:val="20"/>
              </w:rPr>
            </w:pPr>
            <w:r w:rsidRPr="00C77374">
              <w:rPr>
                <w:color w:val="000000"/>
                <w:sz w:val="20"/>
              </w:rPr>
              <w:t xml:space="preserve">29. Had Serious Thoughts of Suicide in the Past Year  </w:t>
            </w:r>
          </w:p>
        </w:tc>
        <w:tc>
          <w:tcPr>
            <w:tcW w:w="855" w:type="dxa"/>
            <w:tcBorders>
              <w:top w:val="single" w:sz="4" w:space="0" w:color="auto"/>
              <w:left w:val="single" w:sz="4" w:space="0" w:color="9BBB59"/>
              <w:bottom w:val="single" w:sz="4" w:space="0" w:color="auto"/>
              <w:right w:val="single" w:sz="4" w:space="0" w:color="auto"/>
            </w:tcBorders>
            <w:shd w:val="clear" w:color="auto" w:fill="E5DFEC"/>
            <w:noWrap/>
            <w:vAlign w:val="center"/>
            <w:hideMark/>
          </w:tcPr>
          <w:p w14:paraId="6AF75587" w14:textId="77777777" w:rsidR="00C77374" w:rsidRPr="00C77374" w:rsidRDefault="00C77374" w:rsidP="00C77374">
            <w:pPr>
              <w:jc w:val="right"/>
              <w:rPr>
                <w:color w:val="000000"/>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D991966" w14:textId="77777777" w:rsidR="00C77374" w:rsidRPr="00C77374" w:rsidRDefault="00C77374" w:rsidP="00C77374">
            <w:pPr>
              <w:jc w:val="right"/>
              <w:rPr>
                <w:color w:val="000000"/>
                <w:sz w:val="20"/>
              </w:rPr>
            </w:pPr>
            <w:r w:rsidRPr="00C77374">
              <w:rPr>
                <w:color w:val="000000"/>
                <w:sz w:val="20"/>
              </w:rPr>
              <w:t>9.28%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570338C" w14:textId="77777777" w:rsidR="00C77374" w:rsidRPr="00C77374" w:rsidRDefault="00C77374" w:rsidP="00C77374">
            <w:pPr>
              <w:jc w:val="right"/>
              <w:rPr>
                <w:color w:val="000000"/>
                <w:sz w:val="20"/>
              </w:rPr>
            </w:pPr>
            <w:r w:rsidRPr="00C77374">
              <w:rPr>
                <w:color w:val="000000"/>
                <w:sz w:val="20"/>
              </w:rPr>
              <w:t>3.37%</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6655E" w14:textId="77777777" w:rsidR="00C77374" w:rsidRPr="00C77374" w:rsidRDefault="00C77374" w:rsidP="00C77374">
            <w:pPr>
              <w:jc w:val="right"/>
              <w:rPr>
                <w:color w:val="000000"/>
                <w:sz w:val="20"/>
              </w:rPr>
            </w:pPr>
            <w:r w:rsidRPr="00C77374">
              <w:rPr>
                <w:color w:val="000000"/>
                <w:sz w:val="20"/>
              </w:rPr>
              <w:t>4.13%</w:t>
            </w:r>
          </w:p>
        </w:tc>
      </w:tr>
      <w:tr w:rsidR="00C77374" w:rsidRPr="00C77374" w14:paraId="0D5AF30B" w14:textId="77777777" w:rsidTr="00165A84">
        <w:trPr>
          <w:trHeight w:val="2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E0F51" w14:textId="77777777" w:rsidR="00C77374" w:rsidRPr="00C77374" w:rsidRDefault="00C77374" w:rsidP="00C77374">
            <w:pPr>
              <w:rPr>
                <w:color w:val="000000"/>
                <w:sz w:val="20"/>
              </w:rPr>
            </w:pPr>
            <w:r w:rsidRPr="00C77374">
              <w:rPr>
                <w:color w:val="000000"/>
                <w:sz w:val="20"/>
              </w:rPr>
              <w:t xml:space="preserve">30. Major Depressive Episode in the Past Year  </w:t>
            </w:r>
          </w:p>
        </w:tc>
        <w:tc>
          <w:tcPr>
            <w:tcW w:w="855" w:type="dxa"/>
            <w:tcBorders>
              <w:top w:val="single" w:sz="4" w:space="0" w:color="auto"/>
              <w:left w:val="single" w:sz="4" w:space="0" w:color="9BBB59"/>
              <w:bottom w:val="single" w:sz="4" w:space="0" w:color="auto"/>
              <w:right w:val="single" w:sz="4" w:space="0" w:color="auto"/>
            </w:tcBorders>
            <w:shd w:val="clear" w:color="auto" w:fill="auto"/>
            <w:noWrap/>
            <w:vAlign w:val="center"/>
            <w:hideMark/>
          </w:tcPr>
          <w:p w14:paraId="7E1E4840" w14:textId="77777777" w:rsidR="00C77374" w:rsidRPr="00C77374" w:rsidRDefault="00C77374" w:rsidP="00C77374">
            <w:pPr>
              <w:jc w:val="right"/>
              <w:rPr>
                <w:color w:val="000000"/>
                <w:sz w:val="20"/>
              </w:rPr>
            </w:pPr>
            <w:r w:rsidRPr="00C77374">
              <w:rPr>
                <w:color w:val="000000"/>
                <w:sz w:val="20"/>
              </w:rPr>
              <w:t>12.04%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AC6B76F" w14:textId="77777777" w:rsidR="00C77374" w:rsidRPr="00C77374" w:rsidRDefault="00C77374" w:rsidP="00C77374">
            <w:pPr>
              <w:jc w:val="right"/>
              <w:rPr>
                <w:color w:val="000000"/>
                <w:sz w:val="20"/>
              </w:rPr>
            </w:pPr>
            <w:r w:rsidRPr="00C77374">
              <w:rPr>
                <w:color w:val="000000"/>
                <w:sz w:val="20"/>
              </w:rPr>
              <w:t>10.91%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47804A6" w14:textId="77777777" w:rsidR="00C77374" w:rsidRPr="00C77374" w:rsidRDefault="00C77374" w:rsidP="00C77374">
            <w:pPr>
              <w:jc w:val="right"/>
              <w:rPr>
                <w:color w:val="000000"/>
                <w:sz w:val="20"/>
              </w:rPr>
            </w:pPr>
            <w:r w:rsidRPr="00C77374">
              <w:rPr>
                <w:color w:val="000000"/>
                <w:sz w:val="20"/>
              </w:rPr>
              <w:t>7.04%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740B9" w14:textId="77777777" w:rsidR="00C77374" w:rsidRPr="00C77374" w:rsidRDefault="00C77374" w:rsidP="00C77374">
            <w:pPr>
              <w:jc w:val="right"/>
              <w:rPr>
                <w:color w:val="000000"/>
                <w:sz w:val="20"/>
              </w:rPr>
            </w:pPr>
            <w:r w:rsidRPr="00C77374">
              <w:rPr>
                <w:color w:val="000000"/>
                <w:sz w:val="20"/>
              </w:rPr>
              <w:t>7.53%</w:t>
            </w:r>
          </w:p>
        </w:tc>
      </w:tr>
      <w:tr w:rsidR="00C77374" w:rsidRPr="00C77374" w14:paraId="01607C5B" w14:textId="77777777" w:rsidTr="00165A84">
        <w:trPr>
          <w:trHeight w:val="264"/>
        </w:trPr>
        <w:tc>
          <w:tcPr>
            <w:tcW w:w="9360" w:type="dxa"/>
            <w:gridSpan w:val="5"/>
            <w:tcBorders>
              <w:top w:val="nil"/>
              <w:left w:val="nil"/>
              <w:bottom w:val="nil"/>
              <w:right w:val="nil"/>
            </w:tcBorders>
            <w:shd w:val="clear" w:color="auto" w:fill="auto"/>
            <w:noWrap/>
            <w:vAlign w:val="bottom"/>
          </w:tcPr>
          <w:p w14:paraId="752AADF5" w14:textId="2FBE3167" w:rsidR="00C77374" w:rsidRPr="00C77374" w:rsidRDefault="00C77374" w:rsidP="00C77374">
            <w:pPr>
              <w:rPr>
                <w:color w:val="000000"/>
                <w:sz w:val="16"/>
                <w:szCs w:val="16"/>
              </w:rPr>
            </w:pPr>
            <w:r w:rsidRPr="00C77374">
              <w:rPr>
                <w:b/>
                <w:bCs/>
                <w:color w:val="000000"/>
                <w:sz w:val="16"/>
                <w:szCs w:val="16"/>
              </w:rPr>
              <w:t>Notes</w:t>
            </w:r>
            <w:r w:rsidRPr="00C77374">
              <w:rPr>
                <w:color w:val="000000"/>
                <w:sz w:val="16"/>
                <w:szCs w:val="16"/>
              </w:rPr>
              <w:t>:</w:t>
            </w:r>
            <w:r w:rsidR="00130E39">
              <w:rPr>
                <w:color w:val="000000"/>
                <w:sz w:val="16"/>
                <w:szCs w:val="16"/>
              </w:rPr>
              <w:t xml:space="preserve"> </w:t>
            </w:r>
            <w:r w:rsidR="00130E39" w:rsidRPr="00C77374">
              <w:rPr>
                <w:color w:val="000000"/>
                <w:sz w:val="16"/>
                <w:szCs w:val="16"/>
              </w:rPr>
              <w:t>* Average Annual Initiation Estimates Expressed as Percentages of the At-Risk Population</w:t>
            </w:r>
          </w:p>
        </w:tc>
      </w:tr>
      <w:tr w:rsidR="00C77374" w:rsidRPr="00C77374" w14:paraId="5F23B8AC" w14:textId="77777777" w:rsidTr="00165A84">
        <w:trPr>
          <w:trHeight w:val="216"/>
        </w:trPr>
        <w:tc>
          <w:tcPr>
            <w:tcW w:w="9360" w:type="dxa"/>
            <w:gridSpan w:val="5"/>
            <w:tcBorders>
              <w:top w:val="nil"/>
              <w:left w:val="nil"/>
              <w:bottom w:val="nil"/>
              <w:right w:val="nil"/>
            </w:tcBorders>
            <w:shd w:val="clear" w:color="auto" w:fill="auto"/>
            <w:noWrap/>
            <w:vAlign w:val="bottom"/>
            <w:hideMark/>
          </w:tcPr>
          <w:p w14:paraId="17F64E3A" w14:textId="77777777" w:rsidR="00C77374" w:rsidRPr="00C77374" w:rsidRDefault="00C77374" w:rsidP="00C77374">
            <w:pPr>
              <w:rPr>
                <w:color w:val="000000"/>
                <w:sz w:val="16"/>
                <w:szCs w:val="16"/>
              </w:rPr>
            </w:pPr>
            <w:r w:rsidRPr="00C77374">
              <w:rPr>
                <w:color w:val="000000"/>
                <w:sz w:val="16"/>
                <w:szCs w:val="16"/>
              </w:rPr>
              <w:t>** The underage drinking indicators is published with Age 12+ statistics, not with age category statistics.</w:t>
            </w:r>
          </w:p>
        </w:tc>
      </w:tr>
      <w:tr w:rsidR="00C77374" w:rsidRPr="00C77374" w14:paraId="0F2F0988" w14:textId="77777777" w:rsidTr="00165A84">
        <w:trPr>
          <w:trHeight w:val="216"/>
        </w:trPr>
        <w:tc>
          <w:tcPr>
            <w:tcW w:w="9360" w:type="dxa"/>
            <w:gridSpan w:val="5"/>
            <w:tcBorders>
              <w:top w:val="nil"/>
              <w:left w:val="nil"/>
              <w:bottom w:val="nil"/>
              <w:right w:val="nil"/>
            </w:tcBorders>
            <w:shd w:val="clear" w:color="auto" w:fill="auto"/>
            <w:noWrap/>
            <w:vAlign w:val="bottom"/>
            <w:hideMark/>
          </w:tcPr>
          <w:p w14:paraId="787081C3" w14:textId="77777777" w:rsidR="00C77374" w:rsidRPr="00C77374" w:rsidRDefault="00C77374" w:rsidP="00C77374">
            <w:pPr>
              <w:rPr>
                <w:color w:val="000000"/>
                <w:sz w:val="16"/>
                <w:szCs w:val="16"/>
              </w:rPr>
            </w:pPr>
            <w:r w:rsidRPr="00C77374">
              <w:rPr>
                <w:color w:val="000000"/>
                <w:sz w:val="16"/>
                <w:szCs w:val="16"/>
              </w:rPr>
              <w:t>*** Low precision; no estimate reported.</w:t>
            </w:r>
          </w:p>
        </w:tc>
      </w:tr>
    </w:tbl>
    <w:p w14:paraId="7337BC78" w14:textId="238B0E7C" w:rsidR="00BE248C" w:rsidRDefault="00BE248C">
      <w:r>
        <w:br w:type="page"/>
      </w:r>
    </w:p>
    <w:p w14:paraId="563C7DA3" w14:textId="77777777" w:rsidR="00226261" w:rsidRDefault="00226261">
      <w:pPr>
        <w:rPr>
          <w:u w:val="single"/>
        </w:rPr>
      </w:pPr>
    </w:p>
    <w:p w14:paraId="6A0E8DE6" w14:textId="24060811" w:rsidR="00AE37FE" w:rsidRPr="00AE37FE" w:rsidRDefault="00AE37FE" w:rsidP="00AE37FE">
      <w:pPr>
        <w:rPr>
          <w:b/>
          <w:bCs/>
        </w:rPr>
      </w:pPr>
      <w:bookmarkStart w:id="7" w:name="_Hlk58486125"/>
      <w:r w:rsidRPr="00AE37FE">
        <w:rPr>
          <w:b/>
          <w:bCs/>
        </w:rPr>
        <w:t xml:space="preserve">Estimated Number of </w:t>
      </w:r>
      <w:r w:rsidR="00E670A3">
        <w:rPr>
          <w:b/>
          <w:bCs/>
        </w:rPr>
        <w:t xml:space="preserve">Prevalence </w:t>
      </w:r>
      <w:r w:rsidRPr="00AE37FE">
        <w:rPr>
          <w:b/>
          <w:bCs/>
        </w:rPr>
        <w:t xml:space="preserve">Individuals </w:t>
      </w:r>
      <w:r w:rsidR="00E670A3">
        <w:rPr>
          <w:b/>
          <w:bCs/>
        </w:rPr>
        <w:t xml:space="preserve">by Age Category </w:t>
      </w:r>
      <w:r w:rsidRPr="00AE37FE">
        <w:rPr>
          <w:b/>
          <w:bCs/>
        </w:rPr>
        <w:t xml:space="preserve">for Selected Indicators </w:t>
      </w:r>
    </w:p>
    <w:p w14:paraId="441C747C" w14:textId="77777777" w:rsidR="00AE37FE" w:rsidRDefault="00AE37FE"/>
    <w:p w14:paraId="25B5797D" w14:textId="77777777" w:rsidR="00AE37FE" w:rsidRDefault="00AE37FE"/>
    <w:p w14:paraId="5A136726" w14:textId="16AAEBB8" w:rsidR="00E71A31" w:rsidRPr="00130E39" w:rsidRDefault="00740B9F" w:rsidP="00130E39">
      <w:pPr>
        <w:pStyle w:val="ListParagraph"/>
        <w:numPr>
          <w:ilvl w:val="0"/>
          <w:numId w:val="7"/>
        </w:numPr>
        <w:rPr>
          <w:i/>
          <w:iCs/>
        </w:rPr>
      </w:pPr>
      <w:r w:rsidRPr="00740B9F">
        <w:t xml:space="preserve">Marijuana Use in the </w:t>
      </w:r>
      <w:r w:rsidRPr="00130E39">
        <w:rPr>
          <w:i/>
          <w:iCs/>
        </w:rPr>
        <w:t>Past Month</w:t>
      </w:r>
    </w:p>
    <w:bookmarkEnd w:id="7"/>
    <w:p w14:paraId="6CB1BA8E" w14:textId="77777777" w:rsidR="00740B9F" w:rsidRDefault="00740B9F"/>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34B09" w:rsidRPr="00E34B09" w14:paraId="7DDCFC73" w14:textId="77777777" w:rsidTr="00E34B09">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595C616" w14:textId="77777777" w:rsidR="00E34B09" w:rsidRPr="00E34B09" w:rsidRDefault="00E34B09" w:rsidP="00E34B09">
            <w:pPr>
              <w:jc w:val="center"/>
              <w:rPr>
                <w:b/>
                <w:bCs/>
                <w:sz w:val="20"/>
              </w:rPr>
            </w:pPr>
            <w:r w:rsidRPr="00E34B09">
              <w:rPr>
                <w:b/>
                <w:bCs/>
                <w:sz w:val="20"/>
              </w:rPr>
              <w:t xml:space="preserve">Marijuana Use in the </w:t>
            </w:r>
            <w:r w:rsidRPr="00E34B09">
              <w:rPr>
                <w:b/>
                <w:bCs/>
                <w:i/>
                <w:iCs/>
                <w:sz w:val="20"/>
                <w:u w:val="single"/>
              </w:rPr>
              <w:t>Past Month</w:t>
            </w:r>
            <w:r w:rsidRPr="00E34B09">
              <w:rPr>
                <w:b/>
                <w:bCs/>
                <w:sz w:val="20"/>
              </w:rPr>
              <w:t xml:space="preserve"> by Age Group Among Residents of</w:t>
            </w:r>
            <w:r w:rsidRPr="00E34B09">
              <w:rPr>
                <w:b/>
                <w:bCs/>
                <w:sz w:val="20"/>
              </w:rPr>
              <w:br/>
              <w:t>Greater New Orleans Parishes and Statewide, 2019*</w:t>
            </w:r>
          </w:p>
        </w:tc>
      </w:tr>
      <w:tr w:rsidR="00E34B09" w:rsidRPr="00E34B09" w14:paraId="0761C76C" w14:textId="77777777" w:rsidTr="00E34B09">
        <w:trPr>
          <w:trHeight w:val="76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1CDCC67" w14:textId="77777777" w:rsidR="00E34B09" w:rsidRPr="00E34B09" w:rsidRDefault="00E34B09" w:rsidP="00E34B09">
            <w:pPr>
              <w:jc w:val="center"/>
              <w:rPr>
                <w:sz w:val="20"/>
              </w:rPr>
            </w:pPr>
            <w:r w:rsidRPr="00E34B09">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6F27525F" w14:textId="315762A0" w:rsidR="00E34B09" w:rsidRPr="00E34B09" w:rsidRDefault="00E34B09" w:rsidP="00E34B09">
            <w:pPr>
              <w:jc w:val="center"/>
              <w:rPr>
                <w:sz w:val="20"/>
              </w:rPr>
            </w:pPr>
            <w:r w:rsidRPr="00E34B09">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5290073D" w14:textId="77777777" w:rsidR="00E34B09" w:rsidRPr="00E34B09" w:rsidRDefault="00E34B09" w:rsidP="00E34B09">
            <w:pPr>
              <w:jc w:val="center"/>
              <w:rPr>
                <w:sz w:val="20"/>
              </w:rPr>
            </w:pPr>
            <w:r w:rsidRPr="00E34B09">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7A728B65" w14:textId="77777777" w:rsidR="00E34B09" w:rsidRPr="00E34B09" w:rsidRDefault="00E34B09" w:rsidP="00E34B09">
            <w:pPr>
              <w:jc w:val="center"/>
              <w:rPr>
                <w:sz w:val="20"/>
              </w:rPr>
            </w:pPr>
            <w:r w:rsidRPr="00E34B09">
              <w:rPr>
                <w:sz w:val="20"/>
              </w:rPr>
              <w:t>Metro-</w:t>
            </w:r>
            <w:proofErr w:type="spellStart"/>
            <w:r w:rsidRPr="00E34B09">
              <w:rPr>
                <w:sz w:val="20"/>
              </w:rPr>
              <w:t>politan</w:t>
            </w:r>
            <w:proofErr w:type="spellEnd"/>
            <w:r w:rsidRPr="00E34B09">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175A9289" w14:textId="77777777" w:rsidR="00E34B09" w:rsidRPr="00E34B09" w:rsidRDefault="00E34B09" w:rsidP="00E34B09">
            <w:pPr>
              <w:jc w:val="center"/>
              <w:rPr>
                <w:sz w:val="20"/>
              </w:rPr>
            </w:pPr>
            <w:r w:rsidRPr="00E34B09">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08B45A87" w14:textId="77777777" w:rsidR="00E34B09" w:rsidRPr="00E34B09" w:rsidRDefault="00E34B09" w:rsidP="00E34B09">
            <w:pPr>
              <w:jc w:val="center"/>
              <w:rPr>
                <w:sz w:val="20"/>
              </w:rPr>
            </w:pPr>
            <w:r w:rsidRPr="00E34B09">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0A01AED5" w14:textId="77777777" w:rsidR="00E34B09" w:rsidRPr="00E34B09" w:rsidRDefault="00E34B09" w:rsidP="00E34B09">
            <w:pPr>
              <w:jc w:val="center"/>
              <w:rPr>
                <w:sz w:val="20"/>
              </w:rPr>
            </w:pPr>
            <w:r w:rsidRPr="00E34B09">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7D9CE749" w14:textId="77777777" w:rsidR="00E34B09" w:rsidRPr="00E34B09" w:rsidRDefault="00E34B09" w:rsidP="00E34B09">
            <w:pPr>
              <w:jc w:val="center"/>
              <w:rPr>
                <w:sz w:val="20"/>
              </w:rPr>
            </w:pPr>
            <w:r w:rsidRPr="00E34B09">
              <w:rPr>
                <w:sz w:val="20"/>
              </w:rPr>
              <w:t>Jefferson Parish HSA</w:t>
            </w:r>
          </w:p>
        </w:tc>
      </w:tr>
      <w:tr w:rsidR="00E34B09" w:rsidRPr="00E34B09" w14:paraId="5A62012C"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4D2C1CED" w14:textId="77777777" w:rsidR="00E34B09" w:rsidRPr="00E34B09" w:rsidRDefault="00E34B09" w:rsidP="00E34B09">
            <w:pPr>
              <w:rPr>
                <w:sz w:val="20"/>
              </w:rPr>
            </w:pPr>
            <w:r w:rsidRPr="00E34B09">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305E8DC2" w14:textId="77777777" w:rsidR="00E34B09" w:rsidRPr="00E34B09" w:rsidRDefault="00E34B09" w:rsidP="00E34B09">
            <w:pPr>
              <w:rPr>
                <w:sz w:val="20"/>
              </w:rPr>
            </w:pPr>
            <w:r w:rsidRPr="00E34B09">
              <w:rPr>
                <w:sz w:val="20"/>
              </w:rPr>
              <w:t> </w:t>
            </w:r>
          </w:p>
        </w:tc>
        <w:tc>
          <w:tcPr>
            <w:tcW w:w="980" w:type="dxa"/>
            <w:tcBorders>
              <w:top w:val="nil"/>
              <w:left w:val="nil"/>
              <w:bottom w:val="nil"/>
              <w:right w:val="nil"/>
            </w:tcBorders>
            <w:shd w:val="clear" w:color="auto" w:fill="auto"/>
            <w:noWrap/>
            <w:vAlign w:val="bottom"/>
            <w:hideMark/>
          </w:tcPr>
          <w:p w14:paraId="36712744" w14:textId="77777777" w:rsidR="00E34B09" w:rsidRPr="00E34B09" w:rsidRDefault="00E34B09" w:rsidP="00E34B09">
            <w:pPr>
              <w:rPr>
                <w:sz w:val="20"/>
              </w:rPr>
            </w:pPr>
            <w:r w:rsidRPr="00E34B09">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DFC22BD" w14:textId="77777777" w:rsidR="00E34B09" w:rsidRPr="00E34B09" w:rsidRDefault="00E34B09" w:rsidP="00E34B09">
            <w:pPr>
              <w:rPr>
                <w:sz w:val="20"/>
              </w:rPr>
            </w:pPr>
            <w:r w:rsidRPr="00E34B09">
              <w:rPr>
                <w:sz w:val="20"/>
              </w:rPr>
              <w:t> </w:t>
            </w:r>
          </w:p>
        </w:tc>
        <w:tc>
          <w:tcPr>
            <w:tcW w:w="980" w:type="dxa"/>
            <w:tcBorders>
              <w:top w:val="nil"/>
              <w:left w:val="nil"/>
              <w:bottom w:val="nil"/>
              <w:right w:val="nil"/>
            </w:tcBorders>
            <w:shd w:val="clear" w:color="auto" w:fill="auto"/>
            <w:noWrap/>
            <w:vAlign w:val="bottom"/>
            <w:hideMark/>
          </w:tcPr>
          <w:p w14:paraId="3CCD67A1" w14:textId="77777777" w:rsidR="00E34B09" w:rsidRPr="00E34B09" w:rsidRDefault="00E34B09" w:rsidP="00E34B09">
            <w:pPr>
              <w:rPr>
                <w:sz w:val="20"/>
              </w:rPr>
            </w:pPr>
            <w:r w:rsidRPr="00E34B09">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F0D6375" w14:textId="77777777" w:rsidR="00E34B09" w:rsidRPr="00E34B09" w:rsidRDefault="00E34B09" w:rsidP="00E34B09">
            <w:pPr>
              <w:rPr>
                <w:sz w:val="20"/>
              </w:rPr>
            </w:pPr>
            <w:r w:rsidRPr="00E34B09">
              <w:rPr>
                <w:sz w:val="20"/>
              </w:rPr>
              <w:t> </w:t>
            </w:r>
          </w:p>
        </w:tc>
        <w:tc>
          <w:tcPr>
            <w:tcW w:w="980" w:type="dxa"/>
            <w:tcBorders>
              <w:top w:val="nil"/>
              <w:left w:val="nil"/>
              <w:bottom w:val="nil"/>
              <w:right w:val="single" w:sz="4" w:space="0" w:color="auto"/>
            </w:tcBorders>
            <w:shd w:val="clear" w:color="auto" w:fill="auto"/>
            <w:noWrap/>
            <w:vAlign w:val="bottom"/>
            <w:hideMark/>
          </w:tcPr>
          <w:p w14:paraId="2FAD3C6C" w14:textId="77777777" w:rsidR="00E34B09" w:rsidRPr="00E34B09" w:rsidRDefault="00E34B09" w:rsidP="00E34B09">
            <w:pPr>
              <w:rPr>
                <w:sz w:val="20"/>
              </w:rPr>
            </w:pPr>
            <w:r w:rsidRPr="00E34B09">
              <w:rPr>
                <w:sz w:val="20"/>
              </w:rPr>
              <w:t> </w:t>
            </w:r>
          </w:p>
        </w:tc>
        <w:tc>
          <w:tcPr>
            <w:tcW w:w="980" w:type="dxa"/>
            <w:tcBorders>
              <w:top w:val="nil"/>
              <w:left w:val="nil"/>
              <w:bottom w:val="nil"/>
              <w:right w:val="single" w:sz="4" w:space="0" w:color="auto"/>
            </w:tcBorders>
            <w:shd w:val="clear" w:color="auto" w:fill="auto"/>
            <w:noWrap/>
            <w:vAlign w:val="bottom"/>
            <w:hideMark/>
          </w:tcPr>
          <w:p w14:paraId="23F3C890" w14:textId="77777777" w:rsidR="00E34B09" w:rsidRPr="00E34B09" w:rsidRDefault="00E34B09" w:rsidP="00E34B09">
            <w:pPr>
              <w:rPr>
                <w:sz w:val="20"/>
              </w:rPr>
            </w:pPr>
            <w:r w:rsidRPr="00E34B09">
              <w:rPr>
                <w:sz w:val="20"/>
              </w:rPr>
              <w:t> </w:t>
            </w:r>
          </w:p>
        </w:tc>
      </w:tr>
      <w:tr w:rsidR="00E34B09" w:rsidRPr="00E34B09" w14:paraId="0FC468C3"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7CD3CC0C" w14:textId="77777777" w:rsidR="00E34B09" w:rsidRPr="00E34B09" w:rsidRDefault="00E34B09" w:rsidP="00E34B09">
            <w:pPr>
              <w:rPr>
                <w:sz w:val="20"/>
              </w:rPr>
            </w:pPr>
            <w:r w:rsidRPr="00E34B09">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6447EB1B" w14:textId="77777777" w:rsidR="00E34B09" w:rsidRPr="00E34B09" w:rsidRDefault="00E34B09" w:rsidP="00E34B09">
            <w:pPr>
              <w:jc w:val="right"/>
              <w:rPr>
                <w:sz w:val="20"/>
              </w:rPr>
            </w:pPr>
            <w:r w:rsidRPr="00E34B09">
              <w:rPr>
                <w:sz w:val="20"/>
              </w:rPr>
              <w:t>360,774</w:t>
            </w:r>
          </w:p>
        </w:tc>
        <w:tc>
          <w:tcPr>
            <w:tcW w:w="980" w:type="dxa"/>
            <w:tcBorders>
              <w:top w:val="nil"/>
              <w:left w:val="nil"/>
              <w:bottom w:val="nil"/>
              <w:right w:val="nil"/>
            </w:tcBorders>
            <w:shd w:val="clear" w:color="auto" w:fill="auto"/>
            <w:noWrap/>
            <w:vAlign w:val="bottom"/>
            <w:hideMark/>
          </w:tcPr>
          <w:p w14:paraId="361369AA" w14:textId="77777777" w:rsidR="00E34B09" w:rsidRPr="00E34B09" w:rsidRDefault="00E34B09" w:rsidP="00E34B09">
            <w:pPr>
              <w:jc w:val="right"/>
              <w:rPr>
                <w:sz w:val="20"/>
              </w:rPr>
            </w:pPr>
            <w:r w:rsidRPr="00E34B09">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21C96617" w14:textId="77777777" w:rsidR="00E34B09" w:rsidRPr="00E34B09" w:rsidRDefault="00E34B09" w:rsidP="00E34B09">
            <w:pPr>
              <w:jc w:val="right"/>
              <w:rPr>
                <w:sz w:val="20"/>
              </w:rPr>
            </w:pPr>
            <w:r w:rsidRPr="00E34B09">
              <w:rPr>
                <w:sz w:val="20"/>
              </w:rPr>
              <w:t>30,822</w:t>
            </w:r>
          </w:p>
        </w:tc>
        <w:tc>
          <w:tcPr>
            <w:tcW w:w="980" w:type="dxa"/>
            <w:tcBorders>
              <w:top w:val="nil"/>
              <w:left w:val="nil"/>
              <w:bottom w:val="nil"/>
              <w:right w:val="nil"/>
            </w:tcBorders>
            <w:shd w:val="clear" w:color="auto" w:fill="auto"/>
            <w:noWrap/>
            <w:vAlign w:val="bottom"/>
            <w:hideMark/>
          </w:tcPr>
          <w:p w14:paraId="465E5733" w14:textId="77777777" w:rsidR="00E34B09" w:rsidRPr="00E34B09" w:rsidRDefault="00E34B09" w:rsidP="00E34B09">
            <w:pPr>
              <w:jc w:val="right"/>
              <w:rPr>
                <w:sz w:val="20"/>
              </w:rPr>
            </w:pPr>
            <w:r w:rsidRPr="00E34B09">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2C440703" w14:textId="77777777" w:rsidR="00E34B09" w:rsidRPr="00E34B09" w:rsidRDefault="00E34B09" w:rsidP="00E34B09">
            <w:pPr>
              <w:jc w:val="right"/>
              <w:rPr>
                <w:sz w:val="20"/>
              </w:rPr>
            </w:pPr>
            <w:r w:rsidRPr="00E34B09">
              <w:rPr>
                <w:sz w:val="20"/>
              </w:rPr>
              <w:t>2,081</w:t>
            </w:r>
          </w:p>
        </w:tc>
        <w:tc>
          <w:tcPr>
            <w:tcW w:w="980" w:type="dxa"/>
            <w:tcBorders>
              <w:top w:val="nil"/>
              <w:left w:val="nil"/>
              <w:bottom w:val="nil"/>
              <w:right w:val="single" w:sz="4" w:space="0" w:color="auto"/>
            </w:tcBorders>
            <w:shd w:val="clear" w:color="auto" w:fill="auto"/>
            <w:noWrap/>
            <w:vAlign w:val="bottom"/>
            <w:hideMark/>
          </w:tcPr>
          <w:p w14:paraId="48CDBC81" w14:textId="77777777" w:rsidR="00E34B09" w:rsidRPr="00E34B09" w:rsidRDefault="00E34B09" w:rsidP="00E34B09">
            <w:pPr>
              <w:jc w:val="right"/>
              <w:rPr>
                <w:sz w:val="20"/>
              </w:rPr>
            </w:pPr>
            <w:r w:rsidRPr="00E34B09">
              <w:rPr>
                <w:sz w:val="20"/>
              </w:rPr>
              <w:t>4,044</w:t>
            </w:r>
          </w:p>
        </w:tc>
        <w:tc>
          <w:tcPr>
            <w:tcW w:w="980" w:type="dxa"/>
            <w:tcBorders>
              <w:top w:val="nil"/>
              <w:left w:val="nil"/>
              <w:bottom w:val="nil"/>
              <w:right w:val="single" w:sz="4" w:space="0" w:color="auto"/>
            </w:tcBorders>
            <w:shd w:val="clear" w:color="auto" w:fill="auto"/>
            <w:noWrap/>
            <w:vAlign w:val="bottom"/>
            <w:hideMark/>
          </w:tcPr>
          <w:p w14:paraId="17C58678" w14:textId="77777777" w:rsidR="00E34B09" w:rsidRPr="00E34B09" w:rsidRDefault="00E34B09" w:rsidP="00E34B09">
            <w:pPr>
              <w:jc w:val="right"/>
              <w:rPr>
                <w:sz w:val="20"/>
              </w:rPr>
            </w:pPr>
            <w:r w:rsidRPr="00E34B09">
              <w:rPr>
                <w:sz w:val="20"/>
              </w:rPr>
              <w:t>30,385</w:t>
            </w:r>
          </w:p>
        </w:tc>
      </w:tr>
      <w:tr w:rsidR="00E34B09" w:rsidRPr="00E34B09" w14:paraId="1C90B0BB"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7CF3B908" w14:textId="0F06081F" w:rsidR="00E34B09" w:rsidRPr="00E34B09" w:rsidRDefault="00E34B09" w:rsidP="00E34B09">
            <w:pPr>
              <w:rPr>
                <w:sz w:val="20"/>
              </w:rPr>
            </w:pPr>
            <w:r w:rsidRPr="00E34B09">
              <w:rPr>
                <w:sz w:val="20"/>
              </w:rPr>
              <w:t xml:space="preserve">    Rate (%)</w:t>
            </w:r>
            <w:r w:rsidR="00BD1693">
              <w:rPr>
                <w:sz w:val="20"/>
              </w:rPr>
              <w:t xml:space="preserve"> </w:t>
            </w:r>
            <w:r w:rsidR="00BD1693" w:rsidRPr="00013571">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2D0E70F4" w14:textId="77777777" w:rsidR="00E34B09" w:rsidRPr="00E34B09" w:rsidRDefault="00E34B09" w:rsidP="00E34B09">
            <w:pPr>
              <w:jc w:val="right"/>
              <w:rPr>
                <w:color w:val="000000"/>
                <w:sz w:val="20"/>
              </w:rPr>
            </w:pPr>
            <w:r w:rsidRPr="00E34B09">
              <w:rPr>
                <w:color w:val="000000"/>
                <w:sz w:val="20"/>
              </w:rPr>
              <w:t>5.50%</w:t>
            </w:r>
          </w:p>
        </w:tc>
        <w:tc>
          <w:tcPr>
            <w:tcW w:w="980" w:type="dxa"/>
            <w:tcBorders>
              <w:top w:val="nil"/>
              <w:left w:val="nil"/>
              <w:bottom w:val="nil"/>
              <w:right w:val="single" w:sz="4" w:space="0" w:color="auto"/>
            </w:tcBorders>
            <w:shd w:val="clear" w:color="auto" w:fill="auto"/>
            <w:noWrap/>
            <w:vAlign w:val="bottom"/>
            <w:hideMark/>
          </w:tcPr>
          <w:p w14:paraId="1E0FFCA9" w14:textId="77777777" w:rsidR="00E34B09" w:rsidRPr="00E34B09" w:rsidRDefault="00E34B09" w:rsidP="00E34B09">
            <w:pPr>
              <w:jc w:val="right"/>
              <w:rPr>
                <w:color w:val="000000"/>
                <w:sz w:val="20"/>
              </w:rPr>
            </w:pPr>
            <w:r w:rsidRPr="00E34B09">
              <w:rPr>
                <w:color w:val="000000"/>
                <w:sz w:val="20"/>
              </w:rPr>
              <w:t>6.19%</w:t>
            </w:r>
          </w:p>
        </w:tc>
        <w:tc>
          <w:tcPr>
            <w:tcW w:w="980" w:type="dxa"/>
            <w:tcBorders>
              <w:top w:val="nil"/>
              <w:left w:val="nil"/>
              <w:bottom w:val="nil"/>
              <w:right w:val="single" w:sz="4" w:space="0" w:color="auto"/>
            </w:tcBorders>
            <w:shd w:val="clear" w:color="auto" w:fill="auto"/>
            <w:noWrap/>
            <w:vAlign w:val="bottom"/>
            <w:hideMark/>
          </w:tcPr>
          <w:p w14:paraId="665CA5D3" w14:textId="77777777" w:rsidR="00E34B09" w:rsidRPr="00E34B09" w:rsidRDefault="00E34B09" w:rsidP="00E34B09">
            <w:pPr>
              <w:jc w:val="right"/>
              <w:rPr>
                <w:color w:val="000000"/>
                <w:sz w:val="20"/>
              </w:rPr>
            </w:pPr>
            <w:r w:rsidRPr="00E34B09">
              <w:rPr>
                <w:color w:val="000000"/>
                <w:sz w:val="20"/>
              </w:rPr>
              <w:t>6.94%</w:t>
            </w:r>
          </w:p>
        </w:tc>
        <w:tc>
          <w:tcPr>
            <w:tcW w:w="980" w:type="dxa"/>
            <w:tcBorders>
              <w:top w:val="nil"/>
              <w:left w:val="nil"/>
              <w:bottom w:val="nil"/>
              <w:right w:val="single" w:sz="4" w:space="0" w:color="auto"/>
            </w:tcBorders>
            <w:shd w:val="clear" w:color="auto" w:fill="auto"/>
            <w:noWrap/>
            <w:vAlign w:val="bottom"/>
            <w:hideMark/>
          </w:tcPr>
          <w:p w14:paraId="0B5285F8" w14:textId="77777777" w:rsidR="00E34B09" w:rsidRPr="00E34B09" w:rsidRDefault="00E34B09" w:rsidP="00E34B09">
            <w:pPr>
              <w:jc w:val="right"/>
              <w:rPr>
                <w:color w:val="000000"/>
                <w:sz w:val="20"/>
              </w:rPr>
            </w:pPr>
            <w:r w:rsidRPr="00E34B09">
              <w:rPr>
                <w:color w:val="000000"/>
                <w:sz w:val="20"/>
              </w:rPr>
              <w:t>6.94%</w:t>
            </w:r>
          </w:p>
        </w:tc>
        <w:tc>
          <w:tcPr>
            <w:tcW w:w="980" w:type="dxa"/>
            <w:tcBorders>
              <w:top w:val="nil"/>
              <w:left w:val="nil"/>
              <w:bottom w:val="nil"/>
              <w:right w:val="single" w:sz="4" w:space="0" w:color="auto"/>
            </w:tcBorders>
            <w:shd w:val="clear" w:color="auto" w:fill="auto"/>
            <w:noWrap/>
            <w:vAlign w:val="bottom"/>
            <w:hideMark/>
          </w:tcPr>
          <w:p w14:paraId="77EA274C" w14:textId="77777777" w:rsidR="00E34B09" w:rsidRPr="00E34B09" w:rsidRDefault="00E34B09" w:rsidP="00E34B09">
            <w:pPr>
              <w:jc w:val="right"/>
              <w:rPr>
                <w:color w:val="000000"/>
                <w:sz w:val="20"/>
              </w:rPr>
            </w:pPr>
            <w:r w:rsidRPr="00E34B09">
              <w:rPr>
                <w:color w:val="000000"/>
                <w:sz w:val="20"/>
              </w:rPr>
              <w:t>6.94%</w:t>
            </w:r>
          </w:p>
        </w:tc>
        <w:tc>
          <w:tcPr>
            <w:tcW w:w="980" w:type="dxa"/>
            <w:tcBorders>
              <w:top w:val="nil"/>
              <w:left w:val="nil"/>
              <w:bottom w:val="nil"/>
              <w:right w:val="single" w:sz="4" w:space="0" w:color="auto"/>
            </w:tcBorders>
            <w:shd w:val="clear" w:color="auto" w:fill="auto"/>
            <w:noWrap/>
            <w:vAlign w:val="bottom"/>
            <w:hideMark/>
          </w:tcPr>
          <w:p w14:paraId="6CF29541" w14:textId="77777777" w:rsidR="00E34B09" w:rsidRPr="00E34B09" w:rsidRDefault="00E34B09" w:rsidP="00E34B09">
            <w:pPr>
              <w:jc w:val="right"/>
              <w:rPr>
                <w:color w:val="000000"/>
                <w:sz w:val="20"/>
              </w:rPr>
            </w:pPr>
            <w:r w:rsidRPr="00E34B09">
              <w:rPr>
                <w:color w:val="000000"/>
                <w:sz w:val="20"/>
              </w:rPr>
              <w:t>6.94%</w:t>
            </w:r>
          </w:p>
        </w:tc>
        <w:tc>
          <w:tcPr>
            <w:tcW w:w="980" w:type="dxa"/>
            <w:tcBorders>
              <w:top w:val="nil"/>
              <w:left w:val="nil"/>
              <w:bottom w:val="nil"/>
              <w:right w:val="single" w:sz="4" w:space="0" w:color="auto"/>
            </w:tcBorders>
            <w:shd w:val="clear" w:color="auto" w:fill="auto"/>
            <w:noWrap/>
            <w:vAlign w:val="bottom"/>
            <w:hideMark/>
          </w:tcPr>
          <w:p w14:paraId="3154C830" w14:textId="77777777" w:rsidR="00E34B09" w:rsidRPr="00E34B09" w:rsidRDefault="00E34B09" w:rsidP="00E34B09">
            <w:pPr>
              <w:jc w:val="right"/>
              <w:rPr>
                <w:color w:val="000000"/>
                <w:sz w:val="20"/>
              </w:rPr>
            </w:pPr>
            <w:r w:rsidRPr="00E34B09">
              <w:rPr>
                <w:color w:val="000000"/>
                <w:sz w:val="20"/>
              </w:rPr>
              <w:t>5.40%</w:t>
            </w:r>
          </w:p>
        </w:tc>
      </w:tr>
      <w:tr w:rsidR="00E34B09" w:rsidRPr="00E34B09" w14:paraId="3EB4EE8A" w14:textId="77777777" w:rsidTr="00E34B09">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5D8C0DC" w14:textId="77777777" w:rsidR="00E34B09" w:rsidRPr="00E34B09" w:rsidRDefault="00E34B09" w:rsidP="00E34B09">
            <w:pPr>
              <w:rPr>
                <w:sz w:val="20"/>
              </w:rPr>
            </w:pPr>
            <w:r w:rsidRPr="00E34B09">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76BAA57" w14:textId="3A03F852" w:rsidR="00E34B09" w:rsidRPr="00E34B09" w:rsidRDefault="00E34B09" w:rsidP="00E34B09">
            <w:pPr>
              <w:rPr>
                <w:sz w:val="20"/>
              </w:rPr>
            </w:pPr>
            <w:r w:rsidRPr="00E34B09">
              <w:rPr>
                <w:sz w:val="20"/>
              </w:rPr>
              <w:t>19,826</w:t>
            </w:r>
          </w:p>
        </w:tc>
        <w:tc>
          <w:tcPr>
            <w:tcW w:w="980" w:type="dxa"/>
            <w:tcBorders>
              <w:top w:val="nil"/>
              <w:left w:val="nil"/>
              <w:bottom w:val="single" w:sz="4" w:space="0" w:color="auto"/>
              <w:right w:val="single" w:sz="4" w:space="0" w:color="auto"/>
            </w:tcBorders>
            <w:shd w:val="clear" w:color="auto" w:fill="auto"/>
            <w:noWrap/>
            <w:vAlign w:val="bottom"/>
            <w:hideMark/>
          </w:tcPr>
          <w:p w14:paraId="18728D2C" w14:textId="7CC5442D" w:rsidR="00E34B09" w:rsidRPr="00E34B09" w:rsidRDefault="00E34B09" w:rsidP="00E34B09">
            <w:pPr>
              <w:rPr>
                <w:sz w:val="20"/>
              </w:rPr>
            </w:pPr>
            <w:r w:rsidRPr="00E34B09">
              <w:rPr>
                <w:sz w:val="20"/>
              </w:rPr>
              <w:t>3,791</w:t>
            </w:r>
          </w:p>
        </w:tc>
        <w:tc>
          <w:tcPr>
            <w:tcW w:w="980" w:type="dxa"/>
            <w:tcBorders>
              <w:top w:val="nil"/>
              <w:left w:val="nil"/>
              <w:bottom w:val="single" w:sz="4" w:space="0" w:color="auto"/>
              <w:right w:val="single" w:sz="4" w:space="0" w:color="auto"/>
            </w:tcBorders>
            <w:shd w:val="clear" w:color="auto" w:fill="auto"/>
            <w:noWrap/>
            <w:vAlign w:val="bottom"/>
            <w:hideMark/>
          </w:tcPr>
          <w:p w14:paraId="7D9E81FC" w14:textId="46CDAD9A" w:rsidR="00E34B09" w:rsidRPr="00E34B09" w:rsidRDefault="00E34B09" w:rsidP="00E34B09">
            <w:pPr>
              <w:rPr>
                <w:sz w:val="20"/>
              </w:rPr>
            </w:pPr>
            <w:r w:rsidRPr="00E34B09">
              <w:rPr>
                <w:sz w:val="20"/>
              </w:rPr>
              <w:t>2,140</w:t>
            </w:r>
          </w:p>
        </w:tc>
        <w:tc>
          <w:tcPr>
            <w:tcW w:w="980" w:type="dxa"/>
            <w:tcBorders>
              <w:top w:val="nil"/>
              <w:left w:val="nil"/>
              <w:bottom w:val="single" w:sz="4" w:space="0" w:color="auto"/>
              <w:right w:val="single" w:sz="4" w:space="0" w:color="auto"/>
            </w:tcBorders>
            <w:shd w:val="clear" w:color="auto" w:fill="auto"/>
            <w:noWrap/>
            <w:vAlign w:val="bottom"/>
            <w:hideMark/>
          </w:tcPr>
          <w:p w14:paraId="44ED98CF" w14:textId="73CF2E1A" w:rsidR="00E34B09" w:rsidRPr="00E34B09" w:rsidRDefault="00E34B09" w:rsidP="00E34B09">
            <w:pPr>
              <w:rPr>
                <w:sz w:val="20"/>
              </w:rPr>
            </w:pPr>
            <w:r w:rsidRPr="00E34B09">
              <w:rPr>
                <w:sz w:val="20"/>
              </w:rPr>
              <w:t>1,715</w:t>
            </w:r>
          </w:p>
        </w:tc>
        <w:tc>
          <w:tcPr>
            <w:tcW w:w="980" w:type="dxa"/>
            <w:tcBorders>
              <w:top w:val="nil"/>
              <w:left w:val="nil"/>
              <w:bottom w:val="single" w:sz="4" w:space="0" w:color="auto"/>
              <w:right w:val="single" w:sz="4" w:space="0" w:color="auto"/>
            </w:tcBorders>
            <w:shd w:val="clear" w:color="auto" w:fill="auto"/>
            <w:noWrap/>
            <w:vAlign w:val="bottom"/>
            <w:hideMark/>
          </w:tcPr>
          <w:p w14:paraId="6A0C0534" w14:textId="36E7E71D" w:rsidR="00E34B09" w:rsidRPr="00E34B09" w:rsidRDefault="00E34B09" w:rsidP="00E34B09">
            <w:pPr>
              <w:rPr>
                <w:sz w:val="20"/>
              </w:rPr>
            </w:pPr>
            <w:r w:rsidRPr="00E34B09">
              <w:rPr>
                <w:sz w:val="20"/>
              </w:rPr>
              <w:t>145</w:t>
            </w:r>
          </w:p>
        </w:tc>
        <w:tc>
          <w:tcPr>
            <w:tcW w:w="980" w:type="dxa"/>
            <w:tcBorders>
              <w:top w:val="nil"/>
              <w:left w:val="nil"/>
              <w:bottom w:val="single" w:sz="4" w:space="0" w:color="auto"/>
              <w:right w:val="single" w:sz="4" w:space="0" w:color="auto"/>
            </w:tcBorders>
            <w:shd w:val="clear" w:color="auto" w:fill="auto"/>
            <w:noWrap/>
            <w:vAlign w:val="bottom"/>
            <w:hideMark/>
          </w:tcPr>
          <w:p w14:paraId="6A308B15" w14:textId="26308F22" w:rsidR="00E34B09" w:rsidRPr="00E34B09" w:rsidRDefault="00E34B09" w:rsidP="00E34B09">
            <w:pPr>
              <w:rPr>
                <w:sz w:val="20"/>
              </w:rPr>
            </w:pPr>
            <w:r w:rsidRPr="00E34B09">
              <w:rPr>
                <w:sz w:val="20"/>
              </w:rPr>
              <w:t>281</w:t>
            </w:r>
          </w:p>
        </w:tc>
        <w:tc>
          <w:tcPr>
            <w:tcW w:w="980" w:type="dxa"/>
            <w:tcBorders>
              <w:top w:val="nil"/>
              <w:left w:val="nil"/>
              <w:bottom w:val="single" w:sz="4" w:space="0" w:color="auto"/>
              <w:right w:val="single" w:sz="4" w:space="0" w:color="auto"/>
            </w:tcBorders>
            <w:shd w:val="clear" w:color="auto" w:fill="auto"/>
            <w:noWrap/>
            <w:vAlign w:val="bottom"/>
            <w:hideMark/>
          </w:tcPr>
          <w:p w14:paraId="635493BF" w14:textId="5866EC23" w:rsidR="00E34B09" w:rsidRPr="00E34B09" w:rsidRDefault="00E34B09" w:rsidP="00E34B09">
            <w:pPr>
              <w:rPr>
                <w:sz w:val="20"/>
              </w:rPr>
            </w:pPr>
            <w:r w:rsidRPr="00E34B09">
              <w:rPr>
                <w:sz w:val="20"/>
              </w:rPr>
              <w:t>1,640</w:t>
            </w:r>
          </w:p>
        </w:tc>
      </w:tr>
      <w:tr w:rsidR="00E34B09" w:rsidRPr="00E34B09" w14:paraId="2A8DCFCD"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3E2FEA0B" w14:textId="77777777" w:rsidR="00E34B09" w:rsidRPr="00E34B09" w:rsidRDefault="00E34B09" w:rsidP="00E34B09">
            <w:pPr>
              <w:rPr>
                <w:sz w:val="20"/>
              </w:rPr>
            </w:pPr>
            <w:r w:rsidRPr="00E34B09">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4F326D87" w14:textId="7F7DCDF5" w:rsidR="00E34B09" w:rsidRPr="00E34B09" w:rsidRDefault="00E34B09" w:rsidP="00E34B09">
            <w:pPr>
              <w:rPr>
                <w:sz w:val="20"/>
              </w:rPr>
            </w:pPr>
          </w:p>
        </w:tc>
        <w:tc>
          <w:tcPr>
            <w:tcW w:w="980" w:type="dxa"/>
            <w:tcBorders>
              <w:top w:val="nil"/>
              <w:left w:val="nil"/>
              <w:bottom w:val="nil"/>
              <w:right w:val="nil"/>
            </w:tcBorders>
            <w:shd w:val="clear" w:color="auto" w:fill="auto"/>
            <w:noWrap/>
            <w:vAlign w:val="bottom"/>
            <w:hideMark/>
          </w:tcPr>
          <w:p w14:paraId="5CA0C376" w14:textId="77777777" w:rsidR="00E34B09" w:rsidRPr="00E34B09" w:rsidRDefault="00E34B09" w:rsidP="00E34B09">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E776388" w14:textId="185328A4" w:rsidR="00E34B09" w:rsidRPr="00E34B09" w:rsidRDefault="00E34B09" w:rsidP="00E34B09">
            <w:pPr>
              <w:rPr>
                <w:sz w:val="20"/>
              </w:rPr>
            </w:pPr>
          </w:p>
        </w:tc>
        <w:tc>
          <w:tcPr>
            <w:tcW w:w="980" w:type="dxa"/>
            <w:tcBorders>
              <w:top w:val="nil"/>
              <w:left w:val="nil"/>
              <w:bottom w:val="nil"/>
              <w:right w:val="nil"/>
            </w:tcBorders>
            <w:shd w:val="clear" w:color="auto" w:fill="auto"/>
            <w:noWrap/>
            <w:vAlign w:val="bottom"/>
            <w:hideMark/>
          </w:tcPr>
          <w:p w14:paraId="65320DD4" w14:textId="77777777" w:rsidR="00E34B09" w:rsidRPr="00E34B09" w:rsidRDefault="00E34B09" w:rsidP="00E34B09">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C496B69" w14:textId="494AE023" w:rsidR="00E34B09" w:rsidRPr="00E34B09" w:rsidRDefault="00E34B09" w:rsidP="00E34B09">
            <w:pPr>
              <w:rPr>
                <w:sz w:val="20"/>
              </w:rPr>
            </w:pPr>
          </w:p>
        </w:tc>
        <w:tc>
          <w:tcPr>
            <w:tcW w:w="980" w:type="dxa"/>
            <w:tcBorders>
              <w:top w:val="nil"/>
              <w:left w:val="nil"/>
              <w:bottom w:val="nil"/>
              <w:right w:val="single" w:sz="4" w:space="0" w:color="auto"/>
            </w:tcBorders>
            <w:shd w:val="clear" w:color="auto" w:fill="auto"/>
            <w:noWrap/>
            <w:vAlign w:val="bottom"/>
            <w:hideMark/>
          </w:tcPr>
          <w:p w14:paraId="37AA7C7A" w14:textId="58858045" w:rsidR="00E34B09" w:rsidRPr="00E34B09" w:rsidRDefault="00E34B09" w:rsidP="00E34B09">
            <w:pPr>
              <w:rPr>
                <w:sz w:val="20"/>
              </w:rPr>
            </w:pPr>
          </w:p>
        </w:tc>
        <w:tc>
          <w:tcPr>
            <w:tcW w:w="980" w:type="dxa"/>
            <w:tcBorders>
              <w:top w:val="nil"/>
              <w:left w:val="nil"/>
              <w:bottom w:val="nil"/>
              <w:right w:val="single" w:sz="4" w:space="0" w:color="auto"/>
            </w:tcBorders>
            <w:shd w:val="clear" w:color="auto" w:fill="auto"/>
            <w:noWrap/>
            <w:vAlign w:val="bottom"/>
            <w:hideMark/>
          </w:tcPr>
          <w:p w14:paraId="22762C4A" w14:textId="1496C3F1" w:rsidR="00E34B09" w:rsidRPr="00E34B09" w:rsidRDefault="00E34B09" w:rsidP="00E34B09">
            <w:pPr>
              <w:rPr>
                <w:sz w:val="20"/>
              </w:rPr>
            </w:pPr>
          </w:p>
        </w:tc>
      </w:tr>
      <w:tr w:rsidR="00E34B09" w:rsidRPr="00E34B09" w14:paraId="210DF964"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1D69B8CD" w14:textId="77777777" w:rsidR="00E34B09" w:rsidRPr="00E34B09" w:rsidRDefault="00E34B09" w:rsidP="00E34B09">
            <w:pPr>
              <w:rPr>
                <w:sz w:val="20"/>
              </w:rPr>
            </w:pPr>
            <w:r w:rsidRPr="00E34B09">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BE35554" w14:textId="77777777" w:rsidR="00E34B09" w:rsidRPr="00E34B09" w:rsidRDefault="00E34B09" w:rsidP="00E34B09">
            <w:pPr>
              <w:jc w:val="right"/>
              <w:rPr>
                <w:sz w:val="20"/>
              </w:rPr>
            </w:pPr>
            <w:r w:rsidRPr="00E34B09">
              <w:rPr>
                <w:sz w:val="20"/>
              </w:rPr>
              <w:t>483,697</w:t>
            </w:r>
          </w:p>
        </w:tc>
        <w:tc>
          <w:tcPr>
            <w:tcW w:w="980" w:type="dxa"/>
            <w:tcBorders>
              <w:top w:val="nil"/>
              <w:left w:val="nil"/>
              <w:bottom w:val="nil"/>
              <w:right w:val="nil"/>
            </w:tcBorders>
            <w:shd w:val="clear" w:color="auto" w:fill="auto"/>
            <w:noWrap/>
            <w:vAlign w:val="bottom"/>
            <w:hideMark/>
          </w:tcPr>
          <w:p w14:paraId="5B4D74F2" w14:textId="77777777" w:rsidR="00E34B09" w:rsidRPr="00E34B09" w:rsidRDefault="00E34B09" w:rsidP="00E34B09">
            <w:pPr>
              <w:jc w:val="right"/>
              <w:rPr>
                <w:sz w:val="20"/>
              </w:rPr>
            </w:pPr>
            <w:r w:rsidRPr="00E34B09">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458C4473" w14:textId="77777777" w:rsidR="00E34B09" w:rsidRPr="00E34B09" w:rsidRDefault="00E34B09" w:rsidP="00E34B09">
            <w:pPr>
              <w:jc w:val="right"/>
              <w:rPr>
                <w:sz w:val="20"/>
              </w:rPr>
            </w:pPr>
            <w:r w:rsidRPr="00E34B09">
              <w:rPr>
                <w:sz w:val="20"/>
              </w:rPr>
              <w:t>44,790</w:t>
            </w:r>
          </w:p>
        </w:tc>
        <w:tc>
          <w:tcPr>
            <w:tcW w:w="980" w:type="dxa"/>
            <w:tcBorders>
              <w:top w:val="nil"/>
              <w:left w:val="nil"/>
              <w:bottom w:val="nil"/>
              <w:right w:val="nil"/>
            </w:tcBorders>
            <w:shd w:val="clear" w:color="auto" w:fill="auto"/>
            <w:noWrap/>
            <w:vAlign w:val="bottom"/>
            <w:hideMark/>
          </w:tcPr>
          <w:p w14:paraId="312AD621" w14:textId="77777777" w:rsidR="00E34B09" w:rsidRPr="00E34B09" w:rsidRDefault="00E34B09" w:rsidP="00E34B09">
            <w:pPr>
              <w:jc w:val="right"/>
              <w:rPr>
                <w:sz w:val="20"/>
              </w:rPr>
            </w:pPr>
            <w:r w:rsidRPr="00E34B09">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53658E79" w14:textId="77777777" w:rsidR="00E34B09" w:rsidRPr="00E34B09" w:rsidRDefault="00E34B09" w:rsidP="00E34B09">
            <w:pPr>
              <w:jc w:val="right"/>
              <w:rPr>
                <w:sz w:val="20"/>
              </w:rPr>
            </w:pPr>
            <w:r w:rsidRPr="00E34B09">
              <w:rPr>
                <w:sz w:val="20"/>
              </w:rPr>
              <w:t>2,265</w:t>
            </w:r>
          </w:p>
        </w:tc>
        <w:tc>
          <w:tcPr>
            <w:tcW w:w="980" w:type="dxa"/>
            <w:tcBorders>
              <w:top w:val="nil"/>
              <w:left w:val="nil"/>
              <w:bottom w:val="nil"/>
              <w:right w:val="single" w:sz="4" w:space="0" w:color="auto"/>
            </w:tcBorders>
            <w:shd w:val="clear" w:color="auto" w:fill="auto"/>
            <w:noWrap/>
            <w:vAlign w:val="bottom"/>
            <w:hideMark/>
          </w:tcPr>
          <w:p w14:paraId="7A1793AB" w14:textId="77777777" w:rsidR="00E34B09" w:rsidRPr="00E34B09" w:rsidRDefault="00E34B09" w:rsidP="00E34B09">
            <w:pPr>
              <w:jc w:val="right"/>
              <w:rPr>
                <w:sz w:val="20"/>
              </w:rPr>
            </w:pPr>
            <w:r w:rsidRPr="00E34B09">
              <w:rPr>
                <w:sz w:val="20"/>
              </w:rPr>
              <w:t>4,133</w:t>
            </w:r>
          </w:p>
        </w:tc>
        <w:tc>
          <w:tcPr>
            <w:tcW w:w="980" w:type="dxa"/>
            <w:tcBorders>
              <w:top w:val="nil"/>
              <w:left w:val="nil"/>
              <w:bottom w:val="nil"/>
              <w:right w:val="single" w:sz="4" w:space="0" w:color="auto"/>
            </w:tcBorders>
            <w:shd w:val="clear" w:color="auto" w:fill="auto"/>
            <w:noWrap/>
            <w:vAlign w:val="bottom"/>
            <w:hideMark/>
          </w:tcPr>
          <w:p w14:paraId="7588ED8C" w14:textId="77777777" w:rsidR="00E34B09" w:rsidRPr="00E34B09" w:rsidRDefault="00E34B09" w:rsidP="00E34B09">
            <w:pPr>
              <w:jc w:val="right"/>
              <w:rPr>
                <w:sz w:val="20"/>
              </w:rPr>
            </w:pPr>
            <w:r w:rsidRPr="00E34B09">
              <w:rPr>
                <w:sz w:val="20"/>
              </w:rPr>
              <w:t>37,617</w:t>
            </w:r>
          </w:p>
        </w:tc>
      </w:tr>
      <w:tr w:rsidR="00E34B09" w:rsidRPr="00E34B09" w14:paraId="614C2D0A"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3025299A" w14:textId="757236B2" w:rsidR="00E34B09" w:rsidRPr="00E34B09" w:rsidRDefault="00E34B09" w:rsidP="00E34B09">
            <w:pPr>
              <w:rPr>
                <w:sz w:val="20"/>
              </w:rPr>
            </w:pPr>
            <w:r w:rsidRPr="00E34B09">
              <w:rPr>
                <w:sz w:val="20"/>
              </w:rPr>
              <w:t xml:space="preserve">    Rate (%)</w:t>
            </w:r>
            <w:r w:rsidR="00E36F2B">
              <w:rPr>
                <w:b/>
                <w:bCs/>
                <w:sz w:val="20"/>
              </w:rPr>
              <w:t xml:space="preserve"> </w:t>
            </w:r>
            <w:r w:rsidRPr="00E34B09">
              <w:rPr>
                <w:b/>
                <w:bCs/>
                <w:sz w:val="20"/>
              </w:rPr>
              <w:t>**</w:t>
            </w:r>
          </w:p>
        </w:tc>
        <w:tc>
          <w:tcPr>
            <w:tcW w:w="1140" w:type="dxa"/>
            <w:tcBorders>
              <w:top w:val="nil"/>
              <w:left w:val="single" w:sz="4" w:space="0" w:color="auto"/>
              <w:bottom w:val="nil"/>
              <w:right w:val="nil"/>
            </w:tcBorders>
            <w:shd w:val="clear" w:color="auto" w:fill="auto"/>
            <w:noWrap/>
            <w:vAlign w:val="bottom"/>
            <w:hideMark/>
          </w:tcPr>
          <w:p w14:paraId="1CB9BC3C" w14:textId="77777777" w:rsidR="00E34B09" w:rsidRPr="00E34B09" w:rsidRDefault="00E34B09" w:rsidP="00E34B09">
            <w:pPr>
              <w:jc w:val="right"/>
              <w:rPr>
                <w:color w:val="000000"/>
                <w:sz w:val="20"/>
              </w:rPr>
            </w:pPr>
            <w:r w:rsidRPr="00E34B09">
              <w:rPr>
                <w:color w:val="000000"/>
                <w:sz w:val="20"/>
              </w:rPr>
              <w:t>18.99%</w:t>
            </w:r>
          </w:p>
        </w:tc>
        <w:tc>
          <w:tcPr>
            <w:tcW w:w="980" w:type="dxa"/>
            <w:tcBorders>
              <w:top w:val="nil"/>
              <w:left w:val="single" w:sz="4" w:space="0" w:color="auto"/>
              <w:bottom w:val="nil"/>
              <w:right w:val="single" w:sz="4" w:space="0" w:color="auto"/>
            </w:tcBorders>
            <w:shd w:val="clear" w:color="auto" w:fill="auto"/>
            <w:noWrap/>
            <w:vAlign w:val="bottom"/>
            <w:hideMark/>
          </w:tcPr>
          <w:p w14:paraId="1C77019F" w14:textId="77777777" w:rsidR="00E34B09" w:rsidRPr="00E34B09" w:rsidRDefault="00E34B09" w:rsidP="00E34B09">
            <w:pPr>
              <w:jc w:val="right"/>
              <w:rPr>
                <w:color w:val="000000"/>
                <w:sz w:val="20"/>
              </w:rPr>
            </w:pPr>
            <w:r w:rsidRPr="00E34B09">
              <w:rPr>
                <w:color w:val="000000"/>
                <w:sz w:val="20"/>
              </w:rPr>
              <w:t>23.41%</w:t>
            </w:r>
          </w:p>
        </w:tc>
        <w:tc>
          <w:tcPr>
            <w:tcW w:w="980" w:type="dxa"/>
            <w:tcBorders>
              <w:top w:val="nil"/>
              <w:left w:val="nil"/>
              <w:bottom w:val="nil"/>
              <w:right w:val="single" w:sz="4" w:space="0" w:color="auto"/>
            </w:tcBorders>
            <w:shd w:val="clear" w:color="000000" w:fill="FFD85B"/>
            <w:noWrap/>
            <w:vAlign w:val="bottom"/>
            <w:hideMark/>
          </w:tcPr>
          <w:p w14:paraId="1C85F09A" w14:textId="77777777" w:rsidR="00E34B09" w:rsidRPr="00E34B09" w:rsidRDefault="00E34B09" w:rsidP="00E34B09">
            <w:pPr>
              <w:jc w:val="right"/>
              <w:rPr>
                <w:color w:val="000000"/>
                <w:sz w:val="20"/>
              </w:rPr>
            </w:pPr>
            <w:r w:rsidRPr="00E34B09">
              <w:rPr>
                <w:color w:val="000000"/>
                <w:sz w:val="20"/>
              </w:rPr>
              <w:t>23.41%</w:t>
            </w:r>
          </w:p>
        </w:tc>
        <w:tc>
          <w:tcPr>
            <w:tcW w:w="980" w:type="dxa"/>
            <w:tcBorders>
              <w:top w:val="nil"/>
              <w:left w:val="nil"/>
              <w:bottom w:val="nil"/>
              <w:right w:val="single" w:sz="4" w:space="0" w:color="auto"/>
            </w:tcBorders>
            <w:shd w:val="clear" w:color="000000" w:fill="FFD85B"/>
            <w:noWrap/>
            <w:vAlign w:val="bottom"/>
            <w:hideMark/>
          </w:tcPr>
          <w:p w14:paraId="596C147E" w14:textId="77777777" w:rsidR="00E34B09" w:rsidRPr="00E34B09" w:rsidRDefault="00E34B09" w:rsidP="00E34B09">
            <w:pPr>
              <w:jc w:val="right"/>
              <w:rPr>
                <w:color w:val="000000"/>
                <w:sz w:val="20"/>
              </w:rPr>
            </w:pPr>
            <w:r w:rsidRPr="00E34B09">
              <w:rPr>
                <w:color w:val="000000"/>
                <w:sz w:val="20"/>
              </w:rPr>
              <w:t>23.41%</w:t>
            </w:r>
          </w:p>
        </w:tc>
        <w:tc>
          <w:tcPr>
            <w:tcW w:w="980" w:type="dxa"/>
            <w:tcBorders>
              <w:top w:val="nil"/>
              <w:left w:val="nil"/>
              <w:bottom w:val="nil"/>
              <w:right w:val="single" w:sz="4" w:space="0" w:color="auto"/>
            </w:tcBorders>
            <w:shd w:val="clear" w:color="000000" w:fill="FFD85B"/>
            <w:noWrap/>
            <w:vAlign w:val="bottom"/>
            <w:hideMark/>
          </w:tcPr>
          <w:p w14:paraId="225B09BB" w14:textId="77777777" w:rsidR="00E34B09" w:rsidRPr="00E34B09" w:rsidRDefault="00E34B09" w:rsidP="00E34B09">
            <w:pPr>
              <w:jc w:val="right"/>
              <w:rPr>
                <w:color w:val="000000"/>
                <w:sz w:val="20"/>
              </w:rPr>
            </w:pPr>
            <w:r w:rsidRPr="00E34B09">
              <w:rPr>
                <w:color w:val="000000"/>
                <w:sz w:val="20"/>
              </w:rPr>
              <w:t>23.41%</w:t>
            </w:r>
          </w:p>
        </w:tc>
        <w:tc>
          <w:tcPr>
            <w:tcW w:w="980" w:type="dxa"/>
            <w:tcBorders>
              <w:top w:val="nil"/>
              <w:left w:val="nil"/>
              <w:bottom w:val="nil"/>
              <w:right w:val="single" w:sz="4" w:space="0" w:color="auto"/>
            </w:tcBorders>
            <w:shd w:val="clear" w:color="000000" w:fill="FFD85B"/>
            <w:noWrap/>
            <w:vAlign w:val="bottom"/>
            <w:hideMark/>
          </w:tcPr>
          <w:p w14:paraId="19910A40" w14:textId="77777777" w:rsidR="00E34B09" w:rsidRPr="00E34B09" w:rsidRDefault="00E34B09" w:rsidP="00E34B09">
            <w:pPr>
              <w:jc w:val="right"/>
              <w:rPr>
                <w:color w:val="000000"/>
                <w:sz w:val="20"/>
              </w:rPr>
            </w:pPr>
            <w:r w:rsidRPr="00E34B09">
              <w:rPr>
                <w:color w:val="000000"/>
                <w:sz w:val="20"/>
              </w:rPr>
              <w:t>23.41%</w:t>
            </w:r>
          </w:p>
        </w:tc>
        <w:tc>
          <w:tcPr>
            <w:tcW w:w="980" w:type="dxa"/>
            <w:tcBorders>
              <w:top w:val="nil"/>
              <w:left w:val="nil"/>
              <w:bottom w:val="nil"/>
              <w:right w:val="single" w:sz="4" w:space="0" w:color="auto"/>
            </w:tcBorders>
            <w:shd w:val="clear" w:color="000000" w:fill="FFD85B"/>
            <w:noWrap/>
            <w:vAlign w:val="bottom"/>
            <w:hideMark/>
          </w:tcPr>
          <w:p w14:paraId="6C42FF61" w14:textId="77777777" w:rsidR="00E34B09" w:rsidRPr="00E34B09" w:rsidRDefault="00E34B09" w:rsidP="00E34B09">
            <w:pPr>
              <w:jc w:val="right"/>
              <w:rPr>
                <w:color w:val="000000"/>
                <w:sz w:val="20"/>
              </w:rPr>
            </w:pPr>
            <w:r w:rsidRPr="00E34B09">
              <w:rPr>
                <w:color w:val="000000"/>
                <w:sz w:val="20"/>
              </w:rPr>
              <w:t>23.41%</w:t>
            </w:r>
          </w:p>
        </w:tc>
      </w:tr>
      <w:tr w:rsidR="00E34B09" w:rsidRPr="00E34B09" w14:paraId="08896975"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4268BBC3" w14:textId="77777777" w:rsidR="00E34B09" w:rsidRPr="00E34B09" w:rsidRDefault="00E34B09" w:rsidP="00E34B09">
            <w:pPr>
              <w:rPr>
                <w:sz w:val="20"/>
              </w:rPr>
            </w:pPr>
            <w:r w:rsidRPr="00E34B09">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6F80D98" w14:textId="2BE74C71" w:rsidR="00E34B09" w:rsidRPr="00E34B09" w:rsidRDefault="00E34B09" w:rsidP="00E34B09">
            <w:pPr>
              <w:rPr>
                <w:sz w:val="20"/>
              </w:rPr>
            </w:pPr>
            <w:r w:rsidRPr="00E34B09">
              <w:rPr>
                <w:sz w:val="20"/>
              </w:rPr>
              <w:t>91,839</w:t>
            </w:r>
          </w:p>
        </w:tc>
        <w:tc>
          <w:tcPr>
            <w:tcW w:w="980" w:type="dxa"/>
            <w:tcBorders>
              <w:top w:val="nil"/>
              <w:left w:val="nil"/>
              <w:bottom w:val="single" w:sz="4" w:space="0" w:color="auto"/>
              <w:right w:val="single" w:sz="4" w:space="0" w:color="auto"/>
            </w:tcBorders>
            <w:shd w:val="clear" w:color="auto" w:fill="auto"/>
            <w:noWrap/>
            <w:vAlign w:val="bottom"/>
            <w:hideMark/>
          </w:tcPr>
          <w:p w14:paraId="352E4D52" w14:textId="61127104" w:rsidR="00E34B09" w:rsidRPr="00E34B09" w:rsidRDefault="00E34B09" w:rsidP="00E34B09">
            <w:pPr>
              <w:rPr>
                <w:sz w:val="20"/>
              </w:rPr>
            </w:pPr>
            <w:r w:rsidRPr="00E34B09">
              <w:rPr>
                <w:sz w:val="20"/>
              </w:rPr>
              <w:t>19,292</w:t>
            </w:r>
          </w:p>
        </w:tc>
        <w:tc>
          <w:tcPr>
            <w:tcW w:w="980" w:type="dxa"/>
            <w:tcBorders>
              <w:top w:val="nil"/>
              <w:left w:val="nil"/>
              <w:bottom w:val="single" w:sz="4" w:space="0" w:color="auto"/>
              <w:right w:val="single" w:sz="4" w:space="0" w:color="auto"/>
            </w:tcBorders>
            <w:shd w:val="clear" w:color="000000" w:fill="FFD85B"/>
            <w:noWrap/>
            <w:vAlign w:val="bottom"/>
            <w:hideMark/>
          </w:tcPr>
          <w:p w14:paraId="4C59191B" w14:textId="5D57020F" w:rsidR="00E34B09" w:rsidRPr="00E34B09" w:rsidRDefault="00E34B09" w:rsidP="00E34B09">
            <w:pPr>
              <w:rPr>
                <w:sz w:val="20"/>
              </w:rPr>
            </w:pPr>
            <w:r w:rsidRPr="00E34B09">
              <w:rPr>
                <w:sz w:val="20"/>
              </w:rPr>
              <w:t>10,486</w:t>
            </w:r>
          </w:p>
        </w:tc>
        <w:tc>
          <w:tcPr>
            <w:tcW w:w="980" w:type="dxa"/>
            <w:tcBorders>
              <w:top w:val="nil"/>
              <w:left w:val="nil"/>
              <w:bottom w:val="single" w:sz="4" w:space="0" w:color="auto"/>
              <w:right w:val="single" w:sz="4" w:space="0" w:color="auto"/>
            </w:tcBorders>
            <w:shd w:val="clear" w:color="000000" w:fill="FFD85B"/>
            <w:noWrap/>
            <w:vAlign w:val="bottom"/>
            <w:hideMark/>
          </w:tcPr>
          <w:p w14:paraId="1125043E" w14:textId="232BFD83" w:rsidR="00E34B09" w:rsidRPr="00E34B09" w:rsidRDefault="00E34B09" w:rsidP="00E34B09">
            <w:pPr>
              <w:rPr>
                <w:sz w:val="20"/>
              </w:rPr>
            </w:pPr>
            <w:r w:rsidRPr="00E34B09">
              <w:rPr>
                <w:sz w:val="20"/>
              </w:rPr>
              <w:t>8,988</w:t>
            </w:r>
          </w:p>
        </w:tc>
        <w:tc>
          <w:tcPr>
            <w:tcW w:w="980" w:type="dxa"/>
            <w:tcBorders>
              <w:top w:val="nil"/>
              <w:left w:val="nil"/>
              <w:bottom w:val="single" w:sz="4" w:space="0" w:color="auto"/>
              <w:right w:val="single" w:sz="4" w:space="0" w:color="auto"/>
            </w:tcBorders>
            <w:shd w:val="clear" w:color="000000" w:fill="FFD85B"/>
            <w:noWrap/>
            <w:vAlign w:val="bottom"/>
            <w:hideMark/>
          </w:tcPr>
          <w:p w14:paraId="5420736C" w14:textId="0729DD94" w:rsidR="00E34B09" w:rsidRPr="00E34B09" w:rsidRDefault="00E34B09" w:rsidP="00E34B09">
            <w:pPr>
              <w:rPr>
                <w:sz w:val="20"/>
              </w:rPr>
            </w:pPr>
            <w:r w:rsidRPr="00E34B09">
              <w:rPr>
                <w:sz w:val="20"/>
              </w:rPr>
              <w:t>530</w:t>
            </w:r>
          </w:p>
        </w:tc>
        <w:tc>
          <w:tcPr>
            <w:tcW w:w="980" w:type="dxa"/>
            <w:tcBorders>
              <w:top w:val="nil"/>
              <w:left w:val="nil"/>
              <w:bottom w:val="single" w:sz="4" w:space="0" w:color="auto"/>
              <w:right w:val="single" w:sz="4" w:space="0" w:color="auto"/>
            </w:tcBorders>
            <w:shd w:val="clear" w:color="000000" w:fill="FFD85B"/>
            <w:noWrap/>
            <w:vAlign w:val="bottom"/>
            <w:hideMark/>
          </w:tcPr>
          <w:p w14:paraId="7BF8D936" w14:textId="325DA3FC" w:rsidR="00E34B09" w:rsidRPr="00E34B09" w:rsidRDefault="00E34B09" w:rsidP="00E34B09">
            <w:pPr>
              <w:rPr>
                <w:sz w:val="20"/>
              </w:rPr>
            </w:pPr>
            <w:r w:rsidRPr="00E34B09">
              <w:rPr>
                <w:sz w:val="20"/>
              </w:rPr>
              <w:t>968</w:t>
            </w:r>
          </w:p>
        </w:tc>
        <w:tc>
          <w:tcPr>
            <w:tcW w:w="980" w:type="dxa"/>
            <w:tcBorders>
              <w:top w:val="nil"/>
              <w:left w:val="nil"/>
              <w:bottom w:val="single" w:sz="4" w:space="0" w:color="auto"/>
              <w:right w:val="single" w:sz="4" w:space="0" w:color="auto"/>
            </w:tcBorders>
            <w:shd w:val="clear" w:color="000000" w:fill="FFD85B"/>
            <w:noWrap/>
            <w:vAlign w:val="bottom"/>
            <w:hideMark/>
          </w:tcPr>
          <w:p w14:paraId="14B1EACD" w14:textId="58F0EE58" w:rsidR="00E34B09" w:rsidRPr="00E34B09" w:rsidRDefault="00E34B09" w:rsidP="00E34B09">
            <w:pPr>
              <w:rPr>
                <w:sz w:val="20"/>
              </w:rPr>
            </w:pPr>
            <w:r w:rsidRPr="00E34B09">
              <w:rPr>
                <w:sz w:val="20"/>
              </w:rPr>
              <w:t>8,806</w:t>
            </w:r>
          </w:p>
        </w:tc>
      </w:tr>
      <w:tr w:rsidR="00E34B09" w:rsidRPr="00E34B09" w14:paraId="55AE5FCD" w14:textId="77777777" w:rsidTr="00E34B09">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1A9F5CB6" w14:textId="36665068" w:rsidR="00E34B09" w:rsidRPr="00E34B09" w:rsidRDefault="00E34B09" w:rsidP="00E34B09">
            <w:pPr>
              <w:rPr>
                <w:sz w:val="20"/>
              </w:rPr>
            </w:pPr>
            <w:r w:rsidRPr="00E34B09">
              <w:rPr>
                <w:sz w:val="20"/>
              </w:rPr>
              <w:t xml:space="preserve">Older Adults </w:t>
            </w:r>
            <w:r w:rsidR="00240C80">
              <w:rPr>
                <w:sz w:val="20"/>
              </w:rPr>
              <w:t>26+</w:t>
            </w:r>
            <w:r w:rsidRPr="00E34B09">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6EB47639" w14:textId="2DF49192" w:rsidR="00E34B09" w:rsidRPr="00E34B09" w:rsidRDefault="00E34B09" w:rsidP="00E34B09">
            <w:pPr>
              <w:rPr>
                <w:sz w:val="20"/>
              </w:rPr>
            </w:pPr>
          </w:p>
        </w:tc>
        <w:tc>
          <w:tcPr>
            <w:tcW w:w="980" w:type="dxa"/>
            <w:tcBorders>
              <w:top w:val="nil"/>
              <w:left w:val="nil"/>
              <w:bottom w:val="nil"/>
              <w:right w:val="nil"/>
            </w:tcBorders>
            <w:shd w:val="clear" w:color="auto" w:fill="auto"/>
            <w:noWrap/>
            <w:vAlign w:val="bottom"/>
            <w:hideMark/>
          </w:tcPr>
          <w:p w14:paraId="1C286D2F" w14:textId="1A8148DC" w:rsidR="00E34B09" w:rsidRPr="00E34B09" w:rsidRDefault="00E34B09" w:rsidP="00E34B09">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5F15CF2" w14:textId="6CD4E9F3" w:rsidR="00E34B09" w:rsidRPr="00E34B09" w:rsidRDefault="00E34B09" w:rsidP="00E34B09">
            <w:pPr>
              <w:rPr>
                <w:sz w:val="20"/>
              </w:rPr>
            </w:pPr>
          </w:p>
        </w:tc>
        <w:tc>
          <w:tcPr>
            <w:tcW w:w="980" w:type="dxa"/>
            <w:tcBorders>
              <w:top w:val="nil"/>
              <w:left w:val="nil"/>
              <w:bottom w:val="nil"/>
              <w:right w:val="nil"/>
            </w:tcBorders>
            <w:shd w:val="clear" w:color="auto" w:fill="auto"/>
            <w:noWrap/>
            <w:vAlign w:val="bottom"/>
            <w:hideMark/>
          </w:tcPr>
          <w:p w14:paraId="27878496" w14:textId="3F1FFACD" w:rsidR="00E34B09" w:rsidRPr="00E34B09" w:rsidRDefault="00E34B09" w:rsidP="00E34B09">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4F62BB6" w14:textId="48E55720" w:rsidR="00E34B09" w:rsidRPr="00E34B09" w:rsidRDefault="00E34B09" w:rsidP="00E34B09">
            <w:pPr>
              <w:rPr>
                <w:sz w:val="20"/>
              </w:rPr>
            </w:pPr>
          </w:p>
        </w:tc>
        <w:tc>
          <w:tcPr>
            <w:tcW w:w="980" w:type="dxa"/>
            <w:tcBorders>
              <w:top w:val="nil"/>
              <w:left w:val="nil"/>
              <w:bottom w:val="nil"/>
              <w:right w:val="single" w:sz="4" w:space="0" w:color="auto"/>
            </w:tcBorders>
            <w:shd w:val="clear" w:color="auto" w:fill="auto"/>
            <w:noWrap/>
            <w:vAlign w:val="bottom"/>
            <w:hideMark/>
          </w:tcPr>
          <w:p w14:paraId="42F7A7F4" w14:textId="214C397F" w:rsidR="00E34B09" w:rsidRPr="00E34B09" w:rsidRDefault="00E34B09" w:rsidP="00E34B09">
            <w:pPr>
              <w:rPr>
                <w:sz w:val="20"/>
              </w:rPr>
            </w:pPr>
          </w:p>
        </w:tc>
        <w:tc>
          <w:tcPr>
            <w:tcW w:w="980" w:type="dxa"/>
            <w:tcBorders>
              <w:top w:val="nil"/>
              <w:left w:val="nil"/>
              <w:bottom w:val="nil"/>
              <w:right w:val="single" w:sz="4" w:space="0" w:color="auto"/>
            </w:tcBorders>
            <w:shd w:val="clear" w:color="auto" w:fill="auto"/>
            <w:noWrap/>
            <w:vAlign w:val="bottom"/>
            <w:hideMark/>
          </w:tcPr>
          <w:p w14:paraId="31F31661" w14:textId="044692EF" w:rsidR="00E34B09" w:rsidRPr="00E34B09" w:rsidRDefault="00E34B09" w:rsidP="00E34B09">
            <w:pPr>
              <w:rPr>
                <w:sz w:val="20"/>
              </w:rPr>
            </w:pPr>
          </w:p>
        </w:tc>
      </w:tr>
      <w:tr w:rsidR="00E34B09" w:rsidRPr="00E34B09" w14:paraId="04FC69C1"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1D9E3023" w14:textId="77777777" w:rsidR="00E34B09" w:rsidRPr="00E34B09" w:rsidRDefault="00E34B09" w:rsidP="00E34B09">
            <w:pPr>
              <w:rPr>
                <w:sz w:val="20"/>
              </w:rPr>
            </w:pPr>
            <w:r w:rsidRPr="00E34B09">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8A9816F" w14:textId="77777777" w:rsidR="00E34B09" w:rsidRPr="00E34B09" w:rsidRDefault="00E34B09" w:rsidP="00E34B09">
            <w:pPr>
              <w:jc w:val="right"/>
              <w:rPr>
                <w:sz w:val="20"/>
              </w:rPr>
            </w:pPr>
            <w:r w:rsidRPr="00E34B09">
              <w:rPr>
                <w:sz w:val="20"/>
              </w:rPr>
              <w:t>3,077,467</w:t>
            </w:r>
          </w:p>
        </w:tc>
        <w:tc>
          <w:tcPr>
            <w:tcW w:w="980" w:type="dxa"/>
            <w:tcBorders>
              <w:top w:val="nil"/>
              <w:left w:val="nil"/>
              <w:bottom w:val="nil"/>
              <w:right w:val="nil"/>
            </w:tcBorders>
            <w:shd w:val="clear" w:color="auto" w:fill="auto"/>
            <w:noWrap/>
            <w:vAlign w:val="bottom"/>
            <w:hideMark/>
          </w:tcPr>
          <w:p w14:paraId="79D76D8A" w14:textId="77777777" w:rsidR="00E34B09" w:rsidRPr="00E34B09" w:rsidRDefault="00E34B09" w:rsidP="00E34B09">
            <w:pPr>
              <w:jc w:val="right"/>
              <w:rPr>
                <w:sz w:val="20"/>
              </w:rPr>
            </w:pPr>
            <w:r w:rsidRPr="00E34B09">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58924EC0" w14:textId="77777777" w:rsidR="00E34B09" w:rsidRPr="00E34B09" w:rsidRDefault="00E34B09" w:rsidP="00E34B09">
            <w:pPr>
              <w:jc w:val="right"/>
              <w:rPr>
                <w:sz w:val="20"/>
              </w:rPr>
            </w:pPr>
            <w:r w:rsidRPr="00E34B09">
              <w:rPr>
                <w:sz w:val="20"/>
              </w:rPr>
              <w:t>320,039</w:t>
            </w:r>
          </w:p>
        </w:tc>
        <w:tc>
          <w:tcPr>
            <w:tcW w:w="980" w:type="dxa"/>
            <w:tcBorders>
              <w:top w:val="nil"/>
              <w:left w:val="nil"/>
              <w:bottom w:val="nil"/>
              <w:right w:val="nil"/>
            </w:tcBorders>
            <w:shd w:val="clear" w:color="auto" w:fill="auto"/>
            <w:noWrap/>
            <w:vAlign w:val="bottom"/>
            <w:hideMark/>
          </w:tcPr>
          <w:p w14:paraId="7FE41342" w14:textId="77777777" w:rsidR="00E34B09" w:rsidRPr="00E34B09" w:rsidRDefault="00E34B09" w:rsidP="00E34B09">
            <w:pPr>
              <w:jc w:val="right"/>
              <w:rPr>
                <w:sz w:val="20"/>
              </w:rPr>
            </w:pPr>
            <w:r w:rsidRPr="00E34B09">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6BC3C050" w14:textId="77777777" w:rsidR="00E34B09" w:rsidRPr="00E34B09" w:rsidRDefault="00E34B09" w:rsidP="00E34B09">
            <w:pPr>
              <w:jc w:val="right"/>
              <w:rPr>
                <w:sz w:val="20"/>
              </w:rPr>
            </w:pPr>
            <w:r w:rsidRPr="00E34B09">
              <w:rPr>
                <w:sz w:val="20"/>
              </w:rPr>
              <w:t>14,956</w:t>
            </w:r>
          </w:p>
        </w:tc>
        <w:tc>
          <w:tcPr>
            <w:tcW w:w="980" w:type="dxa"/>
            <w:tcBorders>
              <w:top w:val="nil"/>
              <w:left w:val="nil"/>
              <w:bottom w:val="nil"/>
              <w:right w:val="single" w:sz="4" w:space="0" w:color="auto"/>
            </w:tcBorders>
            <w:shd w:val="clear" w:color="auto" w:fill="auto"/>
            <w:noWrap/>
            <w:vAlign w:val="bottom"/>
            <w:hideMark/>
          </w:tcPr>
          <w:p w14:paraId="4FB5A849" w14:textId="77777777" w:rsidR="00E34B09" w:rsidRPr="00E34B09" w:rsidRDefault="00E34B09" w:rsidP="00E34B09">
            <w:pPr>
              <w:jc w:val="right"/>
              <w:rPr>
                <w:sz w:val="20"/>
              </w:rPr>
            </w:pPr>
            <w:r w:rsidRPr="00E34B09">
              <w:rPr>
                <w:sz w:val="20"/>
              </w:rPr>
              <w:t>30,611</w:t>
            </w:r>
          </w:p>
        </w:tc>
        <w:tc>
          <w:tcPr>
            <w:tcW w:w="980" w:type="dxa"/>
            <w:tcBorders>
              <w:top w:val="nil"/>
              <w:left w:val="nil"/>
              <w:bottom w:val="nil"/>
              <w:right w:val="single" w:sz="4" w:space="0" w:color="auto"/>
            </w:tcBorders>
            <w:shd w:val="clear" w:color="auto" w:fill="auto"/>
            <w:noWrap/>
            <w:vAlign w:val="bottom"/>
            <w:hideMark/>
          </w:tcPr>
          <w:p w14:paraId="0705CFAA" w14:textId="77777777" w:rsidR="00E34B09" w:rsidRPr="00E34B09" w:rsidRDefault="00E34B09" w:rsidP="00E34B09">
            <w:pPr>
              <w:jc w:val="right"/>
              <w:rPr>
                <w:sz w:val="20"/>
              </w:rPr>
            </w:pPr>
            <w:r w:rsidRPr="00E34B09">
              <w:rPr>
                <w:sz w:val="20"/>
              </w:rPr>
              <w:t>299,579</w:t>
            </w:r>
          </w:p>
        </w:tc>
      </w:tr>
      <w:tr w:rsidR="00E34B09" w:rsidRPr="00E34B09" w14:paraId="6C1B6259"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6271BF0B" w14:textId="77777777" w:rsidR="00E34B09" w:rsidRPr="00E34B09" w:rsidRDefault="00E34B09" w:rsidP="00E34B09">
            <w:pPr>
              <w:rPr>
                <w:sz w:val="20"/>
              </w:rPr>
            </w:pPr>
            <w:r w:rsidRPr="00E34B09">
              <w:rPr>
                <w:sz w:val="20"/>
              </w:rPr>
              <w:t xml:space="preserve">    Rate (%)</w:t>
            </w:r>
          </w:p>
        </w:tc>
        <w:tc>
          <w:tcPr>
            <w:tcW w:w="1140" w:type="dxa"/>
            <w:tcBorders>
              <w:top w:val="nil"/>
              <w:left w:val="single" w:sz="4" w:space="0" w:color="auto"/>
              <w:bottom w:val="nil"/>
              <w:right w:val="nil"/>
            </w:tcBorders>
            <w:shd w:val="clear" w:color="auto" w:fill="auto"/>
            <w:noWrap/>
            <w:vAlign w:val="bottom"/>
            <w:hideMark/>
          </w:tcPr>
          <w:p w14:paraId="40BAF019" w14:textId="77777777" w:rsidR="00E34B09" w:rsidRPr="00E34B09" w:rsidRDefault="00E34B09" w:rsidP="00E34B09">
            <w:pPr>
              <w:jc w:val="right"/>
              <w:rPr>
                <w:color w:val="000000"/>
                <w:sz w:val="20"/>
              </w:rPr>
            </w:pPr>
            <w:r w:rsidRPr="00E34B09">
              <w:rPr>
                <w:color w:val="000000"/>
                <w:sz w:val="20"/>
              </w:rPr>
              <w:t>5.91%</w:t>
            </w:r>
          </w:p>
        </w:tc>
        <w:tc>
          <w:tcPr>
            <w:tcW w:w="980" w:type="dxa"/>
            <w:tcBorders>
              <w:top w:val="nil"/>
              <w:left w:val="single" w:sz="4" w:space="0" w:color="auto"/>
              <w:bottom w:val="nil"/>
              <w:right w:val="single" w:sz="4" w:space="0" w:color="auto"/>
            </w:tcBorders>
            <w:shd w:val="clear" w:color="auto" w:fill="auto"/>
            <w:noWrap/>
            <w:vAlign w:val="bottom"/>
            <w:hideMark/>
          </w:tcPr>
          <w:p w14:paraId="5E99C686" w14:textId="77777777" w:rsidR="00E34B09" w:rsidRPr="00E34B09" w:rsidRDefault="00E34B09" w:rsidP="00E34B09">
            <w:pPr>
              <w:jc w:val="right"/>
              <w:rPr>
                <w:color w:val="000000"/>
                <w:sz w:val="20"/>
              </w:rPr>
            </w:pPr>
            <w:r w:rsidRPr="00E34B09">
              <w:rPr>
                <w:color w:val="000000"/>
                <w:sz w:val="20"/>
              </w:rPr>
              <w:t>7.99%</w:t>
            </w:r>
          </w:p>
        </w:tc>
        <w:tc>
          <w:tcPr>
            <w:tcW w:w="980" w:type="dxa"/>
            <w:tcBorders>
              <w:top w:val="nil"/>
              <w:left w:val="nil"/>
              <w:bottom w:val="nil"/>
              <w:right w:val="single" w:sz="4" w:space="0" w:color="auto"/>
            </w:tcBorders>
            <w:shd w:val="clear" w:color="auto" w:fill="auto"/>
            <w:noWrap/>
            <w:vAlign w:val="bottom"/>
            <w:hideMark/>
          </w:tcPr>
          <w:p w14:paraId="4C61DB8B" w14:textId="77777777" w:rsidR="00E34B09" w:rsidRPr="00E34B09" w:rsidRDefault="00E34B09" w:rsidP="00E34B09">
            <w:pPr>
              <w:jc w:val="right"/>
              <w:rPr>
                <w:color w:val="000000"/>
                <w:sz w:val="20"/>
              </w:rPr>
            </w:pPr>
            <w:r w:rsidRPr="00E34B09">
              <w:rPr>
                <w:color w:val="000000"/>
                <w:sz w:val="20"/>
              </w:rPr>
              <w:t>9.79%</w:t>
            </w:r>
          </w:p>
        </w:tc>
        <w:tc>
          <w:tcPr>
            <w:tcW w:w="980" w:type="dxa"/>
            <w:tcBorders>
              <w:top w:val="nil"/>
              <w:left w:val="nil"/>
              <w:bottom w:val="nil"/>
              <w:right w:val="single" w:sz="4" w:space="0" w:color="auto"/>
            </w:tcBorders>
            <w:shd w:val="clear" w:color="auto" w:fill="auto"/>
            <w:noWrap/>
            <w:vAlign w:val="bottom"/>
            <w:hideMark/>
          </w:tcPr>
          <w:p w14:paraId="61304DAB" w14:textId="77777777" w:rsidR="00E34B09" w:rsidRPr="00E34B09" w:rsidRDefault="00E34B09" w:rsidP="00E34B09">
            <w:pPr>
              <w:jc w:val="right"/>
              <w:rPr>
                <w:color w:val="000000"/>
                <w:sz w:val="20"/>
              </w:rPr>
            </w:pPr>
            <w:r w:rsidRPr="00E34B09">
              <w:rPr>
                <w:color w:val="000000"/>
                <w:sz w:val="20"/>
              </w:rPr>
              <w:t>9.79%</w:t>
            </w:r>
          </w:p>
        </w:tc>
        <w:tc>
          <w:tcPr>
            <w:tcW w:w="980" w:type="dxa"/>
            <w:tcBorders>
              <w:top w:val="nil"/>
              <w:left w:val="nil"/>
              <w:bottom w:val="nil"/>
              <w:right w:val="single" w:sz="4" w:space="0" w:color="auto"/>
            </w:tcBorders>
            <w:shd w:val="clear" w:color="auto" w:fill="auto"/>
            <w:noWrap/>
            <w:vAlign w:val="bottom"/>
            <w:hideMark/>
          </w:tcPr>
          <w:p w14:paraId="152081B9" w14:textId="77777777" w:rsidR="00E34B09" w:rsidRPr="00E34B09" w:rsidRDefault="00E34B09" w:rsidP="00E34B09">
            <w:pPr>
              <w:jc w:val="right"/>
              <w:rPr>
                <w:color w:val="000000"/>
                <w:sz w:val="20"/>
              </w:rPr>
            </w:pPr>
            <w:r w:rsidRPr="00E34B09">
              <w:rPr>
                <w:color w:val="000000"/>
                <w:sz w:val="20"/>
              </w:rPr>
              <w:t>9.79%</w:t>
            </w:r>
          </w:p>
        </w:tc>
        <w:tc>
          <w:tcPr>
            <w:tcW w:w="980" w:type="dxa"/>
            <w:tcBorders>
              <w:top w:val="nil"/>
              <w:left w:val="nil"/>
              <w:bottom w:val="nil"/>
              <w:right w:val="single" w:sz="4" w:space="0" w:color="auto"/>
            </w:tcBorders>
            <w:shd w:val="clear" w:color="auto" w:fill="auto"/>
            <w:noWrap/>
            <w:vAlign w:val="bottom"/>
            <w:hideMark/>
          </w:tcPr>
          <w:p w14:paraId="1B1D5F90" w14:textId="77777777" w:rsidR="00E34B09" w:rsidRPr="00E34B09" w:rsidRDefault="00E34B09" w:rsidP="00E34B09">
            <w:pPr>
              <w:jc w:val="right"/>
              <w:rPr>
                <w:color w:val="000000"/>
                <w:sz w:val="20"/>
              </w:rPr>
            </w:pPr>
            <w:r w:rsidRPr="00E34B09">
              <w:rPr>
                <w:color w:val="000000"/>
                <w:sz w:val="20"/>
              </w:rPr>
              <w:t>9.79%</w:t>
            </w:r>
          </w:p>
        </w:tc>
        <w:tc>
          <w:tcPr>
            <w:tcW w:w="980" w:type="dxa"/>
            <w:tcBorders>
              <w:top w:val="nil"/>
              <w:left w:val="nil"/>
              <w:bottom w:val="nil"/>
              <w:right w:val="single" w:sz="4" w:space="0" w:color="auto"/>
            </w:tcBorders>
            <w:shd w:val="clear" w:color="auto" w:fill="auto"/>
            <w:noWrap/>
            <w:vAlign w:val="bottom"/>
            <w:hideMark/>
          </w:tcPr>
          <w:p w14:paraId="50E7EA7B" w14:textId="77777777" w:rsidR="00E34B09" w:rsidRPr="00E34B09" w:rsidRDefault="00E34B09" w:rsidP="00E34B09">
            <w:pPr>
              <w:jc w:val="right"/>
              <w:rPr>
                <w:color w:val="000000"/>
                <w:sz w:val="20"/>
              </w:rPr>
            </w:pPr>
            <w:r w:rsidRPr="00E34B09">
              <w:rPr>
                <w:color w:val="000000"/>
                <w:sz w:val="20"/>
              </w:rPr>
              <w:t>5.96%</w:t>
            </w:r>
          </w:p>
        </w:tc>
      </w:tr>
      <w:tr w:rsidR="00E34B09" w:rsidRPr="00E34B09" w14:paraId="20100771" w14:textId="77777777" w:rsidTr="00E34B09">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198DF39" w14:textId="77777777" w:rsidR="00E34B09" w:rsidRPr="00E34B09" w:rsidRDefault="00E34B09" w:rsidP="00E34B09">
            <w:pPr>
              <w:rPr>
                <w:sz w:val="20"/>
              </w:rPr>
            </w:pPr>
            <w:r w:rsidRPr="00E34B09">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0B88752" w14:textId="37CE0F3F" w:rsidR="00E34B09" w:rsidRPr="00E34B09" w:rsidRDefault="00E34B09" w:rsidP="00E34B09">
            <w:pPr>
              <w:rPr>
                <w:sz w:val="20"/>
              </w:rPr>
            </w:pPr>
            <w:r w:rsidRPr="00E34B09">
              <w:rPr>
                <w:sz w:val="20"/>
              </w:rPr>
              <w:t>181,954</w:t>
            </w:r>
          </w:p>
        </w:tc>
        <w:tc>
          <w:tcPr>
            <w:tcW w:w="980" w:type="dxa"/>
            <w:tcBorders>
              <w:top w:val="nil"/>
              <w:left w:val="nil"/>
              <w:bottom w:val="single" w:sz="4" w:space="0" w:color="auto"/>
              <w:right w:val="single" w:sz="4" w:space="0" w:color="auto"/>
            </w:tcBorders>
            <w:shd w:val="clear" w:color="auto" w:fill="auto"/>
            <w:noWrap/>
            <w:vAlign w:val="bottom"/>
            <w:hideMark/>
          </w:tcPr>
          <w:p w14:paraId="122C00C6" w14:textId="491010A1" w:rsidR="00E34B09" w:rsidRPr="00E34B09" w:rsidRDefault="00E34B09" w:rsidP="00E34B09">
            <w:pPr>
              <w:rPr>
                <w:sz w:val="20"/>
              </w:rPr>
            </w:pPr>
            <w:r w:rsidRPr="00E34B09">
              <w:rPr>
                <w:sz w:val="20"/>
              </w:rPr>
              <w:t>49,487</w:t>
            </w:r>
          </w:p>
        </w:tc>
        <w:tc>
          <w:tcPr>
            <w:tcW w:w="980" w:type="dxa"/>
            <w:tcBorders>
              <w:top w:val="nil"/>
              <w:left w:val="nil"/>
              <w:bottom w:val="single" w:sz="4" w:space="0" w:color="auto"/>
              <w:right w:val="single" w:sz="4" w:space="0" w:color="auto"/>
            </w:tcBorders>
            <w:shd w:val="clear" w:color="auto" w:fill="auto"/>
            <w:noWrap/>
            <w:vAlign w:val="bottom"/>
            <w:hideMark/>
          </w:tcPr>
          <w:p w14:paraId="3D26774F" w14:textId="70463616" w:rsidR="00E34B09" w:rsidRPr="00E34B09" w:rsidRDefault="00E34B09" w:rsidP="00E34B09">
            <w:pPr>
              <w:rPr>
                <w:sz w:val="20"/>
              </w:rPr>
            </w:pPr>
            <w:r w:rsidRPr="00E34B09">
              <w:rPr>
                <w:sz w:val="20"/>
              </w:rPr>
              <w:t>31,333</w:t>
            </w:r>
          </w:p>
        </w:tc>
        <w:tc>
          <w:tcPr>
            <w:tcW w:w="980" w:type="dxa"/>
            <w:tcBorders>
              <w:top w:val="nil"/>
              <w:left w:val="nil"/>
              <w:bottom w:val="single" w:sz="4" w:space="0" w:color="auto"/>
              <w:right w:val="single" w:sz="4" w:space="0" w:color="auto"/>
            </w:tcBorders>
            <w:shd w:val="clear" w:color="auto" w:fill="auto"/>
            <w:noWrap/>
            <w:vAlign w:val="bottom"/>
            <w:hideMark/>
          </w:tcPr>
          <w:p w14:paraId="07BBE134" w14:textId="4094CE7A" w:rsidR="00E34B09" w:rsidRPr="00E34B09" w:rsidRDefault="00E34B09" w:rsidP="00E34B09">
            <w:pPr>
              <w:rPr>
                <w:sz w:val="20"/>
              </w:rPr>
            </w:pPr>
            <w:r w:rsidRPr="00E34B09">
              <w:rPr>
                <w:sz w:val="20"/>
              </w:rPr>
              <w:t>26,872</w:t>
            </w:r>
          </w:p>
        </w:tc>
        <w:tc>
          <w:tcPr>
            <w:tcW w:w="980" w:type="dxa"/>
            <w:tcBorders>
              <w:top w:val="nil"/>
              <w:left w:val="nil"/>
              <w:bottom w:val="single" w:sz="4" w:space="0" w:color="auto"/>
              <w:right w:val="single" w:sz="4" w:space="0" w:color="auto"/>
            </w:tcBorders>
            <w:shd w:val="clear" w:color="auto" w:fill="auto"/>
            <w:noWrap/>
            <w:vAlign w:val="bottom"/>
            <w:hideMark/>
          </w:tcPr>
          <w:p w14:paraId="4DBB30A7" w14:textId="2F67FB6F" w:rsidR="00E34B09" w:rsidRPr="00E34B09" w:rsidRDefault="00E34B09" w:rsidP="00E34B09">
            <w:pPr>
              <w:rPr>
                <w:sz w:val="20"/>
              </w:rPr>
            </w:pPr>
            <w:r w:rsidRPr="00E34B09">
              <w:rPr>
                <w:sz w:val="20"/>
              </w:rPr>
              <w:t>1,464</w:t>
            </w:r>
          </w:p>
        </w:tc>
        <w:tc>
          <w:tcPr>
            <w:tcW w:w="980" w:type="dxa"/>
            <w:tcBorders>
              <w:top w:val="nil"/>
              <w:left w:val="nil"/>
              <w:bottom w:val="single" w:sz="4" w:space="0" w:color="auto"/>
              <w:right w:val="single" w:sz="4" w:space="0" w:color="auto"/>
            </w:tcBorders>
            <w:shd w:val="clear" w:color="auto" w:fill="auto"/>
            <w:noWrap/>
            <w:vAlign w:val="bottom"/>
            <w:hideMark/>
          </w:tcPr>
          <w:p w14:paraId="21464951" w14:textId="7F41567B" w:rsidR="00E34B09" w:rsidRPr="00E34B09" w:rsidRDefault="00E34B09" w:rsidP="00E34B09">
            <w:pPr>
              <w:rPr>
                <w:sz w:val="20"/>
              </w:rPr>
            </w:pPr>
            <w:r w:rsidRPr="00E34B09">
              <w:rPr>
                <w:sz w:val="20"/>
              </w:rPr>
              <w:t>2,997</w:t>
            </w:r>
          </w:p>
        </w:tc>
        <w:tc>
          <w:tcPr>
            <w:tcW w:w="980" w:type="dxa"/>
            <w:tcBorders>
              <w:top w:val="nil"/>
              <w:left w:val="nil"/>
              <w:bottom w:val="single" w:sz="4" w:space="0" w:color="auto"/>
              <w:right w:val="single" w:sz="4" w:space="0" w:color="auto"/>
            </w:tcBorders>
            <w:shd w:val="clear" w:color="auto" w:fill="auto"/>
            <w:noWrap/>
            <w:vAlign w:val="bottom"/>
            <w:hideMark/>
          </w:tcPr>
          <w:p w14:paraId="20776951" w14:textId="6FAD17E5" w:rsidR="00E34B09" w:rsidRPr="00E34B09" w:rsidRDefault="00E34B09" w:rsidP="00E34B09">
            <w:pPr>
              <w:rPr>
                <w:sz w:val="20"/>
              </w:rPr>
            </w:pPr>
            <w:r w:rsidRPr="00E34B09">
              <w:rPr>
                <w:sz w:val="20"/>
              </w:rPr>
              <w:t>17,861</w:t>
            </w:r>
          </w:p>
        </w:tc>
      </w:tr>
      <w:tr w:rsidR="00E34B09" w:rsidRPr="00E34B09" w14:paraId="14E37DAF"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21FA4AAD" w14:textId="77777777" w:rsidR="00E34B09" w:rsidRPr="00E34B09" w:rsidRDefault="00E34B09" w:rsidP="00E34B09">
            <w:pPr>
              <w:rPr>
                <w:sz w:val="20"/>
              </w:rPr>
            </w:pPr>
            <w:r w:rsidRPr="00E34B09">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1A0F9369" w14:textId="5E7AA2CD" w:rsidR="00E34B09" w:rsidRPr="00E34B09" w:rsidRDefault="00E34B09" w:rsidP="00E34B09">
            <w:pPr>
              <w:rPr>
                <w:sz w:val="20"/>
              </w:rPr>
            </w:pPr>
          </w:p>
        </w:tc>
        <w:tc>
          <w:tcPr>
            <w:tcW w:w="980" w:type="dxa"/>
            <w:tcBorders>
              <w:top w:val="nil"/>
              <w:left w:val="nil"/>
              <w:bottom w:val="nil"/>
              <w:right w:val="nil"/>
            </w:tcBorders>
            <w:shd w:val="clear" w:color="auto" w:fill="auto"/>
            <w:noWrap/>
            <w:vAlign w:val="bottom"/>
            <w:hideMark/>
          </w:tcPr>
          <w:p w14:paraId="6296DE56" w14:textId="77777777" w:rsidR="00E34B09" w:rsidRPr="00E34B09" w:rsidRDefault="00E34B09" w:rsidP="00E34B09">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0DC761D" w14:textId="21C480FE" w:rsidR="00E34B09" w:rsidRPr="00E34B09" w:rsidRDefault="00E34B09" w:rsidP="00E34B09">
            <w:pPr>
              <w:rPr>
                <w:sz w:val="20"/>
              </w:rPr>
            </w:pPr>
          </w:p>
        </w:tc>
        <w:tc>
          <w:tcPr>
            <w:tcW w:w="980" w:type="dxa"/>
            <w:tcBorders>
              <w:top w:val="nil"/>
              <w:left w:val="nil"/>
              <w:bottom w:val="nil"/>
              <w:right w:val="nil"/>
            </w:tcBorders>
            <w:shd w:val="clear" w:color="auto" w:fill="auto"/>
            <w:noWrap/>
            <w:vAlign w:val="bottom"/>
            <w:hideMark/>
          </w:tcPr>
          <w:p w14:paraId="34AC0D74" w14:textId="77777777" w:rsidR="00E34B09" w:rsidRPr="00E34B09" w:rsidRDefault="00E34B09" w:rsidP="00E34B09">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78CE997" w14:textId="0A95670B" w:rsidR="00E34B09" w:rsidRPr="00E34B09" w:rsidRDefault="00E34B09" w:rsidP="00E34B09">
            <w:pPr>
              <w:rPr>
                <w:sz w:val="20"/>
              </w:rPr>
            </w:pPr>
          </w:p>
        </w:tc>
        <w:tc>
          <w:tcPr>
            <w:tcW w:w="980" w:type="dxa"/>
            <w:tcBorders>
              <w:top w:val="nil"/>
              <w:left w:val="nil"/>
              <w:bottom w:val="nil"/>
              <w:right w:val="single" w:sz="4" w:space="0" w:color="auto"/>
            </w:tcBorders>
            <w:shd w:val="clear" w:color="auto" w:fill="auto"/>
            <w:noWrap/>
            <w:vAlign w:val="bottom"/>
            <w:hideMark/>
          </w:tcPr>
          <w:p w14:paraId="03EA2684" w14:textId="209ED183" w:rsidR="00E34B09" w:rsidRPr="00E34B09" w:rsidRDefault="00E34B09" w:rsidP="00E34B09">
            <w:pPr>
              <w:rPr>
                <w:sz w:val="20"/>
              </w:rPr>
            </w:pPr>
          </w:p>
        </w:tc>
        <w:tc>
          <w:tcPr>
            <w:tcW w:w="980" w:type="dxa"/>
            <w:tcBorders>
              <w:top w:val="nil"/>
              <w:left w:val="nil"/>
              <w:bottom w:val="nil"/>
              <w:right w:val="single" w:sz="4" w:space="0" w:color="auto"/>
            </w:tcBorders>
            <w:shd w:val="clear" w:color="auto" w:fill="auto"/>
            <w:noWrap/>
            <w:vAlign w:val="bottom"/>
            <w:hideMark/>
          </w:tcPr>
          <w:p w14:paraId="48D45591" w14:textId="07D85121" w:rsidR="00E34B09" w:rsidRPr="00E34B09" w:rsidRDefault="00E34B09" w:rsidP="00E34B09">
            <w:pPr>
              <w:rPr>
                <w:sz w:val="20"/>
              </w:rPr>
            </w:pPr>
          </w:p>
        </w:tc>
      </w:tr>
      <w:tr w:rsidR="00E34B09" w:rsidRPr="00E34B09" w14:paraId="3D60A642"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76596C87" w14:textId="77777777" w:rsidR="00E34B09" w:rsidRPr="00E34B09" w:rsidRDefault="00E34B09" w:rsidP="00E34B09">
            <w:pPr>
              <w:rPr>
                <w:sz w:val="20"/>
              </w:rPr>
            </w:pPr>
            <w:r w:rsidRPr="00E34B09">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FA55B98" w14:textId="77777777" w:rsidR="00E34B09" w:rsidRPr="00E34B09" w:rsidRDefault="00E34B09" w:rsidP="00E34B09">
            <w:pPr>
              <w:jc w:val="right"/>
              <w:rPr>
                <w:sz w:val="20"/>
              </w:rPr>
            </w:pPr>
            <w:r w:rsidRPr="00E34B09">
              <w:rPr>
                <w:sz w:val="20"/>
              </w:rPr>
              <w:t>3,561,164</w:t>
            </w:r>
          </w:p>
        </w:tc>
        <w:tc>
          <w:tcPr>
            <w:tcW w:w="980" w:type="dxa"/>
            <w:tcBorders>
              <w:top w:val="nil"/>
              <w:left w:val="nil"/>
              <w:bottom w:val="nil"/>
              <w:right w:val="nil"/>
            </w:tcBorders>
            <w:shd w:val="clear" w:color="auto" w:fill="auto"/>
            <w:noWrap/>
            <w:vAlign w:val="bottom"/>
            <w:hideMark/>
          </w:tcPr>
          <w:p w14:paraId="65B7CD6D" w14:textId="77777777" w:rsidR="00E34B09" w:rsidRPr="00E34B09" w:rsidRDefault="00E34B09" w:rsidP="00E34B09">
            <w:pPr>
              <w:jc w:val="right"/>
              <w:rPr>
                <w:sz w:val="20"/>
              </w:rPr>
            </w:pPr>
            <w:r w:rsidRPr="00E34B09">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5750CE6D" w14:textId="77777777" w:rsidR="00E34B09" w:rsidRPr="00E34B09" w:rsidRDefault="00E34B09" w:rsidP="00E34B09">
            <w:pPr>
              <w:jc w:val="right"/>
              <w:rPr>
                <w:sz w:val="20"/>
              </w:rPr>
            </w:pPr>
            <w:r w:rsidRPr="00E34B09">
              <w:rPr>
                <w:sz w:val="20"/>
              </w:rPr>
              <w:t>364,829</w:t>
            </w:r>
          </w:p>
        </w:tc>
        <w:tc>
          <w:tcPr>
            <w:tcW w:w="980" w:type="dxa"/>
            <w:tcBorders>
              <w:top w:val="nil"/>
              <w:left w:val="nil"/>
              <w:bottom w:val="nil"/>
              <w:right w:val="nil"/>
            </w:tcBorders>
            <w:shd w:val="clear" w:color="auto" w:fill="auto"/>
            <w:noWrap/>
            <w:vAlign w:val="bottom"/>
            <w:hideMark/>
          </w:tcPr>
          <w:p w14:paraId="520C00CA" w14:textId="77777777" w:rsidR="00E34B09" w:rsidRPr="00E34B09" w:rsidRDefault="00E34B09" w:rsidP="00E34B09">
            <w:pPr>
              <w:jc w:val="right"/>
              <w:rPr>
                <w:sz w:val="20"/>
              </w:rPr>
            </w:pPr>
            <w:r w:rsidRPr="00E34B09">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31873361" w14:textId="77777777" w:rsidR="00E34B09" w:rsidRPr="00E34B09" w:rsidRDefault="00E34B09" w:rsidP="00E34B09">
            <w:pPr>
              <w:jc w:val="right"/>
              <w:rPr>
                <w:sz w:val="20"/>
              </w:rPr>
            </w:pPr>
            <w:r w:rsidRPr="00E34B09">
              <w:rPr>
                <w:sz w:val="20"/>
              </w:rPr>
              <w:t>17,221</w:t>
            </w:r>
          </w:p>
        </w:tc>
        <w:tc>
          <w:tcPr>
            <w:tcW w:w="980" w:type="dxa"/>
            <w:tcBorders>
              <w:top w:val="nil"/>
              <w:left w:val="nil"/>
              <w:bottom w:val="nil"/>
              <w:right w:val="single" w:sz="4" w:space="0" w:color="auto"/>
            </w:tcBorders>
            <w:shd w:val="clear" w:color="auto" w:fill="auto"/>
            <w:noWrap/>
            <w:vAlign w:val="bottom"/>
            <w:hideMark/>
          </w:tcPr>
          <w:p w14:paraId="2ACADC98" w14:textId="77777777" w:rsidR="00E34B09" w:rsidRPr="00E34B09" w:rsidRDefault="00E34B09" w:rsidP="00E34B09">
            <w:pPr>
              <w:jc w:val="right"/>
              <w:rPr>
                <w:sz w:val="20"/>
              </w:rPr>
            </w:pPr>
            <w:r w:rsidRPr="00E34B09">
              <w:rPr>
                <w:sz w:val="20"/>
              </w:rPr>
              <w:t>34,744</w:t>
            </w:r>
          </w:p>
        </w:tc>
        <w:tc>
          <w:tcPr>
            <w:tcW w:w="980" w:type="dxa"/>
            <w:tcBorders>
              <w:top w:val="nil"/>
              <w:left w:val="nil"/>
              <w:bottom w:val="nil"/>
              <w:right w:val="single" w:sz="4" w:space="0" w:color="auto"/>
            </w:tcBorders>
            <w:shd w:val="clear" w:color="auto" w:fill="auto"/>
            <w:noWrap/>
            <w:vAlign w:val="bottom"/>
            <w:hideMark/>
          </w:tcPr>
          <w:p w14:paraId="437D6A37" w14:textId="77777777" w:rsidR="00E34B09" w:rsidRPr="00E34B09" w:rsidRDefault="00E34B09" w:rsidP="00E34B09">
            <w:pPr>
              <w:jc w:val="right"/>
              <w:rPr>
                <w:sz w:val="20"/>
              </w:rPr>
            </w:pPr>
            <w:r w:rsidRPr="00E34B09">
              <w:rPr>
                <w:sz w:val="20"/>
              </w:rPr>
              <w:t>337,196</w:t>
            </w:r>
          </w:p>
        </w:tc>
      </w:tr>
      <w:tr w:rsidR="00E34B09" w:rsidRPr="00E34B09" w14:paraId="6BF12105" w14:textId="77777777" w:rsidTr="00E34B09">
        <w:trPr>
          <w:trHeight w:val="255"/>
        </w:trPr>
        <w:tc>
          <w:tcPr>
            <w:tcW w:w="1960" w:type="dxa"/>
            <w:tcBorders>
              <w:top w:val="nil"/>
              <w:left w:val="single" w:sz="4" w:space="0" w:color="auto"/>
              <w:bottom w:val="nil"/>
              <w:right w:val="nil"/>
            </w:tcBorders>
            <w:shd w:val="clear" w:color="auto" w:fill="auto"/>
            <w:noWrap/>
            <w:vAlign w:val="bottom"/>
            <w:hideMark/>
          </w:tcPr>
          <w:p w14:paraId="3FD7097E" w14:textId="77777777" w:rsidR="00E34B09" w:rsidRPr="00E34B09" w:rsidRDefault="00E34B09" w:rsidP="00E34B09">
            <w:pPr>
              <w:rPr>
                <w:sz w:val="20"/>
              </w:rPr>
            </w:pPr>
            <w:r w:rsidRPr="00E34B09">
              <w:rPr>
                <w:sz w:val="20"/>
              </w:rPr>
              <w:t xml:space="preserve">    Rate (%)</w:t>
            </w:r>
          </w:p>
        </w:tc>
        <w:tc>
          <w:tcPr>
            <w:tcW w:w="1140" w:type="dxa"/>
            <w:tcBorders>
              <w:top w:val="nil"/>
              <w:left w:val="single" w:sz="4" w:space="0" w:color="auto"/>
              <w:bottom w:val="nil"/>
              <w:right w:val="nil"/>
            </w:tcBorders>
            <w:shd w:val="clear" w:color="auto" w:fill="auto"/>
            <w:noWrap/>
            <w:vAlign w:val="bottom"/>
            <w:hideMark/>
          </w:tcPr>
          <w:p w14:paraId="3794069C" w14:textId="77777777" w:rsidR="00E34B09" w:rsidRPr="00E34B09" w:rsidRDefault="00E34B09" w:rsidP="00E34B09">
            <w:pPr>
              <w:jc w:val="right"/>
              <w:rPr>
                <w:color w:val="000000"/>
                <w:sz w:val="20"/>
              </w:rPr>
            </w:pPr>
            <w:r w:rsidRPr="00E34B09">
              <w:rPr>
                <w:color w:val="000000"/>
                <w:sz w:val="20"/>
              </w:rPr>
              <w:t>7.74%</w:t>
            </w:r>
          </w:p>
        </w:tc>
        <w:tc>
          <w:tcPr>
            <w:tcW w:w="980" w:type="dxa"/>
            <w:tcBorders>
              <w:top w:val="nil"/>
              <w:left w:val="single" w:sz="4" w:space="0" w:color="auto"/>
              <w:bottom w:val="nil"/>
              <w:right w:val="single" w:sz="4" w:space="0" w:color="auto"/>
            </w:tcBorders>
            <w:shd w:val="clear" w:color="auto" w:fill="auto"/>
            <w:noWrap/>
            <w:vAlign w:val="bottom"/>
            <w:hideMark/>
          </w:tcPr>
          <w:p w14:paraId="44CE4E5C" w14:textId="77777777" w:rsidR="00E34B09" w:rsidRPr="00E34B09" w:rsidRDefault="00E34B09" w:rsidP="00E34B09">
            <w:pPr>
              <w:jc w:val="right"/>
              <w:rPr>
                <w:color w:val="000000"/>
                <w:sz w:val="20"/>
              </w:rPr>
            </w:pPr>
            <w:r w:rsidRPr="00E34B09">
              <w:rPr>
                <w:color w:val="000000"/>
                <w:sz w:val="20"/>
              </w:rPr>
              <w:t>9.97%</w:t>
            </w:r>
          </w:p>
        </w:tc>
        <w:tc>
          <w:tcPr>
            <w:tcW w:w="980" w:type="dxa"/>
            <w:tcBorders>
              <w:top w:val="nil"/>
              <w:left w:val="nil"/>
              <w:bottom w:val="nil"/>
              <w:right w:val="single" w:sz="4" w:space="0" w:color="auto"/>
            </w:tcBorders>
            <w:shd w:val="clear" w:color="auto" w:fill="auto"/>
            <w:noWrap/>
            <w:vAlign w:val="bottom"/>
            <w:hideMark/>
          </w:tcPr>
          <w:p w14:paraId="39A10866" w14:textId="77777777" w:rsidR="00E34B09" w:rsidRPr="00E34B09" w:rsidRDefault="00E34B09" w:rsidP="00E34B09">
            <w:pPr>
              <w:jc w:val="right"/>
              <w:rPr>
                <w:color w:val="000000"/>
                <w:sz w:val="20"/>
              </w:rPr>
            </w:pPr>
            <w:r w:rsidRPr="00E34B09">
              <w:rPr>
                <w:color w:val="000000"/>
                <w:sz w:val="20"/>
              </w:rPr>
              <w:t>12.26%</w:t>
            </w:r>
          </w:p>
        </w:tc>
        <w:tc>
          <w:tcPr>
            <w:tcW w:w="980" w:type="dxa"/>
            <w:tcBorders>
              <w:top w:val="nil"/>
              <w:left w:val="nil"/>
              <w:bottom w:val="nil"/>
              <w:right w:val="single" w:sz="4" w:space="0" w:color="auto"/>
            </w:tcBorders>
            <w:shd w:val="clear" w:color="auto" w:fill="auto"/>
            <w:noWrap/>
            <w:vAlign w:val="bottom"/>
            <w:hideMark/>
          </w:tcPr>
          <w:p w14:paraId="71CBF6E3" w14:textId="77777777" w:rsidR="00E34B09" w:rsidRPr="00E34B09" w:rsidRDefault="00E34B09" w:rsidP="00E34B09">
            <w:pPr>
              <w:jc w:val="right"/>
              <w:rPr>
                <w:color w:val="000000"/>
                <w:sz w:val="20"/>
              </w:rPr>
            </w:pPr>
            <w:r w:rsidRPr="00E34B09">
              <w:rPr>
                <w:color w:val="000000"/>
                <w:sz w:val="20"/>
              </w:rPr>
              <w:t>12.26%</w:t>
            </w:r>
          </w:p>
        </w:tc>
        <w:tc>
          <w:tcPr>
            <w:tcW w:w="980" w:type="dxa"/>
            <w:tcBorders>
              <w:top w:val="nil"/>
              <w:left w:val="nil"/>
              <w:bottom w:val="nil"/>
              <w:right w:val="single" w:sz="4" w:space="0" w:color="auto"/>
            </w:tcBorders>
            <w:shd w:val="clear" w:color="auto" w:fill="auto"/>
            <w:noWrap/>
            <w:vAlign w:val="bottom"/>
            <w:hideMark/>
          </w:tcPr>
          <w:p w14:paraId="38CB4765" w14:textId="77777777" w:rsidR="00E34B09" w:rsidRPr="00E34B09" w:rsidRDefault="00E34B09" w:rsidP="00E34B09">
            <w:pPr>
              <w:jc w:val="right"/>
              <w:rPr>
                <w:color w:val="000000"/>
                <w:sz w:val="20"/>
              </w:rPr>
            </w:pPr>
            <w:r w:rsidRPr="00E34B09">
              <w:rPr>
                <w:color w:val="000000"/>
                <w:sz w:val="20"/>
              </w:rPr>
              <w:t>12.26%</w:t>
            </w:r>
          </w:p>
        </w:tc>
        <w:tc>
          <w:tcPr>
            <w:tcW w:w="980" w:type="dxa"/>
            <w:tcBorders>
              <w:top w:val="nil"/>
              <w:left w:val="nil"/>
              <w:bottom w:val="nil"/>
              <w:right w:val="single" w:sz="4" w:space="0" w:color="auto"/>
            </w:tcBorders>
            <w:shd w:val="clear" w:color="auto" w:fill="auto"/>
            <w:noWrap/>
            <w:vAlign w:val="bottom"/>
            <w:hideMark/>
          </w:tcPr>
          <w:p w14:paraId="697EBAF1" w14:textId="77777777" w:rsidR="00E34B09" w:rsidRPr="00E34B09" w:rsidRDefault="00E34B09" w:rsidP="00E34B09">
            <w:pPr>
              <w:jc w:val="right"/>
              <w:rPr>
                <w:color w:val="000000"/>
                <w:sz w:val="20"/>
              </w:rPr>
            </w:pPr>
            <w:r w:rsidRPr="00E34B09">
              <w:rPr>
                <w:color w:val="000000"/>
                <w:sz w:val="20"/>
              </w:rPr>
              <w:t>12.26%</w:t>
            </w:r>
          </w:p>
        </w:tc>
        <w:tc>
          <w:tcPr>
            <w:tcW w:w="980" w:type="dxa"/>
            <w:tcBorders>
              <w:top w:val="nil"/>
              <w:left w:val="nil"/>
              <w:bottom w:val="nil"/>
              <w:right w:val="single" w:sz="4" w:space="0" w:color="auto"/>
            </w:tcBorders>
            <w:shd w:val="clear" w:color="auto" w:fill="auto"/>
            <w:noWrap/>
            <w:vAlign w:val="bottom"/>
            <w:hideMark/>
          </w:tcPr>
          <w:p w14:paraId="3DD693CE" w14:textId="77777777" w:rsidR="00E34B09" w:rsidRPr="00E34B09" w:rsidRDefault="00E34B09" w:rsidP="00E34B09">
            <w:pPr>
              <w:jc w:val="right"/>
              <w:rPr>
                <w:color w:val="000000"/>
                <w:sz w:val="20"/>
              </w:rPr>
            </w:pPr>
            <w:r w:rsidRPr="00E34B09">
              <w:rPr>
                <w:color w:val="000000"/>
                <w:sz w:val="20"/>
              </w:rPr>
              <w:t>7.32%</w:t>
            </w:r>
          </w:p>
        </w:tc>
      </w:tr>
      <w:tr w:rsidR="00E34B09" w:rsidRPr="00E34B09" w14:paraId="364CE4C8" w14:textId="77777777" w:rsidTr="00E34B09">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C8CBF32" w14:textId="77777777" w:rsidR="00E34B09" w:rsidRPr="00E34B09" w:rsidRDefault="00E34B09" w:rsidP="00E34B09">
            <w:pPr>
              <w:rPr>
                <w:sz w:val="20"/>
              </w:rPr>
            </w:pPr>
            <w:r w:rsidRPr="00E34B09">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E8F96BC" w14:textId="41E9456C" w:rsidR="00E34B09" w:rsidRPr="00E34B09" w:rsidRDefault="00E34B09" w:rsidP="00E34B09">
            <w:pPr>
              <w:rPr>
                <w:sz w:val="20"/>
              </w:rPr>
            </w:pPr>
            <w:r w:rsidRPr="00E34B09">
              <w:rPr>
                <w:sz w:val="20"/>
              </w:rPr>
              <w:t>275,692</w:t>
            </w:r>
          </w:p>
        </w:tc>
        <w:tc>
          <w:tcPr>
            <w:tcW w:w="980" w:type="dxa"/>
            <w:tcBorders>
              <w:top w:val="nil"/>
              <w:left w:val="nil"/>
              <w:bottom w:val="single" w:sz="4" w:space="0" w:color="auto"/>
              <w:right w:val="single" w:sz="4" w:space="0" w:color="auto"/>
            </w:tcBorders>
            <w:shd w:val="clear" w:color="auto" w:fill="auto"/>
            <w:noWrap/>
            <w:vAlign w:val="bottom"/>
            <w:hideMark/>
          </w:tcPr>
          <w:p w14:paraId="4596A5A1" w14:textId="6C8532B2" w:rsidR="00E34B09" w:rsidRPr="00E34B09" w:rsidRDefault="00E34B09" w:rsidP="00E34B09">
            <w:pPr>
              <w:rPr>
                <w:sz w:val="20"/>
              </w:rPr>
            </w:pPr>
            <w:r w:rsidRPr="00E34B09">
              <w:rPr>
                <w:sz w:val="20"/>
              </w:rPr>
              <w:t>69,968</w:t>
            </w:r>
          </w:p>
        </w:tc>
        <w:tc>
          <w:tcPr>
            <w:tcW w:w="980" w:type="dxa"/>
            <w:tcBorders>
              <w:top w:val="nil"/>
              <w:left w:val="nil"/>
              <w:bottom w:val="single" w:sz="4" w:space="0" w:color="auto"/>
              <w:right w:val="single" w:sz="4" w:space="0" w:color="auto"/>
            </w:tcBorders>
            <w:shd w:val="clear" w:color="auto" w:fill="auto"/>
            <w:noWrap/>
            <w:vAlign w:val="bottom"/>
            <w:hideMark/>
          </w:tcPr>
          <w:p w14:paraId="3F5CEA94" w14:textId="046ABE31" w:rsidR="00E34B09" w:rsidRPr="00E34B09" w:rsidRDefault="00E34B09" w:rsidP="00E34B09">
            <w:pPr>
              <w:rPr>
                <w:sz w:val="20"/>
              </w:rPr>
            </w:pPr>
            <w:r w:rsidRPr="00E34B09">
              <w:rPr>
                <w:sz w:val="20"/>
              </w:rPr>
              <w:t>44,718</w:t>
            </w:r>
          </w:p>
        </w:tc>
        <w:tc>
          <w:tcPr>
            <w:tcW w:w="980" w:type="dxa"/>
            <w:tcBorders>
              <w:top w:val="nil"/>
              <w:left w:val="nil"/>
              <w:bottom w:val="single" w:sz="4" w:space="0" w:color="auto"/>
              <w:right w:val="single" w:sz="4" w:space="0" w:color="auto"/>
            </w:tcBorders>
            <w:shd w:val="clear" w:color="auto" w:fill="auto"/>
            <w:noWrap/>
            <w:vAlign w:val="bottom"/>
            <w:hideMark/>
          </w:tcPr>
          <w:p w14:paraId="6AA0087A" w14:textId="406C335D" w:rsidR="00E34B09" w:rsidRPr="00E34B09" w:rsidRDefault="00E34B09" w:rsidP="00E34B09">
            <w:pPr>
              <w:rPr>
                <w:sz w:val="20"/>
              </w:rPr>
            </w:pPr>
            <w:r w:rsidRPr="00E34B09">
              <w:rPr>
                <w:sz w:val="20"/>
              </w:rPr>
              <w:t>38,349</w:t>
            </w:r>
          </w:p>
        </w:tc>
        <w:tc>
          <w:tcPr>
            <w:tcW w:w="980" w:type="dxa"/>
            <w:tcBorders>
              <w:top w:val="nil"/>
              <w:left w:val="nil"/>
              <w:bottom w:val="single" w:sz="4" w:space="0" w:color="auto"/>
              <w:right w:val="single" w:sz="4" w:space="0" w:color="auto"/>
            </w:tcBorders>
            <w:shd w:val="clear" w:color="auto" w:fill="auto"/>
            <w:noWrap/>
            <w:vAlign w:val="bottom"/>
            <w:hideMark/>
          </w:tcPr>
          <w:p w14:paraId="187232EC" w14:textId="54374867" w:rsidR="00E34B09" w:rsidRPr="00E34B09" w:rsidRDefault="00E34B09" w:rsidP="00E34B09">
            <w:pPr>
              <w:rPr>
                <w:sz w:val="20"/>
              </w:rPr>
            </w:pPr>
            <w:r w:rsidRPr="00E34B09">
              <w:rPr>
                <w:sz w:val="20"/>
              </w:rPr>
              <w:t>2,111</w:t>
            </w:r>
          </w:p>
        </w:tc>
        <w:tc>
          <w:tcPr>
            <w:tcW w:w="980" w:type="dxa"/>
            <w:tcBorders>
              <w:top w:val="nil"/>
              <w:left w:val="nil"/>
              <w:bottom w:val="single" w:sz="4" w:space="0" w:color="auto"/>
              <w:right w:val="single" w:sz="4" w:space="0" w:color="auto"/>
            </w:tcBorders>
            <w:shd w:val="clear" w:color="auto" w:fill="auto"/>
            <w:noWrap/>
            <w:vAlign w:val="bottom"/>
            <w:hideMark/>
          </w:tcPr>
          <w:p w14:paraId="70185236" w14:textId="3BC7E279" w:rsidR="00E34B09" w:rsidRPr="00E34B09" w:rsidRDefault="00E34B09" w:rsidP="00E34B09">
            <w:pPr>
              <w:rPr>
                <w:sz w:val="20"/>
              </w:rPr>
            </w:pPr>
            <w:r w:rsidRPr="00E34B09">
              <w:rPr>
                <w:sz w:val="20"/>
              </w:rPr>
              <w:t>4,259</w:t>
            </w:r>
          </w:p>
        </w:tc>
        <w:tc>
          <w:tcPr>
            <w:tcW w:w="980" w:type="dxa"/>
            <w:tcBorders>
              <w:top w:val="nil"/>
              <w:left w:val="nil"/>
              <w:bottom w:val="single" w:sz="4" w:space="0" w:color="auto"/>
              <w:right w:val="single" w:sz="4" w:space="0" w:color="auto"/>
            </w:tcBorders>
            <w:shd w:val="clear" w:color="auto" w:fill="auto"/>
            <w:noWrap/>
            <w:vAlign w:val="bottom"/>
            <w:hideMark/>
          </w:tcPr>
          <w:p w14:paraId="7016D095" w14:textId="1FE3FD11" w:rsidR="00E34B09" w:rsidRPr="00E34B09" w:rsidRDefault="00E34B09" w:rsidP="00E34B09">
            <w:pPr>
              <w:rPr>
                <w:sz w:val="20"/>
              </w:rPr>
            </w:pPr>
            <w:r w:rsidRPr="00E34B09">
              <w:rPr>
                <w:sz w:val="20"/>
              </w:rPr>
              <w:t>24,675</w:t>
            </w:r>
          </w:p>
        </w:tc>
      </w:tr>
      <w:tr w:rsidR="00E34B09" w:rsidRPr="00E34B09" w14:paraId="56DAEFD3" w14:textId="77777777" w:rsidTr="00BF315B">
        <w:trPr>
          <w:trHeight w:val="1340"/>
        </w:trPr>
        <w:tc>
          <w:tcPr>
            <w:tcW w:w="8980" w:type="dxa"/>
            <w:gridSpan w:val="8"/>
            <w:tcBorders>
              <w:top w:val="single" w:sz="4" w:space="0" w:color="auto"/>
              <w:left w:val="nil"/>
              <w:bottom w:val="nil"/>
              <w:right w:val="nil"/>
            </w:tcBorders>
            <w:shd w:val="clear" w:color="auto" w:fill="auto"/>
            <w:vAlign w:val="bottom"/>
            <w:hideMark/>
          </w:tcPr>
          <w:p w14:paraId="3096788E" w14:textId="4CF2D13E" w:rsidR="00E34B09" w:rsidRDefault="00E34B09" w:rsidP="00E34B09">
            <w:pPr>
              <w:rPr>
                <w:sz w:val="18"/>
                <w:szCs w:val="18"/>
              </w:rPr>
            </w:pPr>
            <w:r w:rsidRPr="00E34B09">
              <w:rPr>
                <w:b/>
                <w:bCs/>
                <w:sz w:val="18"/>
                <w:szCs w:val="18"/>
              </w:rPr>
              <w:t xml:space="preserve">Notes: * </w:t>
            </w:r>
            <w:r w:rsidRPr="00E34B09">
              <w:rPr>
                <w:sz w:val="18"/>
                <w:szCs w:val="18"/>
              </w:rPr>
              <w:t>Prevalence rates are estimated by the National Survey of Drug Use and Health, 2016-2018. Parish population sizes are estimated by U.S. Census for July 1, 2019.</w:t>
            </w:r>
            <w:r w:rsidRPr="00E34B09">
              <w:rPr>
                <w:sz w:val="18"/>
                <w:szCs w:val="18"/>
              </w:rPr>
              <w:br/>
            </w:r>
            <w:r w:rsidRPr="00E34B09">
              <w:rPr>
                <w:b/>
                <w:bCs/>
                <w:sz w:val="18"/>
                <w:szCs w:val="18"/>
              </w:rPr>
              <w:t>**</w:t>
            </w:r>
            <w:r w:rsidRPr="00E34B09">
              <w:rPr>
                <w:sz w:val="18"/>
                <w:szCs w:val="18"/>
              </w:rPr>
              <w:t xml:space="preserve"> NSDUH did not </w:t>
            </w:r>
            <w:r w:rsidR="00BF315B">
              <w:rPr>
                <w:sz w:val="18"/>
                <w:szCs w:val="18"/>
              </w:rPr>
              <w:t>estimate rates</w:t>
            </w:r>
            <w:r w:rsidRPr="00E34B09">
              <w:rPr>
                <w:sz w:val="18"/>
                <w:szCs w:val="18"/>
              </w:rPr>
              <w:t xml:space="preserve"> </w:t>
            </w:r>
            <w:r w:rsidR="00BF315B">
              <w:rPr>
                <w:sz w:val="18"/>
                <w:szCs w:val="18"/>
              </w:rPr>
              <w:t xml:space="preserve">for Jefferson </w:t>
            </w:r>
            <w:r w:rsidRPr="00E34B09">
              <w:rPr>
                <w:sz w:val="18"/>
                <w:szCs w:val="18"/>
              </w:rPr>
              <w:t xml:space="preserve">Parish and the Metropolitan District; therefore, the rate for Greater New Orleans is applied to both Jefferson Parish and the Metropolitan District and its constituent parishes. </w:t>
            </w:r>
          </w:p>
          <w:p w14:paraId="3EF1A1DA" w14:textId="1034DBC8" w:rsidR="00BD1693" w:rsidRPr="00E34B09" w:rsidRDefault="00BF315B" w:rsidP="00E34B09">
            <w:pPr>
              <w:rPr>
                <w:sz w:val="18"/>
                <w:szCs w:val="18"/>
              </w:rPr>
            </w:pPr>
            <w:r w:rsidRPr="00BF315B">
              <w:rPr>
                <w:b/>
                <w:bCs/>
                <w:sz w:val="18"/>
                <w:szCs w:val="18"/>
              </w:rPr>
              <w:t>§</w:t>
            </w:r>
            <w:r>
              <w:rPr>
                <w:b/>
                <w:bCs/>
                <w:sz w:val="18"/>
                <w:szCs w:val="18"/>
              </w:rPr>
              <w:t xml:space="preserve"> </w:t>
            </w:r>
            <w:r w:rsidR="00BD1693" w:rsidRPr="00BD1693">
              <w:rPr>
                <w:sz w:val="18"/>
                <w:szCs w:val="18"/>
              </w:rPr>
              <w:t xml:space="preserve">NSDUH has been shown to underestimate </w:t>
            </w:r>
            <w:r w:rsidR="00AD6E0A">
              <w:rPr>
                <w:sz w:val="18"/>
                <w:szCs w:val="18"/>
              </w:rPr>
              <w:t>various prevalence rates</w:t>
            </w:r>
            <w:r w:rsidR="00BD1693" w:rsidRPr="00BD1693">
              <w:rPr>
                <w:sz w:val="18"/>
                <w:szCs w:val="18"/>
              </w:rPr>
              <w:t xml:space="preserve"> among adolescents (ages 12-17) relative to c</w:t>
            </w:r>
            <w:r w:rsidR="00BD1693" w:rsidRPr="00A76111">
              <w:rPr>
                <w:sz w:val="18"/>
                <w:szCs w:val="18"/>
              </w:rPr>
              <w:t xml:space="preserve">omparable indicators from school surveys </w:t>
            </w:r>
            <w:r w:rsidR="00BD1693" w:rsidRPr="00BD1693">
              <w:rPr>
                <w:sz w:val="18"/>
                <w:szCs w:val="18"/>
              </w:rPr>
              <w:t>which generally</w:t>
            </w:r>
            <w:r w:rsidR="00BD1693" w:rsidRPr="00A76111">
              <w:rPr>
                <w:sz w:val="18"/>
                <w:szCs w:val="18"/>
              </w:rPr>
              <w:t xml:space="preserve"> provide substantially higher prevalence estimates.</w:t>
            </w:r>
          </w:p>
        </w:tc>
      </w:tr>
    </w:tbl>
    <w:p w14:paraId="7007F2B8" w14:textId="69CF55F2" w:rsidR="00621E68" w:rsidRDefault="00621E68"/>
    <w:p w14:paraId="52211F45" w14:textId="5BB98BA8" w:rsidR="001549F4" w:rsidRDefault="001549F4">
      <w:r>
        <w:br w:type="page"/>
      </w:r>
    </w:p>
    <w:p w14:paraId="782F93F4" w14:textId="77777777" w:rsidR="001549F4" w:rsidRDefault="001549F4"/>
    <w:p w14:paraId="6697CBD5" w14:textId="3AD2EFF9" w:rsidR="001549F4" w:rsidRPr="00130E39" w:rsidRDefault="00740B9F" w:rsidP="00130E39">
      <w:pPr>
        <w:pStyle w:val="ListParagraph"/>
        <w:numPr>
          <w:ilvl w:val="0"/>
          <w:numId w:val="7"/>
        </w:numPr>
        <w:rPr>
          <w:i/>
          <w:iCs/>
        </w:rPr>
      </w:pPr>
      <w:bookmarkStart w:id="8" w:name="_Hlk58488384"/>
      <w:bookmarkStart w:id="9" w:name="_Hlk58064615"/>
      <w:r w:rsidRPr="00740B9F">
        <w:t xml:space="preserve">Any Illicit Drug Use in the </w:t>
      </w:r>
      <w:r w:rsidRPr="00130E39">
        <w:rPr>
          <w:i/>
          <w:iCs/>
        </w:rPr>
        <w:t>Past Month</w:t>
      </w:r>
    </w:p>
    <w:bookmarkEnd w:id="8"/>
    <w:p w14:paraId="53CDF3E2" w14:textId="77777777" w:rsidR="00740B9F" w:rsidRDefault="00740B9F"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165A84" w:rsidRPr="00165A84" w14:paraId="0AD46033" w14:textId="77777777" w:rsidTr="00165A8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48AF5ECB" w14:textId="77777777" w:rsidR="00165A84" w:rsidRPr="00165A84" w:rsidRDefault="00165A84" w:rsidP="00165A84">
            <w:pPr>
              <w:jc w:val="center"/>
              <w:rPr>
                <w:b/>
                <w:bCs/>
                <w:sz w:val="20"/>
              </w:rPr>
            </w:pPr>
            <w:r w:rsidRPr="00165A84">
              <w:rPr>
                <w:b/>
                <w:bCs/>
                <w:sz w:val="20"/>
              </w:rPr>
              <w:t xml:space="preserve">Any Illicit Drug Use in the </w:t>
            </w:r>
            <w:r w:rsidRPr="00165A84">
              <w:rPr>
                <w:b/>
                <w:bCs/>
                <w:i/>
                <w:iCs/>
                <w:sz w:val="20"/>
                <w:u w:val="single"/>
              </w:rPr>
              <w:t>Past Month</w:t>
            </w:r>
            <w:r w:rsidRPr="00165A84">
              <w:rPr>
                <w:b/>
                <w:bCs/>
                <w:sz w:val="20"/>
              </w:rPr>
              <w:t xml:space="preserve"> by Age Group Among Residents of</w:t>
            </w:r>
            <w:r w:rsidRPr="00165A84">
              <w:rPr>
                <w:b/>
                <w:bCs/>
                <w:sz w:val="20"/>
              </w:rPr>
              <w:br/>
              <w:t>Greater New Orleans Parishes and Statewide, 2019*</w:t>
            </w:r>
          </w:p>
        </w:tc>
      </w:tr>
      <w:tr w:rsidR="00165A84" w:rsidRPr="00165A84" w14:paraId="032884A9" w14:textId="77777777" w:rsidTr="00165A8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07B3ED3" w14:textId="77777777" w:rsidR="00165A84" w:rsidRPr="00165A84" w:rsidRDefault="00165A84" w:rsidP="00165A84">
            <w:pPr>
              <w:jc w:val="center"/>
              <w:rPr>
                <w:sz w:val="20"/>
              </w:rPr>
            </w:pPr>
            <w:r w:rsidRPr="00165A8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6325E444" w14:textId="4DB23036" w:rsidR="00165A84" w:rsidRPr="00165A84" w:rsidRDefault="00165A84" w:rsidP="00165A84">
            <w:pPr>
              <w:jc w:val="center"/>
              <w:rPr>
                <w:sz w:val="20"/>
              </w:rPr>
            </w:pPr>
            <w:r w:rsidRPr="00165A8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3FB2E6B6" w14:textId="77777777" w:rsidR="00165A84" w:rsidRPr="00165A84" w:rsidRDefault="00165A84" w:rsidP="00165A84">
            <w:pPr>
              <w:jc w:val="center"/>
              <w:rPr>
                <w:sz w:val="20"/>
              </w:rPr>
            </w:pPr>
            <w:r w:rsidRPr="00165A8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4D499E12" w14:textId="77777777" w:rsidR="00165A84" w:rsidRPr="00165A84" w:rsidRDefault="00165A84" w:rsidP="00165A84">
            <w:pPr>
              <w:jc w:val="center"/>
              <w:rPr>
                <w:sz w:val="20"/>
              </w:rPr>
            </w:pPr>
            <w:r w:rsidRPr="00165A84">
              <w:rPr>
                <w:sz w:val="20"/>
              </w:rPr>
              <w:t>Metro-</w:t>
            </w:r>
            <w:proofErr w:type="spellStart"/>
            <w:r w:rsidRPr="00165A84">
              <w:rPr>
                <w:sz w:val="20"/>
              </w:rPr>
              <w:t>politan</w:t>
            </w:r>
            <w:proofErr w:type="spellEnd"/>
            <w:r w:rsidRPr="00165A8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1C41FD18" w14:textId="77777777" w:rsidR="00165A84" w:rsidRPr="00165A84" w:rsidRDefault="00165A84" w:rsidP="00165A84">
            <w:pPr>
              <w:jc w:val="center"/>
              <w:rPr>
                <w:sz w:val="20"/>
              </w:rPr>
            </w:pPr>
            <w:r w:rsidRPr="00165A8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2A97526B" w14:textId="77777777" w:rsidR="00165A84" w:rsidRPr="00165A84" w:rsidRDefault="00165A84" w:rsidP="00165A84">
            <w:pPr>
              <w:jc w:val="center"/>
              <w:rPr>
                <w:sz w:val="20"/>
              </w:rPr>
            </w:pPr>
            <w:r w:rsidRPr="00165A8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0A419E67" w14:textId="77777777" w:rsidR="00165A84" w:rsidRPr="00165A84" w:rsidRDefault="00165A84" w:rsidP="00165A84">
            <w:pPr>
              <w:jc w:val="center"/>
              <w:rPr>
                <w:sz w:val="20"/>
              </w:rPr>
            </w:pPr>
            <w:r w:rsidRPr="00165A8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12668C7E" w14:textId="77777777" w:rsidR="00165A84" w:rsidRPr="00165A84" w:rsidRDefault="00165A84" w:rsidP="00165A84">
            <w:pPr>
              <w:jc w:val="center"/>
              <w:rPr>
                <w:sz w:val="20"/>
              </w:rPr>
            </w:pPr>
            <w:r w:rsidRPr="00165A84">
              <w:rPr>
                <w:sz w:val="20"/>
              </w:rPr>
              <w:t>Jefferson Parish HSA</w:t>
            </w:r>
          </w:p>
        </w:tc>
      </w:tr>
      <w:tr w:rsidR="00165A84" w:rsidRPr="00165A84" w14:paraId="428315B2"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475F46D" w14:textId="77777777" w:rsidR="00165A84" w:rsidRPr="00165A84" w:rsidRDefault="00165A84" w:rsidP="00165A84">
            <w:pPr>
              <w:rPr>
                <w:sz w:val="20"/>
              </w:rPr>
            </w:pPr>
            <w:r w:rsidRPr="00165A8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7C2ED9CE" w14:textId="77777777" w:rsidR="00165A84" w:rsidRPr="00165A84" w:rsidRDefault="00165A84" w:rsidP="00165A84">
            <w:pPr>
              <w:rPr>
                <w:sz w:val="20"/>
              </w:rPr>
            </w:pPr>
            <w:r w:rsidRPr="00165A84">
              <w:rPr>
                <w:sz w:val="20"/>
              </w:rPr>
              <w:t> </w:t>
            </w:r>
          </w:p>
        </w:tc>
        <w:tc>
          <w:tcPr>
            <w:tcW w:w="980" w:type="dxa"/>
            <w:tcBorders>
              <w:top w:val="nil"/>
              <w:left w:val="nil"/>
              <w:bottom w:val="nil"/>
              <w:right w:val="nil"/>
            </w:tcBorders>
            <w:shd w:val="clear" w:color="auto" w:fill="auto"/>
            <w:noWrap/>
            <w:vAlign w:val="bottom"/>
            <w:hideMark/>
          </w:tcPr>
          <w:p w14:paraId="2C66AD5F" w14:textId="77777777" w:rsidR="00165A84" w:rsidRPr="00165A84" w:rsidRDefault="00165A84" w:rsidP="00165A84">
            <w:pPr>
              <w:rPr>
                <w:sz w:val="20"/>
              </w:rPr>
            </w:pPr>
            <w:r w:rsidRPr="00165A8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A15E0F6" w14:textId="77777777" w:rsidR="00165A84" w:rsidRPr="00165A84" w:rsidRDefault="00165A84" w:rsidP="00165A84">
            <w:pPr>
              <w:rPr>
                <w:sz w:val="20"/>
              </w:rPr>
            </w:pPr>
            <w:r w:rsidRPr="00165A84">
              <w:rPr>
                <w:sz w:val="20"/>
              </w:rPr>
              <w:t> </w:t>
            </w:r>
          </w:p>
        </w:tc>
        <w:tc>
          <w:tcPr>
            <w:tcW w:w="980" w:type="dxa"/>
            <w:tcBorders>
              <w:top w:val="nil"/>
              <w:left w:val="nil"/>
              <w:bottom w:val="nil"/>
              <w:right w:val="nil"/>
            </w:tcBorders>
            <w:shd w:val="clear" w:color="auto" w:fill="auto"/>
            <w:noWrap/>
            <w:vAlign w:val="bottom"/>
            <w:hideMark/>
          </w:tcPr>
          <w:p w14:paraId="34643A33" w14:textId="77777777" w:rsidR="00165A84" w:rsidRPr="00165A84" w:rsidRDefault="00165A84" w:rsidP="00165A84">
            <w:pPr>
              <w:rPr>
                <w:sz w:val="20"/>
              </w:rPr>
            </w:pPr>
            <w:r w:rsidRPr="00165A8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41981AF" w14:textId="77777777" w:rsidR="00165A84" w:rsidRPr="00165A84" w:rsidRDefault="00165A84" w:rsidP="00165A84">
            <w:pPr>
              <w:rPr>
                <w:sz w:val="20"/>
              </w:rPr>
            </w:pPr>
            <w:r w:rsidRPr="00165A84">
              <w:rPr>
                <w:sz w:val="20"/>
              </w:rPr>
              <w:t> </w:t>
            </w:r>
          </w:p>
        </w:tc>
        <w:tc>
          <w:tcPr>
            <w:tcW w:w="980" w:type="dxa"/>
            <w:tcBorders>
              <w:top w:val="nil"/>
              <w:left w:val="nil"/>
              <w:bottom w:val="nil"/>
              <w:right w:val="single" w:sz="4" w:space="0" w:color="auto"/>
            </w:tcBorders>
            <w:shd w:val="clear" w:color="auto" w:fill="auto"/>
            <w:noWrap/>
            <w:vAlign w:val="bottom"/>
            <w:hideMark/>
          </w:tcPr>
          <w:p w14:paraId="6190D12B" w14:textId="77777777" w:rsidR="00165A84" w:rsidRPr="00165A84" w:rsidRDefault="00165A84" w:rsidP="00165A84">
            <w:pPr>
              <w:rPr>
                <w:sz w:val="20"/>
              </w:rPr>
            </w:pPr>
            <w:r w:rsidRPr="00165A84">
              <w:rPr>
                <w:sz w:val="20"/>
              </w:rPr>
              <w:t> </w:t>
            </w:r>
          </w:p>
        </w:tc>
        <w:tc>
          <w:tcPr>
            <w:tcW w:w="980" w:type="dxa"/>
            <w:tcBorders>
              <w:top w:val="nil"/>
              <w:left w:val="nil"/>
              <w:bottom w:val="nil"/>
              <w:right w:val="single" w:sz="4" w:space="0" w:color="auto"/>
            </w:tcBorders>
            <w:shd w:val="clear" w:color="auto" w:fill="auto"/>
            <w:noWrap/>
            <w:vAlign w:val="bottom"/>
            <w:hideMark/>
          </w:tcPr>
          <w:p w14:paraId="0BB53A1D" w14:textId="77777777" w:rsidR="00165A84" w:rsidRPr="00165A84" w:rsidRDefault="00165A84" w:rsidP="00165A84">
            <w:pPr>
              <w:rPr>
                <w:sz w:val="20"/>
              </w:rPr>
            </w:pPr>
            <w:r w:rsidRPr="00165A84">
              <w:rPr>
                <w:sz w:val="20"/>
              </w:rPr>
              <w:t> </w:t>
            </w:r>
          </w:p>
        </w:tc>
      </w:tr>
      <w:tr w:rsidR="00165A84" w:rsidRPr="00165A84" w14:paraId="23B5C82B"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9E4191E"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EA46A5D" w14:textId="77777777" w:rsidR="00165A84" w:rsidRPr="00165A84" w:rsidRDefault="00165A84" w:rsidP="00165A84">
            <w:pPr>
              <w:jc w:val="right"/>
              <w:rPr>
                <w:sz w:val="20"/>
              </w:rPr>
            </w:pPr>
            <w:r w:rsidRPr="00165A84">
              <w:rPr>
                <w:sz w:val="20"/>
              </w:rPr>
              <w:t>360,774</w:t>
            </w:r>
          </w:p>
        </w:tc>
        <w:tc>
          <w:tcPr>
            <w:tcW w:w="980" w:type="dxa"/>
            <w:tcBorders>
              <w:top w:val="nil"/>
              <w:left w:val="nil"/>
              <w:bottom w:val="nil"/>
              <w:right w:val="nil"/>
            </w:tcBorders>
            <w:shd w:val="clear" w:color="auto" w:fill="auto"/>
            <w:noWrap/>
            <w:vAlign w:val="bottom"/>
            <w:hideMark/>
          </w:tcPr>
          <w:p w14:paraId="04916328" w14:textId="77777777" w:rsidR="00165A84" w:rsidRPr="00165A84" w:rsidRDefault="00165A84" w:rsidP="00165A84">
            <w:pPr>
              <w:jc w:val="right"/>
              <w:rPr>
                <w:sz w:val="20"/>
              </w:rPr>
            </w:pPr>
            <w:r w:rsidRPr="00165A8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5895A243" w14:textId="77777777" w:rsidR="00165A84" w:rsidRPr="00165A84" w:rsidRDefault="00165A84" w:rsidP="00165A84">
            <w:pPr>
              <w:jc w:val="right"/>
              <w:rPr>
                <w:sz w:val="20"/>
              </w:rPr>
            </w:pPr>
            <w:r w:rsidRPr="00165A84">
              <w:rPr>
                <w:sz w:val="20"/>
              </w:rPr>
              <w:t>30,822</w:t>
            </w:r>
          </w:p>
        </w:tc>
        <w:tc>
          <w:tcPr>
            <w:tcW w:w="980" w:type="dxa"/>
            <w:tcBorders>
              <w:top w:val="nil"/>
              <w:left w:val="nil"/>
              <w:bottom w:val="nil"/>
              <w:right w:val="nil"/>
            </w:tcBorders>
            <w:shd w:val="clear" w:color="auto" w:fill="auto"/>
            <w:noWrap/>
            <w:vAlign w:val="bottom"/>
            <w:hideMark/>
          </w:tcPr>
          <w:p w14:paraId="7F7ECF09" w14:textId="77777777" w:rsidR="00165A84" w:rsidRPr="00165A84" w:rsidRDefault="00165A84" w:rsidP="00165A84">
            <w:pPr>
              <w:jc w:val="right"/>
              <w:rPr>
                <w:sz w:val="20"/>
              </w:rPr>
            </w:pPr>
            <w:r w:rsidRPr="00165A8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3ED97F49" w14:textId="77777777" w:rsidR="00165A84" w:rsidRPr="00165A84" w:rsidRDefault="00165A84" w:rsidP="00165A84">
            <w:pPr>
              <w:jc w:val="right"/>
              <w:rPr>
                <w:sz w:val="20"/>
              </w:rPr>
            </w:pPr>
            <w:r w:rsidRPr="00165A84">
              <w:rPr>
                <w:sz w:val="20"/>
              </w:rPr>
              <w:t>2,081</w:t>
            </w:r>
          </w:p>
        </w:tc>
        <w:tc>
          <w:tcPr>
            <w:tcW w:w="980" w:type="dxa"/>
            <w:tcBorders>
              <w:top w:val="nil"/>
              <w:left w:val="nil"/>
              <w:bottom w:val="nil"/>
              <w:right w:val="single" w:sz="4" w:space="0" w:color="auto"/>
            </w:tcBorders>
            <w:shd w:val="clear" w:color="auto" w:fill="auto"/>
            <w:noWrap/>
            <w:vAlign w:val="bottom"/>
            <w:hideMark/>
          </w:tcPr>
          <w:p w14:paraId="38F4E677" w14:textId="77777777" w:rsidR="00165A84" w:rsidRPr="00165A84" w:rsidRDefault="00165A84" w:rsidP="00165A84">
            <w:pPr>
              <w:jc w:val="right"/>
              <w:rPr>
                <w:sz w:val="20"/>
              </w:rPr>
            </w:pPr>
            <w:r w:rsidRPr="00165A84">
              <w:rPr>
                <w:sz w:val="20"/>
              </w:rPr>
              <w:t>4,044</w:t>
            </w:r>
          </w:p>
        </w:tc>
        <w:tc>
          <w:tcPr>
            <w:tcW w:w="980" w:type="dxa"/>
            <w:tcBorders>
              <w:top w:val="nil"/>
              <w:left w:val="nil"/>
              <w:bottom w:val="nil"/>
              <w:right w:val="single" w:sz="4" w:space="0" w:color="auto"/>
            </w:tcBorders>
            <w:shd w:val="clear" w:color="auto" w:fill="auto"/>
            <w:noWrap/>
            <w:vAlign w:val="bottom"/>
            <w:hideMark/>
          </w:tcPr>
          <w:p w14:paraId="263A3FFE" w14:textId="77777777" w:rsidR="00165A84" w:rsidRPr="00165A84" w:rsidRDefault="00165A84" w:rsidP="00165A84">
            <w:pPr>
              <w:jc w:val="right"/>
              <w:rPr>
                <w:sz w:val="20"/>
              </w:rPr>
            </w:pPr>
            <w:r w:rsidRPr="00165A84">
              <w:rPr>
                <w:sz w:val="20"/>
              </w:rPr>
              <w:t>30,385</w:t>
            </w:r>
          </w:p>
        </w:tc>
      </w:tr>
      <w:tr w:rsidR="00165A84" w:rsidRPr="00165A84" w14:paraId="6C00FC75"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0FCCEBBF" w14:textId="526B0201" w:rsidR="00165A84" w:rsidRPr="00165A84" w:rsidRDefault="00165A84" w:rsidP="00165A84">
            <w:pPr>
              <w:rPr>
                <w:sz w:val="20"/>
              </w:rPr>
            </w:pPr>
            <w:r w:rsidRPr="00165A84">
              <w:rPr>
                <w:sz w:val="20"/>
              </w:rPr>
              <w:t xml:space="preserve">    Rate (%)</w:t>
            </w:r>
            <w:r w:rsidR="00BD1693">
              <w:rPr>
                <w:sz w:val="20"/>
              </w:rPr>
              <w:t xml:space="preserve"> </w:t>
            </w:r>
            <w:r w:rsidR="00BD1693" w:rsidRPr="00013571">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437CB4DC" w14:textId="77777777" w:rsidR="00165A84" w:rsidRPr="00165A84" w:rsidRDefault="00165A84" w:rsidP="00165A84">
            <w:pPr>
              <w:jc w:val="right"/>
              <w:rPr>
                <w:sz w:val="20"/>
              </w:rPr>
            </w:pPr>
            <w:r w:rsidRPr="00165A84">
              <w:rPr>
                <w:sz w:val="20"/>
              </w:rPr>
              <w:t>6.93%</w:t>
            </w:r>
          </w:p>
        </w:tc>
        <w:tc>
          <w:tcPr>
            <w:tcW w:w="980" w:type="dxa"/>
            <w:tcBorders>
              <w:top w:val="nil"/>
              <w:left w:val="nil"/>
              <w:bottom w:val="nil"/>
              <w:right w:val="single" w:sz="4" w:space="0" w:color="auto"/>
            </w:tcBorders>
            <w:shd w:val="clear" w:color="auto" w:fill="auto"/>
            <w:noWrap/>
            <w:vAlign w:val="bottom"/>
            <w:hideMark/>
          </w:tcPr>
          <w:p w14:paraId="223337C9" w14:textId="77777777" w:rsidR="00165A84" w:rsidRPr="00165A84" w:rsidRDefault="00165A84" w:rsidP="00165A84">
            <w:pPr>
              <w:jc w:val="right"/>
              <w:rPr>
                <w:sz w:val="20"/>
              </w:rPr>
            </w:pPr>
            <w:r w:rsidRPr="00165A84">
              <w:rPr>
                <w:sz w:val="20"/>
              </w:rPr>
              <w:t>7.74%</w:t>
            </w:r>
          </w:p>
        </w:tc>
        <w:tc>
          <w:tcPr>
            <w:tcW w:w="980" w:type="dxa"/>
            <w:tcBorders>
              <w:top w:val="nil"/>
              <w:left w:val="nil"/>
              <w:bottom w:val="nil"/>
              <w:right w:val="single" w:sz="4" w:space="0" w:color="auto"/>
            </w:tcBorders>
            <w:shd w:val="clear" w:color="auto" w:fill="auto"/>
            <w:noWrap/>
            <w:vAlign w:val="bottom"/>
            <w:hideMark/>
          </w:tcPr>
          <w:p w14:paraId="21EFE806" w14:textId="77777777" w:rsidR="00165A84" w:rsidRPr="00165A84" w:rsidRDefault="00165A84" w:rsidP="00165A84">
            <w:pPr>
              <w:jc w:val="right"/>
              <w:rPr>
                <w:sz w:val="20"/>
              </w:rPr>
            </w:pPr>
            <w:r w:rsidRPr="00165A84">
              <w:rPr>
                <w:sz w:val="20"/>
              </w:rPr>
              <w:t>8.50%</w:t>
            </w:r>
          </w:p>
        </w:tc>
        <w:tc>
          <w:tcPr>
            <w:tcW w:w="980" w:type="dxa"/>
            <w:tcBorders>
              <w:top w:val="nil"/>
              <w:left w:val="nil"/>
              <w:bottom w:val="nil"/>
              <w:right w:val="nil"/>
            </w:tcBorders>
            <w:shd w:val="clear" w:color="auto" w:fill="auto"/>
            <w:noWrap/>
            <w:vAlign w:val="bottom"/>
            <w:hideMark/>
          </w:tcPr>
          <w:p w14:paraId="0BA4E508" w14:textId="77777777" w:rsidR="00165A84" w:rsidRPr="00165A84" w:rsidRDefault="00165A84" w:rsidP="00165A84">
            <w:pPr>
              <w:jc w:val="right"/>
              <w:rPr>
                <w:sz w:val="20"/>
              </w:rPr>
            </w:pPr>
            <w:r w:rsidRPr="00165A84">
              <w:rPr>
                <w:sz w:val="20"/>
              </w:rPr>
              <w:t>8.50%</w:t>
            </w:r>
          </w:p>
        </w:tc>
        <w:tc>
          <w:tcPr>
            <w:tcW w:w="980" w:type="dxa"/>
            <w:tcBorders>
              <w:top w:val="nil"/>
              <w:left w:val="single" w:sz="4" w:space="0" w:color="auto"/>
              <w:bottom w:val="nil"/>
              <w:right w:val="single" w:sz="4" w:space="0" w:color="auto"/>
            </w:tcBorders>
            <w:shd w:val="clear" w:color="auto" w:fill="auto"/>
            <w:noWrap/>
            <w:vAlign w:val="bottom"/>
            <w:hideMark/>
          </w:tcPr>
          <w:p w14:paraId="4FF315E2" w14:textId="77777777" w:rsidR="00165A84" w:rsidRPr="00165A84" w:rsidRDefault="00165A84" w:rsidP="00165A84">
            <w:pPr>
              <w:jc w:val="right"/>
              <w:rPr>
                <w:sz w:val="20"/>
              </w:rPr>
            </w:pPr>
            <w:r w:rsidRPr="00165A84">
              <w:rPr>
                <w:sz w:val="20"/>
              </w:rPr>
              <w:t>8.50%</w:t>
            </w:r>
          </w:p>
        </w:tc>
        <w:tc>
          <w:tcPr>
            <w:tcW w:w="980" w:type="dxa"/>
            <w:tcBorders>
              <w:top w:val="nil"/>
              <w:left w:val="nil"/>
              <w:bottom w:val="nil"/>
              <w:right w:val="single" w:sz="4" w:space="0" w:color="auto"/>
            </w:tcBorders>
            <w:shd w:val="clear" w:color="auto" w:fill="auto"/>
            <w:noWrap/>
            <w:vAlign w:val="bottom"/>
            <w:hideMark/>
          </w:tcPr>
          <w:p w14:paraId="3B9B5EDC" w14:textId="77777777" w:rsidR="00165A84" w:rsidRPr="00165A84" w:rsidRDefault="00165A84" w:rsidP="00165A84">
            <w:pPr>
              <w:jc w:val="right"/>
              <w:rPr>
                <w:sz w:val="20"/>
              </w:rPr>
            </w:pPr>
            <w:r w:rsidRPr="00165A84">
              <w:rPr>
                <w:sz w:val="20"/>
              </w:rPr>
              <w:t>8.50%</w:t>
            </w:r>
          </w:p>
        </w:tc>
        <w:tc>
          <w:tcPr>
            <w:tcW w:w="980" w:type="dxa"/>
            <w:tcBorders>
              <w:top w:val="nil"/>
              <w:left w:val="nil"/>
              <w:bottom w:val="nil"/>
              <w:right w:val="single" w:sz="4" w:space="0" w:color="auto"/>
            </w:tcBorders>
            <w:shd w:val="clear" w:color="auto" w:fill="auto"/>
            <w:noWrap/>
            <w:vAlign w:val="bottom"/>
            <w:hideMark/>
          </w:tcPr>
          <w:p w14:paraId="5292FD01" w14:textId="77777777" w:rsidR="00165A84" w:rsidRPr="00165A84" w:rsidRDefault="00165A84" w:rsidP="00165A84">
            <w:pPr>
              <w:jc w:val="right"/>
              <w:rPr>
                <w:sz w:val="20"/>
              </w:rPr>
            </w:pPr>
            <w:r w:rsidRPr="00165A84">
              <w:rPr>
                <w:sz w:val="20"/>
              </w:rPr>
              <w:t>6.92%</w:t>
            </w:r>
          </w:p>
        </w:tc>
      </w:tr>
      <w:tr w:rsidR="00165A84" w:rsidRPr="00165A84" w14:paraId="3B0FC653"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CE20053"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53358AE" w14:textId="3688B14F" w:rsidR="00165A84" w:rsidRPr="00165A84" w:rsidRDefault="00165A84" w:rsidP="00165A84">
            <w:pPr>
              <w:rPr>
                <w:sz w:val="20"/>
              </w:rPr>
            </w:pPr>
            <w:r w:rsidRPr="00165A84">
              <w:rPr>
                <w:sz w:val="20"/>
              </w:rPr>
              <w:t>24,995</w:t>
            </w:r>
          </w:p>
        </w:tc>
        <w:tc>
          <w:tcPr>
            <w:tcW w:w="980" w:type="dxa"/>
            <w:tcBorders>
              <w:top w:val="nil"/>
              <w:left w:val="nil"/>
              <w:bottom w:val="single" w:sz="4" w:space="0" w:color="auto"/>
              <w:right w:val="single" w:sz="4" w:space="0" w:color="auto"/>
            </w:tcBorders>
            <w:shd w:val="clear" w:color="auto" w:fill="auto"/>
            <w:noWrap/>
            <w:vAlign w:val="bottom"/>
            <w:hideMark/>
          </w:tcPr>
          <w:p w14:paraId="1DDDCDAD" w14:textId="34907509" w:rsidR="00165A84" w:rsidRPr="00165A84" w:rsidRDefault="00165A84" w:rsidP="00165A84">
            <w:pPr>
              <w:rPr>
                <w:sz w:val="20"/>
              </w:rPr>
            </w:pPr>
            <w:r w:rsidRPr="00165A84">
              <w:rPr>
                <w:sz w:val="20"/>
              </w:rPr>
              <w:t>4,735</w:t>
            </w:r>
          </w:p>
        </w:tc>
        <w:tc>
          <w:tcPr>
            <w:tcW w:w="980" w:type="dxa"/>
            <w:tcBorders>
              <w:top w:val="nil"/>
              <w:left w:val="nil"/>
              <w:bottom w:val="single" w:sz="4" w:space="0" w:color="auto"/>
              <w:right w:val="single" w:sz="4" w:space="0" w:color="auto"/>
            </w:tcBorders>
            <w:shd w:val="clear" w:color="auto" w:fill="auto"/>
            <w:noWrap/>
            <w:vAlign w:val="bottom"/>
            <w:hideMark/>
          </w:tcPr>
          <w:p w14:paraId="61281DBE" w14:textId="76477B7E" w:rsidR="00165A84" w:rsidRPr="00165A84" w:rsidRDefault="00165A84" w:rsidP="00165A84">
            <w:pPr>
              <w:rPr>
                <w:sz w:val="20"/>
              </w:rPr>
            </w:pPr>
            <w:r w:rsidRPr="00165A84">
              <w:rPr>
                <w:sz w:val="20"/>
              </w:rPr>
              <w:t>2,621</w:t>
            </w:r>
          </w:p>
        </w:tc>
        <w:tc>
          <w:tcPr>
            <w:tcW w:w="980" w:type="dxa"/>
            <w:tcBorders>
              <w:top w:val="nil"/>
              <w:left w:val="nil"/>
              <w:bottom w:val="single" w:sz="4" w:space="0" w:color="auto"/>
              <w:right w:val="single" w:sz="4" w:space="0" w:color="auto"/>
            </w:tcBorders>
            <w:shd w:val="clear" w:color="auto" w:fill="auto"/>
            <w:noWrap/>
            <w:vAlign w:val="bottom"/>
            <w:hideMark/>
          </w:tcPr>
          <w:p w14:paraId="5B09EF31" w14:textId="6E8A3C70" w:rsidR="00165A84" w:rsidRPr="00165A84" w:rsidRDefault="00165A84" w:rsidP="00165A84">
            <w:pPr>
              <w:rPr>
                <w:sz w:val="20"/>
              </w:rPr>
            </w:pPr>
            <w:r w:rsidRPr="00165A84">
              <w:rPr>
                <w:sz w:val="20"/>
              </w:rPr>
              <w:t>2,100</w:t>
            </w:r>
          </w:p>
        </w:tc>
        <w:tc>
          <w:tcPr>
            <w:tcW w:w="980" w:type="dxa"/>
            <w:tcBorders>
              <w:top w:val="nil"/>
              <w:left w:val="nil"/>
              <w:bottom w:val="single" w:sz="4" w:space="0" w:color="auto"/>
              <w:right w:val="single" w:sz="4" w:space="0" w:color="auto"/>
            </w:tcBorders>
            <w:shd w:val="clear" w:color="auto" w:fill="auto"/>
            <w:noWrap/>
            <w:vAlign w:val="bottom"/>
            <w:hideMark/>
          </w:tcPr>
          <w:p w14:paraId="272A1D98" w14:textId="453179A1" w:rsidR="00165A84" w:rsidRPr="00165A84" w:rsidRDefault="00165A84" w:rsidP="00165A84">
            <w:pPr>
              <w:rPr>
                <w:sz w:val="20"/>
              </w:rPr>
            </w:pPr>
            <w:r w:rsidRPr="00165A84">
              <w:rPr>
                <w:sz w:val="20"/>
              </w:rPr>
              <w:t>177</w:t>
            </w:r>
          </w:p>
        </w:tc>
        <w:tc>
          <w:tcPr>
            <w:tcW w:w="980" w:type="dxa"/>
            <w:tcBorders>
              <w:top w:val="nil"/>
              <w:left w:val="nil"/>
              <w:bottom w:val="single" w:sz="4" w:space="0" w:color="auto"/>
              <w:right w:val="single" w:sz="4" w:space="0" w:color="auto"/>
            </w:tcBorders>
            <w:shd w:val="clear" w:color="auto" w:fill="auto"/>
            <w:noWrap/>
            <w:vAlign w:val="bottom"/>
            <w:hideMark/>
          </w:tcPr>
          <w:p w14:paraId="15BE0E30" w14:textId="79E98BED" w:rsidR="00165A84" w:rsidRPr="00165A84" w:rsidRDefault="00165A84" w:rsidP="00165A84">
            <w:pPr>
              <w:rPr>
                <w:sz w:val="20"/>
              </w:rPr>
            </w:pPr>
            <w:r w:rsidRPr="00165A84">
              <w:rPr>
                <w:sz w:val="20"/>
              </w:rPr>
              <w:t>344</w:t>
            </w:r>
          </w:p>
        </w:tc>
        <w:tc>
          <w:tcPr>
            <w:tcW w:w="980" w:type="dxa"/>
            <w:tcBorders>
              <w:top w:val="nil"/>
              <w:left w:val="nil"/>
              <w:bottom w:val="single" w:sz="4" w:space="0" w:color="auto"/>
              <w:right w:val="single" w:sz="4" w:space="0" w:color="auto"/>
            </w:tcBorders>
            <w:shd w:val="clear" w:color="auto" w:fill="auto"/>
            <w:noWrap/>
            <w:vAlign w:val="bottom"/>
            <w:hideMark/>
          </w:tcPr>
          <w:p w14:paraId="3733033B" w14:textId="54064960" w:rsidR="00165A84" w:rsidRPr="00165A84" w:rsidRDefault="00165A84" w:rsidP="00165A84">
            <w:pPr>
              <w:rPr>
                <w:sz w:val="20"/>
              </w:rPr>
            </w:pPr>
            <w:r w:rsidRPr="00165A84">
              <w:rPr>
                <w:sz w:val="20"/>
              </w:rPr>
              <w:t>2,103</w:t>
            </w:r>
          </w:p>
        </w:tc>
      </w:tr>
      <w:tr w:rsidR="00165A84" w:rsidRPr="00165A84" w14:paraId="35B8704F"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7383A76" w14:textId="77777777" w:rsidR="00165A84" w:rsidRPr="00165A84" w:rsidRDefault="00165A84" w:rsidP="00165A84">
            <w:pPr>
              <w:rPr>
                <w:sz w:val="20"/>
              </w:rPr>
            </w:pPr>
            <w:r w:rsidRPr="00165A8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7327B8AD" w14:textId="1039CAEF"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55E4AFB2"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1351A67" w14:textId="142AEB40"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D42B9FC"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3E5C6D8" w14:textId="4D8FA11C"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510A458D" w14:textId="1A24851E"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121B2072" w14:textId="0613907E" w:rsidR="00165A84" w:rsidRPr="00165A84" w:rsidRDefault="00165A84" w:rsidP="00165A84">
            <w:pPr>
              <w:rPr>
                <w:sz w:val="20"/>
              </w:rPr>
            </w:pPr>
          </w:p>
        </w:tc>
      </w:tr>
      <w:tr w:rsidR="00165A84" w:rsidRPr="00165A84" w14:paraId="363CFF12"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FB957B1"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4662F12" w14:textId="77777777" w:rsidR="00165A84" w:rsidRPr="00165A84" w:rsidRDefault="00165A84" w:rsidP="00165A84">
            <w:pPr>
              <w:jc w:val="right"/>
              <w:rPr>
                <w:sz w:val="20"/>
              </w:rPr>
            </w:pPr>
            <w:r w:rsidRPr="00165A84">
              <w:rPr>
                <w:sz w:val="20"/>
              </w:rPr>
              <w:t>483,697</w:t>
            </w:r>
          </w:p>
        </w:tc>
        <w:tc>
          <w:tcPr>
            <w:tcW w:w="980" w:type="dxa"/>
            <w:tcBorders>
              <w:top w:val="nil"/>
              <w:left w:val="nil"/>
              <w:bottom w:val="nil"/>
              <w:right w:val="nil"/>
            </w:tcBorders>
            <w:shd w:val="clear" w:color="auto" w:fill="auto"/>
            <w:noWrap/>
            <w:vAlign w:val="bottom"/>
            <w:hideMark/>
          </w:tcPr>
          <w:p w14:paraId="5F286C20" w14:textId="77777777" w:rsidR="00165A84" w:rsidRPr="00165A84" w:rsidRDefault="00165A84" w:rsidP="00165A84">
            <w:pPr>
              <w:jc w:val="right"/>
              <w:rPr>
                <w:sz w:val="20"/>
              </w:rPr>
            </w:pPr>
            <w:r w:rsidRPr="00165A8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2CC8F65F" w14:textId="77777777" w:rsidR="00165A84" w:rsidRPr="00165A84" w:rsidRDefault="00165A84" w:rsidP="00165A84">
            <w:pPr>
              <w:jc w:val="right"/>
              <w:rPr>
                <w:sz w:val="20"/>
              </w:rPr>
            </w:pPr>
            <w:r w:rsidRPr="00165A84">
              <w:rPr>
                <w:sz w:val="20"/>
              </w:rPr>
              <w:t>44,790</w:t>
            </w:r>
          </w:p>
        </w:tc>
        <w:tc>
          <w:tcPr>
            <w:tcW w:w="980" w:type="dxa"/>
            <w:tcBorders>
              <w:top w:val="nil"/>
              <w:left w:val="nil"/>
              <w:bottom w:val="nil"/>
              <w:right w:val="nil"/>
            </w:tcBorders>
            <w:shd w:val="clear" w:color="auto" w:fill="auto"/>
            <w:noWrap/>
            <w:vAlign w:val="bottom"/>
            <w:hideMark/>
          </w:tcPr>
          <w:p w14:paraId="34A05FD2" w14:textId="77777777" w:rsidR="00165A84" w:rsidRPr="00165A84" w:rsidRDefault="00165A84" w:rsidP="00165A84">
            <w:pPr>
              <w:jc w:val="right"/>
              <w:rPr>
                <w:sz w:val="20"/>
              </w:rPr>
            </w:pPr>
            <w:r w:rsidRPr="00165A8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0788D5CE" w14:textId="77777777" w:rsidR="00165A84" w:rsidRPr="00165A84" w:rsidRDefault="00165A84" w:rsidP="00165A84">
            <w:pPr>
              <w:jc w:val="right"/>
              <w:rPr>
                <w:sz w:val="20"/>
              </w:rPr>
            </w:pPr>
            <w:r w:rsidRPr="00165A84">
              <w:rPr>
                <w:sz w:val="20"/>
              </w:rPr>
              <w:t>2,265</w:t>
            </w:r>
          </w:p>
        </w:tc>
        <w:tc>
          <w:tcPr>
            <w:tcW w:w="980" w:type="dxa"/>
            <w:tcBorders>
              <w:top w:val="nil"/>
              <w:left w:val="nil"/>
              <w:bottom w:val="nil"/>
              <w:right w:val="single" w:sz="4" w:space="0" w:color="auto"/>
            </w:tcBorders>
            <w:shd w:val="clear" w:color="auto" w:fill="auto"/>
            <w:noWrap/>
            <w:vAlign w:val="bottom"/>
            <w:hideMark/>
          </w:tcPr>
          <w:p w14:paraId="277F037F" w14:textId="77777777" w:rsidR="00165A84" w:rsidRPr="00165A84" w:rsidRDefault="00165A84" w:rsidP="00165A84">
            <w:pPr>
              <w:jc w:val="right"/>
              <w:rPr>
                <w:sz w:val="20"/>
              </w:rPr>
            </w:pPr>
            <w:r w:rsidRPr="00165A84">
              <w:rPr>
                <w:sz w:val="20"/>
              </w:rPr>
              <w:t>4,133</w:t>
            </w:r>
          </w:p>
        </w:tc>
        <w:tc>
          <w:tcPr>
            <w:tcW w:w="980" w:type="dxa"/>
            <w:tcBorders>
              <w:top w:val="nil"/>
              <w:left w:val="nil"/>
              <w:bottom w:val="nil"/>
              <w:right w:val="single" w:sz="4" w:space="0" w:color="auto"/>
            </w:tcBorders>
            <w:shd w:val="clear" w:color="auto" w:fill="auto"/>
            <w:noWrap/>
            <w:vAlign w:val="bottom"/>
            <w:hideMark/>
          </w:tcPr>
          <w:p w14:paraId="4EB5F9CD" w14:textId="77777777" w:rsidR="00165A84" w:rsidRPr="00165A84" w:rsidRDefault="00165A84" w:rsidP="00165A84">
            <w:pPr>
              <w:jc w:val="right"/>
              <w:rPr>
                <w:sz w:val="20"/>
              </w:rPr>
            </w:pPr>
            <w:r w:rsidRPr="00165A84">
              <w:rPr>
                <w:sz w:val="20"/>
              </w:rPr>
              <w:t>37,617</w:t>
            </w:r>
          </w:p>
        </w:tc>
      </w:tr>
      <w:tr w:rsidR="00165A84" w:rsidRPr="00165A84" w14:paraId="20E161D0"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5D1227F5" w14:textId="5C770300" w:rsidR="00165A84" w:rsidRPr="00165A84" w:rsidRDefault="00165A84" w:rsidP="00165A84">
            <w:pPr>
              <w:rPr>
                <w:sz w:val="20"/>
              </w:rPr>
            </w:pPr>
            <w:r w:rsidRPr="00165A84">
              <w:rPr>
                <w:sz w:val="20"/>
              </w:rPr>
              <w:t xml:space="preserve">    Rate (</w:t>
            </w:r>
            <w:r w:rsidR="00BD1693" w:rsidRPr="00165A84">
              <w:rPr>
                <w:sz w:val="20"/>
              </w:rPr>
              <w:t>%)</w:t>
            </w:r>
            <w:r w:rsidR="00BD1693">
              <w:rPr>
                <w:sz w:val="20"/>
              </w:rPr>
              <w:t xml:space="preserve"> </w:t>
            </w:r>
            <w:r w:rsidRPr="00165A84">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1C93DAB7" w14:textId="77777777" w:rsidR="00165A84" w:rsidRPr="00165A84" w:rsidRDefault="00165A84" w:rsidP="00165A84">
            <w:pPr>
              <w:jc w:val="right"/>
              <w:rPr>
                <w:sz w:val="20"/>
              </w:rPr>
            </w:pPr>
            <w:r w:rsidRPr="00165A84">
              <w:rPr>
                <w:sz w:val="20"/>
              </w:rPr>
              <w:t>21.60%</w:t>
            </w:r>
          </w:p>
        </w:tc>
        <w:tc>
          <w:tcPr>
            <w:tcW w:w="980" w:type="dxa"/>
            <w:tcBorders>
              <w:top w:val="nil"/>
              <w:left w:val="nil"/>
              <w:bottom w:val="nil"/>
              <w:right w:val="single" w:sz="4" w:space="0" w:color="auto"/>
            </w:tcBorders>
            <w:shd w:val="clear" w:color="auto" w:fill="auto"/>
            <w:noWrap/>
            <w:vAlign w:val="bottom"/>
            <w:hideMark/>
          </w:tcPr>
          <w:p w14:paraId="6F3A69DB" w14:textId="77777777" w:rsidR="00165A84" w:rsidRPr="00165A84" w:rsidRDefault="00165A84" w:rsidP="00165A84">
            <w:pPr>
              <w:jc w:val="right"/>
              <w:rPr>
                <w:sz w:val="20"/>
              </w:rPr>
            </w:pPr>
            <w:r w:rsidRPr="00165A84">
              <w:rPr>
                <w:sz w:val="20"/>
              </w:rPr>
              <w:t>25.84%</w:t>
            </w:r>
          </w:p>
        </w:tc>
        <w:tc>
          <w:tcPr>
            <w:tcW w:w="980" w:type="dxa"/>
            <w:tcBorders>
              <w:top w:val="nil"/>
              <w:left w:val="nil"/>
              <w:bottom w:val="nil"/>
              <w:right w:val="single" w:sz="4" w:space="0" w:color="auto"/>
            </w:tcBorders>
            <w:shd w:val="clear" w:color="000000" w:fill="FFD85B"/>
            <w:noWrap/>
            <w:vAlign w:val="bottom"/>
            <w:hideMark/>
          </w:tcPr>
          <w:p w14:paraId="2EFBEC6C" w14:textId="77777777" w:rsidR="00165A84" w:rsidRPr="00165A84" w:rsidRDefault="00165A84" w:rsidP="00165A84">
            <w:pPr>
              <w:jc w:val="right"/>
              <w:rPr>
                <w:sz w:val="20"/>
              </w:rPr>
            </w:pPr>
            <w:r w:rsidRPr="00165A84">
              <w:rPr>
                <w:sz w:val="20"/>
              </w:rPr>
              <w:t>25.84%</w:t>
            </w:r>
          </w:p>
        </w:tc>
        <w:tc>
          <w:tcPr>
            <w:tcW w:w="980" w:type="dxa"/>
            <w:tcBorders>
              <w:top w:val="nil"/>
              <w:left w:val="nil"/>
              <w:bottom w:val="nil"/>
              <w:right w:val="nil"/>
            </w:tcBorders>
            <w:shd w:val="clear" w:color="000000" w:fill="FFD85B"/>
            <w:noWrap/>
            <w:vAlign w:val="bottom"/>
            <w:hideMark/>
          </w:tcPr>
          <w:p w14:paraId="11A9BA70" w14:textId="77777777" w:rsidR="00165A84" w:rsidRPr="00165A84" w:rsidRDefault="00165A84" w:rsidP="00165A84">
            <w:pPr>
              <w:jc w:val="right"/>
              <w:rPr>
                <w:sz w:val="20"/>
              </w:rPr>
            </w:pPr>
            <w:r w:rsidRPr="00165A84">
              <w:rPr>
                <w:sz w:val="20"/>
              </w:rPr>
              <w:t>25.84%</w:t>
            </w:r>
          </w:p>
        </w:tc>
        <w:tc>
          <w:tcPr>
            <w:tcW w:w="980" w:type="dxa"/>
            <w:tcBorders>
              <w:top w:val="nil"/>
              <w:left w:val="single" w:sz="4" w:space="0" w:color="auto"/>
              <w:bottom w:val="nil"/>
              <w:right w:val="single" w:sz="4" w:space="0" w:color="auto"/>
            </w:tcBorders>
            <w:shd w:val="clear" w:color="000000" w:fill="FFD85B"/>
            <w:noWrap/>
            <w:vAlign w:val="bottom"/>
            <w:hideMark/>
          </w:tcPr>
          <w:p w14:paraId="37620DF0" w14:textId="77777777" w:rsidR="00165A84" w:rsidRPr="00165A84" w:rsidRDefault="00165A84" w:rsidP="00165A84">
            <w:pPr>
              <w:jc w:val="right"/>
              <w:rPr>
                <w:sz w:val="20"/>
              </w:rPr>
            </w:pPr>
            <w:r w:rsidRPr="00165A84">
              <w:rPr>
                <w:sz w:val="20"/>
              </w:rPr>
              <w:t>25.84%</w:t>
            </w:r>
          </w:p>
        </w:tc>
        <w:tc>
          <w:tcPr>
            <w:tcW w:w="980" w:type="dxa"/>
            <w:tcBorders>
              <w:top w:val="nil"/>
              <w:left w:val="nil"/>
              <w:bottom w:val="nil"/>
              <w:right w:val="single" w:sz="4" w:space="0" w:color="auto"/>
            </w:tcBorders>
            <w:shd w:val="clear" w:color="000000" w:fill="FFD85B"/>
            <w:noWrap/>
            <w:vAlign w:val="bottom"/>
            <w:hideMark/>
          </w:tcPr>
          <w:p w14:paraId="47BD9351" w14:textId="77777777" w:rsidR="00165A84" w:rsidRPr="00165A84" w:rsidRDefault="00165A84" w:rsidP="00165A84">
            <w:pPr>
              <w:jc w:val="right"/>
              <w:rPr>
                <w:sz w:val="20"/>
              </w:rPr>
            </w:pPr>
            <w:r w:rsidRPr="00165A84">
              <w:rPr>
                <w:sz w:val="20"/>
              </w:rPr>
              <w:t>25.84%</w:t>
            </w:r>
          </w:p>
        </w:tc>
        <w:tc>
          <w:tcPr>
            <w:tcW w:w="980" w:type="dxa"/>
            <w:tcBorders>
              <w:top w:val="nil"/>
              <w:left w:val="nil"/>
              <w:bottom w:val="nil"/>
              <w:right w:val="single" w:sz="4" w:space="0" w:color="auto"/>
            </w:tcBorders>
            <w:shd w:val="clear" w:color="000000" w:fill="FFD85B"/>
            <w:noWrap/>
            <w:vAlign w:val="bottom"/>
            <w:hideMark/>
          </w:tcPr>
          <w:p w14:paraId="4EC9702E" w14:textId="77777777" w:rsidR="00165A84" w:rsidRPr="00165A84" w:rsidRDefault="00165A84" w:rsidP="00165A84">
            <w:pPr>
              <w:jc w:val="right"/>
              <w:rPr>
                <w:sz w:val="20"/>
              </w:rPr>
            </w:pPr>
            <w:r w:rsidRPr="00165A84">
              <w:rPr>
                <w:sz w:val="20"/>
              </w:rPr>
              <w:t>25.84%</w:t>
            </w:r>
          </w:p>
        </w:tc>
      </w:tr>
      <w:tr w:rsidR="00165A84" w:rsidRPr="00165A84" w14:paraId="752291C9"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01723EE2"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6E3212C" w14:textId="50E49D95" w:rsidR="00165A84" w:rsidRPr="00165A84" w:rsidRDefault="00165A84" w:rsidP="00165A84">
            <w:pPr>
              <w:rPr>
                <w:sz w:val="20"/>
              </w:rPr>
            </w:pPr>
            <w:r w:rsidRPr="00165A84">
              <w:rPr>
                <w:sz w:val="20"/>
              </w:rPr>
              <w:t>104,492</w:t>
            </w:r>
          </w:p>
        </w:tc>
        <w:tc>
          <w:tcPr>
            <w:tcW w:w="980" w:type="dxa"/>
            <w:tcBorders>
              <w:top w:val="nil"/>
              <w:left w:val="nil"/>
              <w:bottom w:val="single" w:sz="4" w:space="0" w:color="auto"/>
              <w:right w:val="single" w:sz="4" w:space="0" w:color="auto"/>
            </w:tcBorders>
            <w:shd w:val="clear" w:color="auto" w:fill="auto"/>
            <w:noWrap/>
            <w:vAlign w:val="bottom"/>
            <w:hideMark/>
          </w:tcPr>
          <w:p w14:paraId="227C49E3" w14:textId="6B3FA797" w:rsidR="00165A84" w:rsidRPr="00165A84" w:rsidRDefault="00165A84" w:rsidP="00165A84">
            <w:pPr>
              <w:rPr>
                <w:sz w:val="20"/>
              </w:rPr>
            </w:pPr>
            <w:r w:rsidRPr="00165A84">
              <w:rPr>
                <w:sz w:val="20"/>
              </w:rPr>
              <w:t>21,296</w:t>
            </w:r>
          </w:p>
        </w:tc>
        <w:tc>
          <w:tcPr>
            <w:tcW w:w="980" w:type="dxa"/>
            <w:tcBorders>
              <w:top w:val="nil"/>
              <w:left w:val="nil"/>
              <w:bottom w:val="single" w:sz="4" w:space="0" w:color="auto"/>
              <w:right w:val="single" w:sz="4" w:space="0" w:color="auto"/>
            </w:tcBorders>
            <w:shd w:val="clear" w:color="000000" w:fill="FFD85B"/>
            <w:noWrap/>
            <w:vAlign w:val="bottom"/>
            <w:hideMark/>
          </w:tcPr>
          <w:p w14:paraId="152B5196" w14:textId="29D82AC3" w:rsidR="00165A84" w:rsidRPr="00165A84" w:rsidRDefault="00165A84" w:rsidP="00165A84">
            <w:pPr>
              <w:rPr>
                <w:sz w:val="20"/>
              </w:rPr>
            </w:pPr>
            <w:r w:rsidRPr="00165A84">
              <w:rPr>
                <w:sz w:val="20"/>
              </w:rPr>
              <w:t>11,575</w:t>
            </w:r>
          </w:p>
        </w:tc>
        <w:tc>
          <w:tcPr>
            <w:tcW w:w="980" w:type="dxa"/>
            <w:tcBorders>
              <w:top w:val="nil"/>
              <w:left w:val="nil"/>
              <w:bottom w:val="single" w:sz="4" w:space="0" w:color="auto"/>
              <w:right w:val="single" w:sz="4" w:space="0" w:color="auto"/>
            </w:tcBorders>
            <w:shd w:val="clear" w:color="000000" w:fill="FFD85B"/>
            <w:noWrap/>
            <w:vAlign w:val="bottom"/>
            <w:hideMark/>
          </w:tcPr>
          <w:p w14:paraId="39E5A798" w14:textId="70286DCF" w:rsidR="00165A84" w:rsidRPr="00165A84" w:rsidRDefault="00165A84" w:rsidP="00165A84">
            <w:pPr>
              <w:rPr>
                <w:sz w:val="20"/>
              </w:rPr>
            </w:pPr>
            <w:r w:rsidRPr="00165A84">
              <w:rPr>
                <w:sz w:val="20"/>
              </w:rPr>
              <w:t>9,921</w:t>
            </w:r>
          </w:p>
        </w:tc>
        <w:tc>
          <w:tcPr>
            <w:tcW w:w="980" w:type="dxa"/>
            <w:tcBorders>
              <w:top w:val="nil"/>
              <w:left w:val="nil"/>
              <w:bottom w:val="single" w:sz="4" w:space="0" w:color="auto"/>
              <w:right w:val="single" w:sz="4" w:space="0" w:color="auto"/>
            </w:tcBorders>
            <w:shd w:val="clear" w:color="000000" w:fill="FFD85B"/>
            <w:noWrap/>
            <w:vAlign w:val="bottom"/>
            <w:hideMark/>
          </w:tcPr>
          <w:p w14:paraId="3A5B47FA" w14:textId="0EE454F5" w:rsidR="00165A84" w:rsidRPr="00165A84" w:rsidRDefault="00165A84" w:rsidP="00165A84">
            <w:pPr>
              <w:rPr>
                <w:sz w:val="20"/>
              </w:rPr>
            </w:pPr>
            <w:r w:rsidRPr="00165A84">
              <w:rPr>
                <w:sz w:val="20"/>
              </w:rPr>
              <w:t>585</w:t>
            </w:r>
          </w:p>
        </w:tc>
        <w:tc>
          <w:tcPr>
            <w:tcW w:w="980" w:type="dxa"/>
            <w:tcBorders>
              <w:top w:val="nil"/>
              <w:left w:val="nil"/>
              <w:bottom w:val="single" w:sz="4" w:space="0" w:color="auto"/>
              <w:right w:val="single" w:sz="4" w:space="0" w:color="auto"/>
            </w:tcBorders>
            <w:shd w:val="clear" w:color="000000" w:fill="FFD85B"/>
            <w:noWrap/>
            <w:vAlign w:val="bottom"/>
            <w:hideMark/>
          </w:tcPr>
          <w:p w14:paraId="5AE50435" w14:textId="1FB5B381" w:rsidR="00165A84" w:rsidRPr="00165A84" w:rsidRDefault="00165A84" w:rsidP="00165A84">
            <w:pPr>
              <w:rPr>
                <w:sz w:val="20"/>
              </w:rPr>
            </w:pPr>
            <w:r w:rsidRPr="00165A84">
              <w:rPr>
                <w:sz w:val="20"/>
              </w:rPr>
              <w:t>1,068</w:t>
            </w:r>
          </w:p>
        </w:tc>
        <w:tc>
          <w:tcPr>
            <w:tcW w:w="980" w:type="dxa"/>
            <w:tcBorders>
              <w:top w:val="nil"/>
              <w:left w:val="nil"/>
              <w:bottom w:val="single" w:sz="4" w:space="0" w:color="auto"/>
              <w:right w:val="single" w:sz="4" w:space="0" w:color="auto"/>
            </w:tcBorders>
            <w:shd w:val="clear" w:color="000000" w:fill="FFD85B"/>
            <w:noWrap/>
            <w:vAlign w:val="bottom"/>
            <w:hideMark/>
          </w:tcPr>
          <w:p w14:paraId="1EDF3C8C" w14:textId="31DD9EB5" w:rsidR="00165A84" w:rsidRPr="00165A84" w:rsidRDefault="00165A84" w:rsidP="00165A84">
            <w:pPr>
              <w:rPr>
                <w:sz w:val="20"/>
              </w:rPr>
            </w:pPr>
            <w:r w:rsidRPr="00165A84">
              <w:rPr>
                <w:sz w:val="20"/>
              </w:rPr>
              <w:t>9,721</w:t>
            </w:r>
          </w:p>
        </w:tc>
      </w:tr>
      <w:tr w:rsidR="00165A84" w:rsidRPr="00165A84" w14:paraId="2A36A5C4" w14:textId="77777777" w:rsidTr="00165A8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4A3FBE6F" w14:textId="199A67FE" w:rsidR="00165A84" w:rsidRPr="00165A84" w:rsidRDefault="00165A84" w:rsidP="00165A84">
            <w:pPr>
              <w:rPr>
                <w:sz w:val="20"/>
              </w:rPr>
            </w:pPr>
            <w:r w:rsidRPr="00165A84">
              <w:rPr>
                <w:sz w:val="20"/>
              </w:rPr>
              <w:t xml:space="preserve">Older Adults </w:t>
            </w:r>
            <w:r w:rsidR="00240C80">
              <w:rPr>
                <w:sz w:val="20"/>
              </w:rPr>
              <w:t>26+</w:t>
            </w:r>
            <w:r w:rsidR="00077E77">
              <w:rPr>
                <w:sz w:val="20"/>
              </w:rPr>
              <w:t xml:space="preserve"> </w:t>
            </w:r>
            <w:r w:rsidRPr="00165A8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0A799041" w14:textId="1E1E4944"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749FBE9D" w14:textId="0AED826F"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F60854C" w14:textId="54B18FCD"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4E67C9E" w14:textId="3AE67D25"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947823B" w14:textId="375BCDD5"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075BDA31" w14:textId="57F4329A"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69CE4B96" w14:textId="4E463010" w:rsidR="00165A84" w:rsidRPr="00165A84" w:rsidRDefault="00165A84" w:rsidP="00165A84">
            <w:pPr>
              <w:rPr>
                <w:sz w:val="20"/>
              </w:rPr>
            </w:pPr>
          </w:p>
        </w:tc>
      </w:tr>
      <w:tr w:rsidR="00165A84" w:rsidRPr="00165A84" w14:paraId="68DC3A21"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0D8215BD"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288BCB7" w14:textId="77777777" w:rsidR="00165A84" w:rsidRPr="00165A84" w:rsidRDefault="00165A84" w:rsidP="00165A84">
            <w:pPr>
              <w:jc w:val="right"/>
              <w:rPr>
                <w:sz w:val="20"/>
              </w:rPr>
            </w:pPr>
            <w:r w:rsidRPr="00165A84">
              <w:rPr>
                <w:sz w:val="20"/>
              </w:rPr>
              <w:t>3,077,467</w:t>
            </w:r>
          </w:p>
        </w:tc>
        <w:tc>
          <w:tcPr>
            <w:tcW w:w="980" w:type="dxa"/>
            <w:tcBorders>
              <w:top w:val="nil"/>
              <w:left w:val="nil"/>
              <w:bottom w:val="nil"/>
              <w:right w:val="nil"/>
            </w:tcBorders>
            <w:shd w:val="clear" w:color="auto" w:fill="auto"/>
            <w:noWrap/>
            <w:vAlign w:val="bottom"/>
            <w:hideMark/>
          </w:tcPr>
          <w:p w14:paraId="62BC9624" w14:textId="77777777" w:rsidR="00165A84" w:rsidRPr="00165A84" w:rsidRDefault="00165A84" w:rsidP="00165A84">
            <w:pPr>
              <w:jc w:val="right"/>
              <w:rPr>
                <w:sz w:val="20"/>
              </w:rPr>
            </w:pPr>
            <w:r w:rsidRPr="00165A8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77D8BEDD" w14:textId="77777777" w:rsidR="00165A84" w:rsidRPr="00165A84" w:rsidRDefault="00165A84" w:rsidP="00165A84">
            <w:pPr>
              <w:jc w:val="right"/>
              <w:rPr>
                <w:sz w:val="20"/>
              </w:rPr>
            </w:pPr>
            <w:r w:rsidRPr="00165A84">
              <w:rPr>
                <w:sz w:val="20"/>
              </w:rPr>
              <w:t>320,039</w:t>
            </w:r>
          </w:p>
        </w:tc>
        <w:tc>
          <w:tcPr>
            <w:tcW w:w="980" w:type="dxa"/>
            <w:tcBorders>
              <w:top w:val="nil"/>
              <w:left w:val="nil"/>
              <w:bottom w:val="nil"/>
              <w:right w:val="nil"/>
            </w:tcBorders>
            <w:shd w:val="clear" w:color="auto" w:fill="auto"/>
            <w:noWrap/>
            <w:vAlign w:val="bottom"/>
            <w:hideMark/>
          </w:tcPr>
          <w:p w14:paraId="511F11AE" w14:textId="77777777" w:rsidR="00165A84" w:rsidRPr="00165A84" w:rsidRDefault="00165A84" w:rsidP="00165A84">
            <w:pPr>
              <w:jc w:val="right"/>
              <w:rPr>
                <w:sz w:val="20"/>
              </w:rPr>
            </w:pPr>
            <w:r w:rsidRPr="00165A8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2FF6218B" w14:textId="77777777" w:rsidR="00165A84" w:rsidRPr="00165A84" w:rsidRDefault="00165A84" w:rsidP="00165A84">
            <w:pPr>
              <w:jc w:val="right"/>
              <w:rPr>
                <w:sz w:val="20"/>
              </w:rPr>
            </w:pPr>
            <w:r w:rsidRPr="00165A84">
              <w:rPr>
                <w:sz w:val="20"/>
              </w:rPr>
              <w:t>14,956</w:t>
            </w:r>
          </w:p>
        </w:tc>
        <w:tc>
          <w:tcPr>
            <w:tcW w:w="980" w:type="dxa"/>
            <w:tcBorders>
              <w:top w:val="nil"/>
              <w:left w:val="nil"/>
              <w:bottom w:val="nil"/>
              <w:right w:val="single" w:sz="4" w:space="0" w:color="auto"/>
            </w:tcBorders>
            <w:shd w:val="clear" w:color="auto" w:fill="auto"/>
            <w:noWrap/>
            <w:vAlign w:val="bottom"/>
            <w:hideMark/>
          </w:tcPr>
          <w:p w14:paraId="1071A977" w14:textId="77777777" w:rsidR="00165A84" w:rsidRPr="00165A84" w:rsidRDefault="00165A84" w:rsidP="00165A84">
            <w:pPr>
              <w:jc w:val="right"/>
              <w:rPr>
                <w:sz w:val="20"/>
              </w:rPr>
            </w:pPr>
            <w:r w:rsidRPr="00165A84">
              <w:rPr>
                <w:sz w:val="20"/>
              </w:rPr>
              <w:t>30,611</w:t>
            </w:r>
          </w:p>
        </w:tc>
        <w:tc>
          <w:tcPr>
            <w:tcW w:w="980" w:type="dxa"/>
            <w:tcBorders>
              <w:top w:val="nil"/>
              <w:left w:val="nil"/>
              <w:bottom w:val="nil"/>
              <w:right w:val="single" w:sz="4" w:space="0" w:color="auto"/>
            </w:tcBorders>
            <w:shd w:val="clear" w:color="auto" w:fill="auto"/>
            <w:noWrap/>
            <w:vAlign w:val="bottom"/>
            <w:hideMark/>
          </w:tcPr>
          <w:p w14:paraId="737EF725" w14:textId="77777777" w:rsidR="00165A84" w:rsidRPr="00165A84" w:rsidRDefault="00165A84" w:rsidP="00165A84">
            <w:pPr>
              <w:jc w:val="right"/>
              <w:rPr>
                <w:sz w:val="20"/>
              </w:rPr>
            </w:pPr>
            <w:r w:rsidRPr="00165A84">
              <w:rPr>
                <w:sz w:val="20"/>
              </w:rPr>
              <w:t>299,579</w:t>
            </w:r>
          </w:p>
        </w:tc>
      </w:tr>
      <w:tr w:rsidR="00165A84" w:rsidRPr="00165A84" w14:paraId="091367DA"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3AEEF35"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491BC1AF" w14:textId="77777777" w:rsidR="00165A84" w:rsidRPr="00165A84" w:rsidRDefault="00165A84" w:rsidP="00165A84">
            <w:pPr>
              <w:jc w:val="right"/>
              <w:rPr>
                <w:sz w:val="20"/>
              </w:rPr>
            </w:pPr>
            <w:r w:rsidRPr="00165A84">
              <w:rPr>
                <w:sz w:val="20"/>
              </w:rPr>
              <w:t>7.65%</w:t>
            </w:r>
          </w:p>
        </w:tc>
        <w:tc>
          <w:tcPr>
            <w:tcW w:w="980" w:type="dxa"/>
            <w:tcBorders>
              <w:top w:val="nil"/>
              <w:left w:val="nil"/>
              <w:bottom w:val="nil"/>
              <w:right w:val="single" w:sz="4" w:space="0" w:color="auto"/>
            </w:tcBorders>
            <w:shd w:val="clear" w:color="auto" w:fill="auto"/>
            <w:noWrap/>
            <w:vAlign w:val="bottom"/>
            <w:hideMark/>
          </w:tcPr>
          <w:p w14:paraId="48E232F6" w14:textId="77777777" w:rsidR="00165A84" w:rsidRPr="00165A84" w:rsidRDefault="00165A84" w:rsidP="00165A84">
            <w:pPr>
              <w:jc w:val="right"/>
              <w:rPr>
                <w:sz w:val="20"/>
              </w:rPr>
            </w:pPr>
            <w:r w:rsidRPr="00165A84">
              <w:rPr>
                <w:sz w:val="20"/>
              </w:rPr>
              <w:t>10.16%</w:t>
            </w:r>
          </w:p>
        </w:tc>
        <w:tc>
          <w:tcPr>
            <w:tcW w:w="980" w:type="dxa"/>
            <w:tcBorders>
              <w:top w:val="nil"/>
              <w:left w:val="nil"/>
              <w:bottom w:val="nil"/>
              <w:right w:val="single" w:sz="4" w:space="0" w:color="auto"/>
            </w:tcBorders>
            <w:shd w:val="clear" w:color="auto" w:fill="auto"/>
            <w:noWrap/>
            <w:vAlign w:val="bottom"/>
            <w:hideMark/>
          </w:tcPr>
          <w:p w14:paraId="28C9DFC9" w14:textId="77777777" w:rsidR="00165A84" w:rsidRPr="00165A84" w:rsidRDefault="00165A84" w:rsidP="00165A84">
            <w:pPr>
              <w:jc w:val="right"/>
              <w:rPr>
                <w:sz w:val="20"/>
              </w:rPr>
            </w:pPr>
            <w:r w:rsidRPr="00165A84">
              <w:rPr>
                <w:sz w:val="20"/>
              </w:rPr>
              <w:t>12.34%</w:t>
            </w:r>
          </w:p>
        </w:tc>
        <w:tc>
          <w:tcPr>
            <w:tcW w:w="980" w:type="dxa"/>
            <w:tcBorders>
              <w:top w:val="nil"/>
              <w:left w:val="nil"/>
              <w:bottom w:val="nil"/>
              <w:right w:val="nil"/>
            </w:tcBorders>
            <w:shd w:val="clear" w:color="auto" w:fill="auto"/>
            <w:noWrap/>
            <w:vAlign w:val="bottom"/>
            <w:hideMark/>
          </w:tcPr>
          <w:p w14:paraId="639AE262" w14:textId="77777777" w:rsidR="00165A84" w:rsidRPr="00165A84" w:rsidRDefault="00165A84" w:rsidP="00165A84">
            <w:pPr>
              <w:jc w:val="right"/>
              <w:rPr>
                <w:sz w:val="20"/>
              </w:rPr>
            </w:pPr>
            <w:r w:rsidRPr="00165A84">
              <w:rPr>
                <w:sz w:val="20"/>
              </w:rPr>
              <w:t>12.34%</w:t>
            </w:r>
          </w:p>
        </w:tc>
        <w:tc>
          <w:tcPr>
            <w:tcW w:w="980" w:type="dxa"/>
            <w:tcBorders>
              <w:top w:val="nil"/>
              <w:left w:val="single" w:sz="4" w:space="0" w:color="auto"/>
              <w:bottom w:val="nil"/>
              <w:right w:val="single" w:sz="4" w:space="0" w:color="auto"/>
            </w:tcBorders>
            <w:shd w:val="clear" w:color="auto" w:fill="auto"/>
            <w:noWrap/>
            <w:vAlign w:val="bottom"/>
            <w:hideMark/>
          </w:tcPr>
          <w:p w14:paraId="47EBA490" w14:textId="77777777" w:rsidR="00165A84" w:rsidRPr="00165A84" w:rsidRDefault="00165A84" w:rsidP="00165A84">
            <w:pPr>
              <w:jc w:val="right"/>
              <w:rPr>
                <w:sz w:val="20"/>
              </w:rPr>
            </w:pPr>
            <w:r w:rsidRPr="00165A84">
              <w:rPr>
                <w:sz w:val="20"/>
              </w:rPr>
              <w:t>12.34%</w:t>
            </w:r>
          </w:p>
        </w:tc>
        <w:tc>
          <w:tcPr>
            <w:tcW w:w="980" w:type="dxa"/>
            <w:tcBorders>
              <w:top w:val="nil"/>
              <w:left w:val="nil"/>
              <w:bottom w:val="nil"/>
              <w:right w:val="single" w:sz="4" w:space="0" w:color="auto"/>
            </w:tcBorders>
            <w:shd w:val="clear" w:color="auto" w:fill="auto"/>
            <w:noWrap/>
            <w:vAlign w:val="bottom"/>
            <w:hideMark/>
          </w:tcPr>
          <w:p w14:paraId="361515C9" w14:textId="77777777" w:rsidR="00165A84" w:rsidRPr="00165A84" w:rsidRDefault="00165A84" w:rsidP="00165A84">
            <w:pPr>
              <w:jc w:val="right"/>
              <w:rPr>
                <w:sz w:val="20"/>
              </w:rPr>
            </w:pPr>
            <w:r w:rsidRPr="00165A84">
              <w:rPr>
                <w:sz w:val="20"/>
              </w:rPr>
              <w:t>12.34%</w:t>
            </w:r>
          </w:p>
        </w:tc>
        <w:tc>
          <w:tcPr>
            <w:tcW w:w="980" w:type="dxa"/>
            <w:tcBorders>
              <w:top w:val="nil"/>
              <w:left w:val="nil"/>
              <w:bottom w:val="nil"/>
              <w:right w:val="single" w:sz="4" w:space="0" w:color="auto"/>
            </w:tcBorders>
            <w:shd w:val="clear" w:color="auto" w:fill="auto"/>
            <w:noWrap/>
            <w:vAlign w:val="bottom"/>
            <w:hideMark/>
          </w:tcPr>
          <w:p w14:paraId="61F181F4" w14:textId="77777777" w:rsidR="00165A84" w:rsidRPr="00165A84" w:rsidRDefault="00165A84" w:rsidP="00165A84">
            <w:pPr>
              <w:jc w:val="right"/>
              <w:rPr>
                <w:sz w:val="20"/>
              </w:rPr>
            </w:pPr>
            <w:r w:rsidRPr="00165A84">
              <w:rPr>
                <w:sz w:val="20"/>
              </w:rPr>
              <w:t>7.71%</w:t>
            </w:r>
          </w:p>
        </w:tc>
      </w:tr>
      <w:tr w:rsidR="00165A84" w:rsidRPr="00165A84" w14:paraId="236B511D"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4883D37D"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4552C38" w14:textId="365B412F" w:rsidR="00165A84" w:rsidRPr="00165A84" w:rsidRDefault="00165A84" w:rsidP="00165A84">
            <w:pPr>
              <w:rPr>
                <w:sz w:val="20"/>
              </w:rPr>
            </w:pPr>
            <w:r w:rsidRPr="00165A84">
              <w:rPr>
                <w:sz w:val="20"/>
              </w:rPr>
              <w:t>235,382</w:t>
            </w:r>
          </w:p>
        </w:tc>
        <w:tc>
          <w:tcPr>
            <w:tcW w:w="980" w:type="dxa"/>
            <w:tcBorders>
              <w:top w:val="nil"/>
              <w:left w:val="nil"/>
              <w:bottom w:val="single" w:sz="4" w:space="0" w:color="auto"/>
              <w:right w:val="single" w:sz="4" w:space="0" w:color="auto"/>
            </w:tcBorders>
            <w:shd w:val="clear" w:color="auto" w:fill="auto"/>
            <w:noWrap/>
            <w:vAlign w:val="bottom"/>
            <w:hideMark/>
          </w:tcPr>
          <w:p w14:paraId="528E1099" w14:textId="34534606" w:rsidR="00165A84" w:rsidRPr="00165A84" w:rsidRDefault="00165A84" w:rsidP="00165A84">
            <w:pPr>
              <w:rPr>
                <w:sz w:val="20"/>
              </w:rPr>
            </w:pPr>
            <w:r w:rsidRPr="00165A84">
              <w:rPr>
                <w:sz w:val="20"/>
              </w:rPr>
              <w:t>62,942</w:t>
            </w:r>
          </w:p>
        </w:tc>
        <w:tc>
          <w:tcPr>
            <w:tcW w:w="980" w:type="dxa"/>
            <w:tcBorders>
              <w:top w:val="nil"/>
              <w:left w:val="nil"/>
              <w:bottom w:val="single" w:sz="4" w:space="0" w:color="auto"/>
              <w:right w:val="single" w:sz="4" w:space="0" w:color="auto"/>
            </w:tcBorders>
            <w:shd w:val="clear" w:color="auto" w:fill="auto"/>
            <w:noWrap/>
            <w:vAlign w:val="bottom"/>
            <w:hideMark/>
          </w:tcPr>
          <w:p w14:paraId="2F1F9686" w14:textId="6DFB0501" w:rsidR="00165A84" w:rsidRPr="00165A84" w:rsidRDefault="00165A84" w:rsidP="00165A84">
            <w:pPr>
              <w:rPr>
                <w:sz w:val="20"/>
              </w:rPr>
            </w:pPr>
            <w:r w:rsidRPr="00165A84">
              <w:rPr>
                <w:sz w:val="20"/>
              </w:rPr>
              <w:t>39,481</w:t>
            </w:r>
          </w:p>
        </w:tc>
        <w:tc>
          <w:tcPr>
            <w:tcW w:w="980" w:type="dxa"/>
            <w:tcBorders>
              <w:top w:val="nil"/>
              <w:left w:val="nil"/>
              <w:bottom w:val="single" w:sz="4" w:space="0" w:color="auto"/>
              <w:right w:val="single" w:sz="4" w:space="0" w:color="auto"/>
            </w:tcBorders>
            <w:shd w:val="clear" w:color="auto" w:fill="auto"/>
            <w:noWrap/>
            <w:vAlign w:val="bottom"/>
            <w:hideMark/>
          </w:tcPr>
          <w:p w14:paraId="69DE5D75" w14:textId="792CB3EB" w:rsidR="00165A84" w:rsidRPr="00165A84" w:rsidRDefault="00165A84" w:rsidP="00165A84">
            <w:pPr>
              <w:rPr>
                <w:sz w:val="20"/>
              </w:rPr>
            </w:pPr>
            <w:r w:rsidRPr="00165A84">
              <w:rPr>
                <w:sz w:val="20"/>
              </w:rPr>
              <w:t>33,860</w:t>
            </w:r>
          </w:p>
        </w:tc>
        <w:tc>
          <w:tcPr>
            <w:tcW w:w="980" w:type="dxa"/>
            <w:tcBorders>
              <w:top w:val="nil"/>
              <w:left w:val="nil"/>
              <w:bottom w:val="single" w:sz="4" w:space="0" w:color="auto"/>
              <w:right w:val="single" w:sz="4" w:space="0" w:color="auto"/>
            </w:tcBorders>
            <w:shd w:val="clear" w:color="auto" w:fill="auto"/>
            <w:noWrap/>
            <w:vAlign w:val="bottom"/>
            <w:hideMark/>
          </w:tcPr>
          <w:p w14:paraId="12B435FC" w14:textId="31476DA2" w:rsidR="00165A84" w:rsidRPr="00165A84" w:rsidRDefault="00165A84" w:rsidP="00165A84">
            <w:pPr>
              <w:rPr>
                <w:sz w:val="20"/>
              </w:rPr>
            </w:pPr>
            <w:r w:rsidRPr="00165A84">
              <w:rPr>
                <w:sz w:val="20"/>
              </w:rPr>
              <w:t>1,845</w:t>
            </w:r>
          </w:p>
        </w:tc>
        <w:tc>
          <w:tcPr>
            <w:tcW w:w="980" w:type="dxa"/>
            <w:tcBorders>
              <w:top w:val="nil"/>
              <w:left w:val="nil"/>
              <w:bottom w:val="single" w:sz="4" w:space="0" w:color="auto"/>
              <w:right w:val="single" w:sz="4" w:space="0" w:color="auto"/>
            </w:tcBorders>
            <w:shd w:val="clear" w:color="auto" w:fill="auto"/>
            <w:noWrap/>
            <w:vAlign w:val="bottom"/>
            <w:hideMark/>
          </w:tcPr>
          <w:p w14:paraId="2687CE47" w14:textId="01527264" w:rsidR="00165A84" w:rsidRPr="00165A84" w:rsidRDefault="00165A84" w:rsidP="00165A84">
            <w:pPr>
              <w:rPr>
                <w:sz w:val="20"/>
              </w:rPr>
            </w:pPr>
            <w:r w:rsidRPr="00165A84">
              <w:rPr>
                <w:sz w:val="20"/>
              </w:rPr>
              <w:t>3,776</w:t>
            </w:r>
          </w:p>
        </w:tc>
        <w:tc>
          <w:tcPr>
            <w:tcW w:w="980" w:type="dxa"/>
            <w:tcBorders>
              <w:top w:val="nil"/>
              <w:left w:val="nil"/>
              <w:bottom w:val="single" w:sz="4" w:space="0" w:color="auto"/>
              <w:right w:val="single" w:sz="4" w:space="0" w:color="auto"/>
            </w:tcBorders>
            <w:shd w:val="clear" w:color="auto" w:fill="auto"/>
            <w:noWrap/>
            <w:vAlign w:val="bottom"/>
            <w:hideMark/>
          </w:tcPr>
          <w:p w14:paraId="43014971" w14:textId="0B7580C5" w:rsidR="00165A84" w:rsidRPr="00165A84" w:rsidRDefault="00165A84" w:rsidP="00165A84">
            <w:pPr>
              <w:rPr>
                <w:sz w:val="20"/>
              </w:rPr>
            </w:pPr>
            <w:r w:rsidRPr="00165A84">
              <w:rPr>
                <w:sz w:val="20"/>
              </w:rPr>
              <w:t>23,107</w:t>
            </w:r>
          </w:p>
        </w:tc>
      </w:tr>
      <w:tr w:rsidR="00165A84" w:rsidRPr="00165A84" w14:paraId="7426C23E"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7138FF0" w14:textId="77777777" w:rsidR="00165A84" w:rsidRPr="00165A84" w:rsidRDefault="00165A84" w:rsidP="00165A84">
            <w:pPr>
              <w:rPr>
                <w:sz w:val="20"/>
              </w:rPr>
            </w:pPr>
            <w:r w:rsidRPr="00165A8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7485D22F" w14:textId="35D9ADBB"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4CDD59C6"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2C9CEC7" w14:textId="7AEAA031"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730E9DED"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2CD940C" w14:textId="16108006"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73B54914" w14:textId="120C225A"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0CC1715D" w14:textId="768E84B3" w:rsidR="00165A84" w:rsidRPr="00165A84" w:rsidRDefault="00165A84" w:rsidP="00165A84">
            <w:pPr>
              <w:rPr>
                <w:sz w:val="20"/>
              </w:rPr>
            </w:pPr>
          </w:p>
        </w:tc>
      </w:tr>
      <w:tr w:rsidR="00165A84" w:rsidRPr="00165A84" w14:paraId="41FA3956"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0DF6ACFA"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B56AE63" w14:textId="77777777" w:rsidR="00165A84" w:rsidRPr="00165A84" w:rsidRDefault="00165A84" w:rsidP="00165A84">
            <w:pPr>
              <w:jc w:val="right"/>
              <w:rPr>
                <w:sz w:val="20"/>
              </w:rPr>
            </w:pPr>
            <w:r w:rsidRPr="00165A84">
              <w:rPr>
                <w:sz w:val="20"/>
              </w:rPr>
              <w:t>3,561,164</w:t>
            </w:r>
          </w:p>
        </w:tc>
        <w:tc>
          <w:tcPr>
            <w:tcW w:w="980" w:type="dxa"/>
            <w:tcBorders>
              <w:top w:val="nil"/>
              <w:left w:val="nil"/>
              <w:bottom w:val="nil"/>
              <w:right w:val="nil"/>
            </w:tcBorders>
            <w:shd w:val="clear" w:color="auto" w:fill="auto"/>
            <w:noWrap/>
            <w:vAlign w:val="bottom"/>
            <w:hideMark/>
          </w:tcPr>
          <w:p w14:paraId="576CF550" w14:textId="77777777" w:rsidR="00165A84" w:rsidRPr="00165A84" w:rsidRDefault="00165A84" w:rsidP="00165A84">
            <w:pPr>
              <w:jc w:val="right"/>
              <w:rPr>
                <w:sz w:val="20"/>
              </w:rPr>
            </w:pPr>
            <w:r w:rsidRPr="00165A8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0A0BE6BE" w14:textId="77777777" w:rsidR="00165A84" w:rsidRPr="00165A84" w:rsidRDefault="00165A84" w:rsidP="00165A84">
            <w:pPr>
              <w:jc w:val="right"/>
              <w:rPr>
                <w:sz w:val="20"/>
              </w:rPr>
            </w:pPr>
            <w:r w:rsidRPr="00165A84">
              <w:rPr>
                <w:sz w:val="20"/>
              </w:rPr>
              <w:t>364,829</w:t>
            </w:r>
          </w:p>
        </w:tc>
        <w:tc>
          <w:tcPr>
            <w:tcW w:w="980" w:type="dxa"/>
            <w:tcBorders>
              <w:top w:val="nil"/>
              <w:left w:val="nil"/>
              <w:bottom w:val="nil"/>
              <w:right w:val="nil"/>
            </w:tcBorders>
            <w:shd w:val="clear" w:color="auto" w:fill="auto"/>
            <w:noWrap/>
            <w:vAlign w:val="bottom"/>
            <w:hideMark/>
          </w:tcPr>
          <w:p w14:paraId="059FB0FD" w14:textId="77777777" w:rsidR="00165A84" w:rsidRPr="00165A84" w:rsidRDefault="00165A84" w:rsidP="00165A84">
            <w:pPr>
              <w:jc w:val="right"/>
              <w:rPr>
                <w:sz w:val="20"/>
              </w:rPr>
            </w:pPr>
            <w:r w:rsidRPr="00165A8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5A558298" w14:textId="77777777" w:rsidR="00165A84" w:rsidRPr="00165A84" w:rsidRDefault="00165A84" w:rsidP="00165A84">
            <w:pPr>
              <w:jc w:val="right"/>
              <w:rPr>
                <w:sz w:val="20"/>
              </w:rPr>
            </w:pPr>
            <w:r w:rsidRPr="00165A84">
              <w:rPr>
                <w:sz w:val="20"/>
              </w:rPr>
              <w:t>17,221</w:t>
            </w:r>
          </w:p>
        </w:tc>
        <w:tc>
          <w:tcPr>
            <w:tcW w:w="980" w:type="dxa"/>
            <w:tcBorders>
              <w:top w:val="nil"/>
              <w:left w:val="nil"/>
              <w:bottom w:val="nil"/>
              <w:right w:val="single" w:sz="4" w:space="0" w:color="auto"/>
            </w:tcBorders>
            <w:shd w:val="clear" w:color="auto" w:fill="auto"/>
            <w:noWrap/>
            <w:vAlign w:val="bottom"/>
            <w:hideMark/>
          </w:tcPr>
          <w:p w14:paraId="1D7FF343" w14:textId="77777777" w:rsidR="00165A84" w:rsidRPr="00165A84" w:rsidRDefault="00165A84" w:rsidP="00165A84">
            <w:pPr>
              <w:jc w:val="right"/>
              <w:rPr>
                <w:sz w:val="20"/>
              </w:rPr>
            </w:pPr>
            <w:r w:rsidRPr="00165A84">
              <w:rPr>
                <w:sz w:val="20"/>
              </w:rPr>
              <w:t>34,744</w:t>
            </w:r>
          </w:p>
        </w:tc>
        <w:tc>
          <w:tcPr>
            <w:tcW w:w="980" w:type="dxa"/>
            <w:tcBorders>
              <w:top w:val="nil"/>
              <w:left w:val="nil"/>
              <w:bottom w:val="nil"/>
              <w:right w:val="single" w:sz="4" w:space="0" w:color="auto"/>
            </w:tcBorders>
            <w:shd w:val="clear" w:color="auto" w:fill="auto"/>
            <w:noWrap/>
            <w:vAlign w:val="bottom"/>
            <w:hideMark/>
          </w:tcPr>
          <w:p w14:paraId="50A41659" w14:textId="77777777" w:rsidR="00165A84" w:rsidRPr="00165A84" w:rsidRDefault="00165A84" w:rsidP="00165A84">
            <w:pPr>
              <w:jc w:val="right"/>
              <w:rPr>
                <w:sz w:val="20"/>
              </w:rPr>
            </w:pPr>
            <w:r w:rsidRPr="00165A84">
              <w:rPr>
                <w:sz w:val="20"/>
              </w:rPr>
              <w:t>337,196</w:t>
            </w:r>
          </w:p>
        </w:tc>
      </w:tr>
      <w:tr w:rsidR="00165A84" w:rsidRPr="00165A84" w14:paraId="3BCF5333"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7766C63"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528EB21" w14:textId="77777777" w:rsidR="00165A84" w:rsidRPr="00165A84" w:rsidRDefault="00165A84" w:rsidP="00165A84">
            <w:pPr>
              <w:jc w:val="right"/>
              <w:rPr>
                <w:sz w:val="20"/>
              </w:rPr>
            </w:pPr>
            <w:r w:rsidRPr="00165A84">
              <w:rPr>
                <w:sz w:val="20"/>
              </w:rPr>
              <w:t>9.60%</w:t>
            </w:r>
          </w:p>
        </w:tc>
        <w:tc>
          <w:tcPr>
            <w:tcW w:w="980" w:type="dxa"/>
            <w:tcBorders>
              <w:top w:val="nil"/>
              <w:left w:val="nil"/>
              <w:bottom w:val="nil"/>
              <w:right w:val="single" w:sz="4" w:space="0" w:color="auto"/>
            </w:tcBorders>
            <w:shd w:val="clear" w:color="auto" w:fill="auto"/>
            <w:noWrap/>
            <w:vAlign w:val="bottom"/>
            <w:hideMark/>
          </w:tcPr>
          <w:p w14:paraId="1DD130AD" w14:textId="77777777" w:rsidR="00165A84" w:rsidRPr="00165A84" w:rsidRDefault="00165A84" w:rsidP="00165A84">
            <w:pPr>
              <w:jc w:val="right"/>
              <w:rPr>
                <w:sz w:val="20"/>
              </w:rPr>
            </w:pPr>
            <w:r w:rsidRPr="00165A84">
              <w:rPr>
                <w:sz w:val="20"/>
              </w:rPr>
              <w:t>12.17%</w:t>
            </w:r>
          </w:p>
        </w:tc>
        <w:tc>
          <w:tcPr>
            <w:tcW w:w="980" w:type="dxa"/>
            <w:tcBorders>
              <w:top w:val="nil"/>
              <w:left w:val="nil"/>
              <w:bottom w:val="nil"/>
              <w:right w:val="single" w:sz="4" w:space="0" w:color="auto"/>
            </w:tcBorders>
            <w:shd w:val="clear" w:color="auto" w:fill="auto"/>
            <w:noWrap/>
            <w:vAlign w:val="bottom"/>
            <w:hideMark/>
          </w:tcPr>
          <w:p w14:paraId="7D450E99" w14:textId="77777777" w:rsidR="00165A84" w:rsidRPr="00165A84" w:rsidRDefault="00165A84" w:rsidP="00165A84">
            <w:pPr>
              <w:jc w:val="right"/>
              <w:rPr>
                <w:sz w:val="20"/>
              </w:rPr>
            </w:pPr>
            <w:r w:rsidRPr="00165A84">
              <w:rPr>
                <w:sz w:val="20"/>
              </w:rPr>
              <w:t>14.82%</w:t>
            </w:r>
          </w:p>
        </w:tc>
        <w:tc>
          <w:tcPr>
            <w:tcW w:w="980" w:type="dxa"/>
            <w:tcBorders>
              <w:top w:val="nil"/>
              <w:left w:val="nil"/>
              <w:bottom w:val="nil"/>
              <w:right w:val="nil"/>
            </w:tcBorders>
            <w:shd w:val="clear" w:color="auto" w:fill="auto"/>
            <w:noWrap/>
            <w:vAlign w:val="bottom"/>
            <w:hideMark/>
          </w:tcPr>
          <w:p w14:paraId="5D4DF4CC" w14:textId="77777777" w:rsidR="00165A84" w:rsidRPr="00165A84" w:rsidRDefault="00165A84" w:rsidP="00165A84">
            <w:pPr>
              <w:jc w:val="right"/>
              <w:rPr>
                <w:sz w:val="20"/>
              </w:rPr>
            </w:pPr>
            <w:r w:rsidRPr="00165A84">
              <w:rPr>
                <w:sz w:val="20"/>
              </w:rPr>
              <w:t>14.82%</w:t>
            </w:r>
          </w:p>
        </w:tc>
        <w:tc>
          <w:tcPr>
            <w:tcW w:w="980" w:type="dxa"/>
            <w:tcBorders>
              <w:top w:val="nil"/>
              <w:left w:val="single" w:sz="4" w:space="0" w:color="auto"/>
              <w:bottom w:val="nil"/>
              <w:right w:val="single" w:sz="4" w:space="0" w:color="auto"/>
            </w:tcBorders>
            <w:shd w:val="clear" w:color="auto" w:fill="auto"/>
            <w:noWrap/>
            <w:vAlign w:val="bottom"/>
            <w:hideMark/>
          </w:tcPr>
          <w:p w14:paraId="12B521A2" w14:textId="77777777" w:rsidR="00165A84" w:rsidRPr="00165A84" w:rsidRDefault="00165A84" w:rsidP="00165A84">
            <w:pPr>
              <w:jc w:val="right"/>
              <w:rPr>
                <w:sz w:val="20"/>
              </w:rPr>
            </w:pPr>
            <w:r w:rsidRPr="00165A84">
              <w:rPr>
                <w:sz w:val="20"/>
              </w:rPr>
              <w:t>14.82%</w:t>
            </w:r>
          </w:p>
        </w:tc>
        <w:tc>
          <w:tcPr>
            <w:tcW w:w="980" w:type="dxa"/>
            <w:tcBorders>
              <w:top w:val="nil"/>
              <w:left w:val="nil"/>
              <w:bottom w:val="nil"/>
              <w:right w:val="single" w:sz="4" w:space="0" w:color="auto"/>
            </w:tcBorders>
            <w:shd w:val="clear" w:color="auto" w:fill="auto"/>
            <w:noWrap/>
            <w:vAlign w:val="bottom"/>
            <w:hideMark/>
          </w:tcPr>
          <w:p w14:paraId="49D8106E" w14:textId="77777777" w:rsidR="00165A84" w:rsidRPr="00165A84" w:rsidRDefault="00165A84" w:rsidP="00165A84">
            <w:pPr>
              <w:jc w:val="right"/>
              <w:rPr>
                <w:sz w:val="20"/>
              </w:rPr>
            </w:pPr>
            <w:r w:rsidRPr="00165A84">
              <w:rPr>
                <w:sz w:val="20"/>
              </w:rPr>
              <w:t>14.82%</w:t>
            </w:r>
          </w:p>
        </w:tc>
        <w:tc>
          <w:tcPr>
            <w:tcW w:w="980" w:type="dxa"/>
            <w:tcBorders>
              <w:top w:val="nil"/>
              <w:left w:val="nil"/>
              <w:bottom w:val="nil"/>
              <w:right w:val="single" w:sz="4" w:space="0" w:color="auto"/>
            </w:tcBorders>
            <w:shd w:val="clear" w:color="auto" w:fill="auto"/>
            <w:noWrap/>
            <w:vAlign w:val="bottom"/>
            <w:hideMark/>
          </w:tcPr>
          <w:p w14:paraId="00FB17DE" w14:textId="77777777" w:rsidR="00165A84" w:rsidRPr="00165A84" w:rsidRDefault="00165A84" w:rsidP="00165A84">
            <w:pPr>
              <w:jc w:val="right"/>
              <w:rPr>
                <w:sz w:val="20"/>
              </w:rPr>
            </w:pPr>
            <w:r w:rsidRPr="00165A84">
              <w:rPr>
                <w:sz w:val="20"/>
              </w:rPr>
              <w:t>9.11%</w:t>
            </w:r>
          </w:p>
        </w:tc>
      </w:tr>
      <w:tr w:rsidR="00165A84" w:rsidRPr="00165A84" w14:paraId="0BA2A4F3"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BB7A42C"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F21E65A" w14:textId="331A3F3C" w:rsidR="00165A84" w:rsidRPr="00165A84" w:rsidRDefault="00165A84" w:rsidP="00165A84">
            <w:pPr>
              <w:rPr>
                <w:sz w:val="20"/>
              </w:rPr>
            </w:pPr>
            <w:r w:rsidRPr="00165A84">
              <w:rPr>
                <w:sz w:val="20"/>
              </w:rPr>
              <w:t>341,899</w:t>
            </w:r>
          </w:p>
        </w:tc>
        <w:tc>
          <w:tcPr>
            <w:tcW w:w="980" w:type="dxa"/>
            <w:tcBorders>
              <w:top w:val="nil"/>
              <w:left w:val="nil"/>
              <w:bottom w:val="single" w:sz="4" w:space="0" w:color="auto"/>
              <w:right w:val="single" w:sz="4" w:space="0" w:color="auto"/>
            </w:tcBorders>
            <w:shd w:val="clear" w:color="auto" w:fill="auto"/>
            <w:noWrap/>
            <w:vAlign w:val="bottom"/>
            <w:hideMark/>
          </w:tcPr>
          <w:p w14:paraId="028EF7A5" w14:textId="77200C3F" w:rsidR="00165A84" w:rsidRPr="00165A84" w:rsidRDefault="00165A84" w:rsidP="00165A84">
            <w:pPr>
              <w:rPr>
                <w:sz w:val="20"/>
              </w:rPr>
            </w:pPr>
            <w:r w:rsidRPr="00165A84">
              <w:rPr>
                <w:sz w:val="20"/>
              </w:rPr>
              <w:t>85,453</w:t>
            </w:r>
          </w:p>
        </w:tc>
        <w:tc>
          <w:tcPr>
            <w:tcW w:w="980" w:type="dxa"/>
            <w:tcBorders>
              <w:top w:val="nil"/>
              <w:left w:val="nil"/>
              <w:bottom w:val="single" w:sz="4" w:space="0" w:color="auto"/>
              <w:right w:val="single" w:sz="4" w:space="0" w:color="auto"/>
            </w:tcBorders>
            <w:shd w:val="clear" w:color="auto" w:fill="auto"/>
            <w:noWrap/>
            <w:vAlign w:val="bottom"/>
            <w:hideMark/>
          </w:tcPr>
          <w:p w14:paraId="41BF2C9D" w14:textId="29072208" w:rsidR="00165A84" w:rsidRPr="00165A84" w:rsidRDefault="00165A84" w:rsidP="00165A84">
            <w:pPr>
              <w:rPr>
                <w:sz w:val="20"/>
              </w:rPr>
            </w:pPr>
            <w:r w:rsidRPr="00165A84">
              <w:rPr>
                <w:sz w:val="20"/>
              </w:rPr>
              <w:t>54,059</w:t>
            </w:r>
          </w:p>
        </w:tc>
        <w:tc>
          <w:tcPr>
            <w:tcW w:w="980" w:type="dxa"/>
            <w:tcBorders>
              <w:top w:val="nil"/>
              <w:left w:val="nil"/>
              <w:bottom w:val="single" w:sz="4" w:space="0" w:color="auto"/>
              <w:right w:val="single" w:sz="4" w:space="0" w:color="auto"/>
            </w:tcBorders>
            <w:shd w:val="clear" w:color="auto" w:fill="auto"/>
            <w:noWrap/>
            <w:vAlign w:val="bottom"/>
            <w:hideMark/>
          </w:tcPr>
          <w:p w14:paraId="5E1F5B4D" w14:textId="4BFC213D" w:rsidR="00165A84" w:rsidRPr="00165A84" w:rsidRDefault="00165A84" w:rsidP="00165A84">
            <w:pPr>
              <w:rPr>
                <w:sz w:val="20"/>
              </w:rPr>
            </w:pPr>
            <w:r w:rsidRPr="00165A84">
              <w:rPr>
                <w:sz w:val="20"/>
              </w:rPr>
              <w:t>46,359</w:t>
            </w:r>
          </w:p>
        </w:tc>
        <w:tc>
          <w:tcPr>
            <w:tcW w:w="980" w:type="dxa"/>
            <w:tcBorders>
              <w:top w:val="nil"/>
              <w:left w:val="nil"/>
              <w:bottom w:val="single" w:sz="4" w:space="0" w:color="auto"/>
              <w:right w:val="single" w:sz="4" w:space="0" w:color="auto"/>
            </w:tcBorders>
            <w:shd w:val="clear" w:color="auto" w:fill="auto"/>
            <w:noWrap/>
            <w:vAlign w:val="bottom"/>
            <w:hideMark/>
          </w:tcPr>
          <w:p w14:paraId="73FE88C3" w14:textId="19C528A9" w:rsidR="00165A84" w:rsidRPr="00165A84" w:rsidRDefault="00165A84" w:rsidP="00165A84">
            <w:pPr>
              <w:rPr>
                <w:sz w:val="20"/>
              </w:rPr>
            </w:pPr>
            <w:r w:rsidRPr="00165A84">
              <w:rPr>
                <w:sz w:val="20"/>
              </w:rPr>
              <w:t>2,552</w:t>
            </w:r>
          </w:p>
        </w:tc>
        <w:tc>
          <w:tcPr>
            <w:tcW w:w="980" w:type="dxa"/>
            <w:tcBorders>
              <w:top w:val="nil"/>
              <w:left w:val="nil"/>
              <w:bottom w:val="single" w:sz="4" w:space="0" w:color="auto"/>
              <w:right w:val="single" w:sz="4" w:space="0" w:color="auto"/>
            </w:tcBorders>
            <w:shd w:val="clear" w:color="auto" w:fill="auto"/>
            <w:noWrap/>
            <w:vAlign w:val="bottom"/>
            <w:hideMark/>
          </w:tcPr>
          <w:p w14:paraId="06D1A158" w14:textId="54E5D190" w:rsidR="00165A84" w:rsidRPr="00165A84" w:rsidRDefault="00165A84" w:rsidP="00165A84">
            <w:pPr>
              <w:rPr>
                <w:sz w:val="20"/>
              </w:rPr>
            </w:pPr>
            <w:r w:rsidRPr="00165A84">
              <w:rPr>
                <w:sz w:val="20"/>
              </w:rPr>
              <w:t>5,148</w:t>
            </w:r>
          </w:p>
        </w:tc>
        <w:tc>
          <w:tcPr>
            <w:tcW w:w="980" w:type="dxa"/>
            <w:tcBorders>
              <w:top w:val="nil"/>
              <w:left w:val="nil"/>
              <w:bottom w:val="single" w:sz="4" w:space="0" w:color="auto"/>
              <w:right w:val="single" w:sz="4" w:space="0" w:color="auto"/>
            </w:tcBorders>
            <w:shd w:val="clear" w:color="auto" w:fill="auto"/>
            <w:noWrap/>
            <w:vAlign w:val="bottom"/>
            <w:hideMark/>
          </w:tcPr>
          <w:p w14:paraId="3327743A" w14:textId="5E898DDD" w:rsidR="00165A84" w:rsidRPr="00165A84" w:rsidRDefault="00165A84" w:rsidP="00165A84">
            <w:pPr>
              <w:rPr>
                <w:sz w:val="20"/>
              </w:rPr>
            </w:pPr>
            <w:r w:rsidRPr="00165A84">
              <w:rPr>
                <w:sz w:val="20"/>
              </w:rPr>
              <w:t>30,729</w:t>
            </w:r>
          </w:p>
        </w:tc>
      </w:tr>
      <w:tr w:rsidR="00165A84" w:rsidRPr="00165A84" w14:paraId="55F3E35B" w14:textId="77777777" w:rsidTr="00165A84">
        <w:trPr>
          <w:trHeight w:val="1335"/>
        </w:trPr>
        <w:tc>
          <w:tcPr>
            <w:tcW w:w="8980" w:type="dxa"/>
            <w:gridSpan w:val="8"/>
            <w:tcBorders>
              <w:top w:val="single" w:sz="4" w:space="0" w:color="auto"/>
              <w:left w:val="nil"/>
              <w:bottom w:val="nil"/>
              <w:right w:val="nil"/>
            </w:tcBorders>
            <w:shd w:val="clear" w:color="auto" w:fill="auto"/>
            <w:vAlign w:val="bottom"/>
            <w:hideMark/>
          </w:tcPr>
          <w:p w14:paraId="4A12C090" w14:textId="77777777" w:rsidR="00BF315B" w:rsidRPr="00BF315B" w:rsidRDefault="00165A84" w:rsidP="00BF315B">
            <w:pPr>
              <w:rPr>
                <w:sz w:val="18"/>
                <w:szCs w:val="18"/>
              </w:rPr>
            </w:pPr>
            <w:r w:rsidRPr="00165A84">
              <w:rPr>
                <w:b/>
                <w:bCs/>
                <w:sz w:val="18"/>
                <w:szCs w:val="18"/>
              </w:rPr>
              <w:t xml:space="preserve">Notes: * </w:t>
            </w:r>
            <w:r w:rsidRPr="00165A84">
              <w:rPr>
                <w:sz w:val="18"/>
                <w:szCs w:val="18"/>
              </w:rPr>
              <w:t>Prevalence rates are estimated by the National Survey of Drug Use and Health, 2016-2018. Parish population sizes are estimated by U.S. Census for July 1, 2019.</w:t>
            </w:r>
            <w:r w:rsidRPr="00165A84">
              <w:rPr>
                <w:sz w:val="18"/>
                <w:szCs w:val="18"/>
              </w:rPr>
              <w:br/>
            </w:r>
            <w:r w:rsidRPr="00165A84">
              <w:rPr>
                <w:b/>
                <w:bCs/>
                <w:sz w:val="18"/>
                <w:szCs w:val="18"/>
              </w:rPr>
              <w:t>**</w:t>
            </w:r>
            <w:r w:rsidRPr="00165A84">
              <w:rPr>
                <w:sz w:val="18"/>
                <w:szCs w:val="18"/>
              </w:rPr>
              <w:t xml:space="preserve"> NSDUH did not </w:t>
            </w:r>
            <w:r w:rsidR="00BF315B">
              <w:rPr>
                <w:sz w:val="18"/>
                <w:szCs w:val="18"/>
              </w:rPr>
              <w:t>estimate rates</w:t>
            </w:r>
            <w:r w:rsidRPr="00165A84">
              <w:rPr>
                <w:sz w:val="18"/>
                <w:szCs w:val="18"/>
              </w:rPr>
              <w:t xml:space="preserve"> </w:t>
            </w:r>
            <w:r w:rsidR="00BF315B">
              <w:rPr>
                <w:sz w:val="18"/>
                <w:szCs w:val="18"/>
              </w:rPr>
              <w:t xml:space="preserve">for Jefferson </w:t>
            </w:r>
            <w:r w:rsidRPr="00165A84">
              <w:rPr>
                <w:sz w:val="18"/>
                <w:szCs w:val="18"/>
              </w:rPr>
              <w:t xml:space="preserve">Parish and the Metropolitan District; therefore, the rate for Greater New Orleans is applied to both Jefferson Parish and the Metropolitan District and its constituent parishes. </w:t>
            </w:r>
          </w:p>
          <w:p w14:paraId="799EA383" w14:textId="76A4D25A" w:rsidR="00165A84" w:rsidRPr="00165A84" w:rsidRDefault="00BF315B" w:rsidP="00BF315B">
            <w:pPr>
              <w:rPr>
                <w:sz w:val="18"/>
                <w:szCs w:val="18"/>
              </w:rPr>
            </w:pPr>
            <w:r w:rsidRPr="00BF315B">
              <w:rPr>
                <w:b/>
                <w:bCs/>
                <w:sz w:val="18"/>
                <w:szCs w:val="18"/>
              </w:rPr>
              <w:t xml:space="preserve">§ </w:t>
            </w:r>
            <w:r w:rsidRPr="00BF315B">
              <w:rPr>
                <w:sz w:val="18"/>
                <w:szCs w:val="18"/>
              </w:rPr>
              <w:t xml:space="preserve">NSDUH has been shown to underestimate </w:t>
            </w:r>
            <w:r w:rsidR="00AD6E0A">
              <w:rPr>
                <w:sz w:val="18"/>
                <w:szCs w:val="18"/>
              </w:rPr>
              <w:t>various prevalence rates</w:t>
            </w:r>
            <w:r w:rsidRPr="00BF315B">
              <w:rPr>
                <w:sz w:val="18"/>
                <w:szCs w:val="18"/>
              </w:rPr>
              <w:t xml:space="preserve"> among adolescents (ages 12-17) relative to c</w:t>
            </w:r>
            <w:r w:rsidRPr="00A76111">
              <w:rPr>
                <w:sz w:val="18"/>
                <w:szCs w:val="18"/>
              </w:rPr>
              <w:t xml:space="preserve">omparable indicators from school surveys </w:t>
            </w:r>
            <w:r w:rsidRPr="00BF315B">
              <w:rPr>
                <w:sz w:val="18"/>
                <w:szCs w:val="18"/>
              </w:rPr>
              <w:t>which generally</w:t>
            </w:r>
            <w:r w:rsidRPr="00A76111">
              <w:rPr>
                <w:sz w:val="18"/>
                <w:szCs w:val="18"/>
              </w:rPr>
              <w:t xml:space="preserve"> provide substantially higher prevalence estimates.</w:t>
            </w:r>
          </w:p>
        </w:tc>
      </w:tr>
    </w:tbl>
    <w:p w14:paraId="24D3058C" w14:textId="4A307BCD" w:rsidR="00E34B09" w:rsidRDefault="00E34B09">
      <w:r>
        <w:br w:type="page"/>
      </w:r>
    </w:p>
    <w:p w14:paraId="410A4D3A" w14:textId="77777777" w:rsidR="001549F4" w:rsidRDefault="001549F4" w:rsidP="001549F4"/>
    <w:bookmarkEnd w:id="9"/>
    <w:p w14:paraId="5CE1FCF1" w14:textId="729FF98F" w:rsidR="001549F4" w:rsidRPr="00E34B09" w:rsidRDefault="00E34B09" w:rsidP="00130E39">
      <w:pPr>
        <w:pStyle w:val="ListParagraph"/>
        <w:numPr>
          <w:ilvl w:val="0"/>
          <w:numId w:val="7"/>
        </w:numPr>
      </w:pPr>
      <w:r w:rsidRPr="00E34B09">
        <w:t xml:space="preserve">Illicit Drug Use Other Than Marijuana in the </w:t>
      </w:r>
      <w:r w:rsidRPr="00130E39">
        <w:rPr>
          <w:i/>
          <w:iCs/>
        </w:rPr>
        <w:t>Past Month</w:t>
      </w:r>
    </w:p>
    <w:p w14:paraId="7B57C19D" w14:textId="77777777" w:rsidR="00E34B09" w:rsidRDefault="00E34B09"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165A84" w:rsidRPr="00165A84" w14:paraId="0165CCD7" w14:textId="77777777" w:rsidTr="00165A8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4681ECCA" w14:textId="77777777" w:rsidR="00165A84" w:rsidRPr="00165A84" w:rsidRDefault="00165A84" w:rsidP="00165A84">
            <w:pPr>
              <w:jc w:val="center"/>
              <w:rPr>
                <w:b/>
                <w:bCs/>
                <w:sz w:val="20"/>
              </w:rPr>
            </w:pPr>
            <w:r w:rsidRPr="00165A84">
              <w:rPr>
                <w:b/>
                <w:bCs/>
                <w:sz w:val="20"/>
              </w:rPr>
              <w:t xml:space="preserve">Illicit Drug Use Other Than Marijuana in the </w:t>
            </w:r>
            <w:r w:rsidRPr="00165A84">
              <w:rPr>
                <w:b/>
                <w:bCs/>
                <w:i/>
                <w:iCs/>
                <w:sz w:val="20"/>
                <w:u w:val="single"/>
              </w:rPr>
              <w:t>Past Month</w:t>
            </w:r>
            <w:r w:rsidRPr="00165A84">
              <w:rPr>
                <w:b/>
                <w:bCs/>
                <w:sz w:val="20"/>
              </w:rPr>
              <w:t xml:space="preserve"> by Age Group Among Residents</w:t>
            </w:r>
            <w:r w:rsidRPr="00165A84">
              <w:rPr>
                <w:b/>
                <w:bCs/>
                <w:sz w:val="20"/>
              </w:rPr>
              <w:br/>
              <w:t xml:space="preserve"> of Greater New Orleans Parishes and Statewide, 2019*</w:t>
            </w:r>
          </w:p>
        </w:tc>
      </w:tr>
      <w:tr w:rsidR="00165A84" w:rsidRPr="00165A84" w14:paraId="08C4B3DD" w14:textId="77777777" w:rsidTr="00165A8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9700436" w14:textId="77777777" w:rsidR="00165A84" w:rsidRPr="00165A84" w:rsidRDefault="00165A84" w:rsidP="00165A84">
            <w:pPr>
              <w:jc w:val="center"/>
              <w:rPr>
                <w:sz w:val="20"/>
              </w:rPr>
            </w:pPr>
            <w:r w:rsidRPr="00165A8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195E56A0" w14:textId="6EAC020C" w:rsidR="00165A84" w:rsidRPr="00165A84" w:rsidRDefault="00165A84" w:rsidP="00165A84">
            <w:pPr>
              <w:jc w:val="center"/>
              <w:rPr>
                <w:sz w:val="20"/>
              </w:rPr>
            </w:pPr>
            <w:r w:rsidRPr="00165A8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532DF03F" w14:textId="77777777" w:rsidR="00165A84" w:rsidRPr="00165A84" w:rsidRDefault="00165A84" w:rsidP="00165A84">
            <w:pPr>
              <w:jc w:val="center"/>
              <w:rPr>
                <w:sz w:val="20"/>
              </w:rPr>
            </w:pPr>
            <w:r w:rsidRPr="00165A8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24667C9A" w14:textId="77777777" w:rsidR="00165A84" w:rsidRPr="00165A84" w:rsidRDefault="00165A84" w:rsidP="00165A84">
            <w:pPr>
              <w:jc w:val="center"/>
              <w:rPr>
                <w:sz w:val="20"/>
              </w:rPr>
            </w:pPr>
            <w:r w:rsidRPr="00165A84">
              <w:rPr>
                <w:sz w:val="20"/>
              </w:rPr>
              <w:t>Metro-</w:t>
            </w:r>
            <w:proofErr w:type="spellStart"/>
            <w:r w:rsidRPr="00165A84">
              <w:rPr>
                <w:sz w:val="20"/>
              </w:rPr>
              <w:t>politan</w:t>
            </w:r>
            <w:proofErr w:type="spellEnd"/>
            <w:r w:rsidRPr="00165A8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0AC6E003" w14:textId="77777777" w:rsidR="00165A84" w:rsidRPr="00165A84" w:rsidRDefault="00165A84" w:rsidP="00165A84">
            <w:pPr>
              <w:jc w:val="center"/>
              <w:rPr>
                <w:sz w:val="20"/>
              </w:rPr>
            </w:pPr>
            <w:r w:rsidRPr="00165A8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0A8C922F" w14:textId="77777777" w:rsidR="00165A84" w:rsidRPr="00165A84" w:rsidRDefault="00165A84" w:rsidP="00165A84">
            <w:pPr>
              <w:jc w:val="center"/>
              <w:rPr>
                <w:sz w:val="20"/>
              </w:rPr>
            </w:pPr>
            <w:r w:rsidRPr="00165A8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4DD0C64D" w14:textId="77777777" w:rsidR="00165A84" w:rsidRPr="00165A84" w:rsidRDefault="00165A84" w:rsidP="00165A84">
            <w:pPr>
              <w:jc w:val="center"/>
              <w:rPr>
                <w:sz w:val="20"/>
              </w:rPr>
            </w:pPr>
            <w:r w:rsidRPr="00165A8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5D545EC6" w14:textId="77777777" w:rsidR="00165A84" w:rsidRPr="00165A84" w:rsidRDefault="00165A84" w:rsidP="00165A84">
            <w:pPr>
              <w:jc w:val="center"/>
              <w:rPr>
                <w:sz w:val="20"/>
              </w:rPr>
            </w:pPr>
            <w:r w:rsidRPr="00165A84">
              <w:rPr>
                <w:sz w:val="20"/>
              </w:rPr>
              <w:t>Jefferson Parish HSA</w:t>
            </w:r>
          </w:p>
        </w:tc>
      </w:tr>
      <w:tr w:rsidR="00165A84" w:rsidRPr="00165A84" w14:paraId="328F7246"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D34E845" w14:textId="77777777" w:rsidR="00165A84" w:rsidRPr="00165A84" w:rsidRDefault="00165A84" w:rsidP="00165A84">
            <w:pPr>
              <w:rPr>
                <w:sz w:val="20"/>
              </w:rPr>
            </w:pPr>
            <w:r w:rsidRPr="00165A8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71BF87BD" w14:textId="77777777" w:rsidR="00165A84" w:rsidRPr="00165A84" w:rsidRDefault="00165A84" w:rsidP="00165A84">
            <w:pPr>
              <w:rPr>
                <w:sz w:val="20"/>
              </w:rPr>
            </w:pPr>
            <w:r w:rsidRPr="00165A84">
              <w:rPr>
                <w:sz w:val="20"/>
              </w:rPr>
              <w:t> </w:t>
            </w:r>
          </w:p>
        </w:tc>
        <w:tc>
          <w:tcPr>
            <w:tcW w:w="980" w:type="dxa"/>
            <w:tcBorders>
              <w:top w:val="nil"/>
              <w:left w:val="nil"/>
              <w:bottom w:val="nil"/>
              <w:right w:val="nil"/>
            </w:tcBorders>
            <w:shd w:val="clear" w:color="auto" w:fill="auto"/>
            <w:noWrap/>
            <w:vAlign w:val="bottom"/>
            <w:hideMark/>
          </w:tcPr>
          <w:p w14:paraId="5BC7546C" w14:textId="77777777" w:rsidR="00165A84" w:rsidRPr="00165A84" w:rsidRDefault="00165A84" w:rsidP="00165A84">
            <w:pPr>
              <w:rPr>
                <w:sz w:val="20"/>
              </w:rPr>
            </w:pPr>
            <w:r w:rsidRPr="00165A8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8FE8955" w14:textId="77777777" w:rsidR="00165A84" w:rsidRPr="00165A84" w:rsidRDefault="00165A84" w:rsidP="00165A84">
            <w:pPr>
              <w:rPr>
                <w:sz w:val="20"/>
              </w:rPr>
            </w:pPr>
            <w:r w:rsidRPr="00165A84">
              <w:rPr>
                <w:sz w:val="20"/>
              </w:rPr>
              <w:t> </w:t>
            </w:r>
          </w:p>
        </w:tc>
        <w:tc>
          <w:tcPr>
            <w:tcW w:w="980" w:type="dxa"/>
            <w:tcBorders>
              <w:top w:val="nil"/>
              <w:left w:val="nil"/>
              <w:bottom w:val="nil"/>
              <w:right w:val="nil"/>
            </w:tcBorders>
            <w:shd w:val="clear" w:color="auto" w:fill="auto"/>
            <w:noWrap/>
            <w:vAlign w:val="bottom"/>
            <w:hideMark/>
          </w:tcPr>
          <w:p w14:paraId="27E72A0B" w14:textId="77777777" w:rsidR="00165A84" w:rsidRPr="00165A84" w:rsidRDefault="00165A84" w:rsidP="00165A84">
            <w:pPr>
              <w:rPr>
                <w:sz w:val="20"/>
              </w:rPr>
            </w:pPr>
            <w:r w:rsidRPr="00165A8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6A44A942" w14:textId="77777777" w:rsidR="00165A84" w:rsidRPr="00165A84" w:rsidRDefault="00165A84" w:rsidP="00165A84">
            <w:pPr>
              <w:rPr>
                <w:sz w:val="20"/>
              </w:rPr>
            </w:pPr>
            <w:r w:rsidRPr="00165A84">
              <w:rPr>
                <w:sz w:val="20"/>
              </w:rPr>
              <w:t> </w:t>
            </w:r>
          </w:p>
        </w:tc>
        <w:tc>
          <w:tcPr>
            <w:tcW w:w="980" w:type="dxa"/>
            <w:tcBorders>
              <w:top w:val="nil"/>
              <w:left w:val="nil"/>
              <w:bottom w:val="nil"/>
              <w:right w:val="single" w:sz="4" w:space="0" w:color="auto"/>
            </w:tcBorders>
            <w:shd w:val="clear" w:color="auto" w:fill="auto"/>
            <w:noWrap/>
            <w:vAlign w:val="bottom"/>
            <w:hideMark/>
          </w:tcPr>
          <w:p w14:paraId="671E2AD5" w14:textId="77777777" w:rsidR="00165A84" w:rsidRPr="00165A84" w:rsidRDefault="00165A84" w:rsidP="00165A84">
            <w:pPr>
              <w:rPr>
                <w:sz w:val="20"/>
              </w:rPr>
            </w:pPr>
            <w:r w:rsidRPr="00165A84">
              <w:rPr>
                <w:sz w:val="20"/>
              </w:rPr>
              <w:t> </w:t>
            </w:r>
          </w:p>
        </w:tc>
        <w:tc>
          <w:tcPr>
            <w:tcW w:w="980" w:type="dxa"/>
            <w:tcBorders>
              <w:top w:val="nil"/>
              <w:left w:val="nil"/>
              <w:bottom w:val="nil"/>
              <w:right w:val="single" w:sz="4" w:space="0" w:color="auto"/>
            </w:tcBorders>
            <w:shd w:val="clear" w:color="auto" w:fill="auto"/>
            <w:noWrap/>
            <w:vAlign w:val="bottom"/>
            <w:hideMark/>
          </w:tcPr>
          <w:p w14:paraId="0B5E0FC3" w14:textId="77777777" w:rsidR="00165A84" w:rsidRPr="00165A84" w:rsidRDefault="00165A84" w:rsidP="00165A84">
            <w:pPr>
              <w:rPr>
                <w:sz w:val="20"/>
              </w:rPr>
            </w:pPr>
            <w:r w:rsidRPr="00165A84">
              <w:rPr>
                <w:sz w:val="20"/>
              </w:rPr>
              <w:t> </w:t>
            </w:r>
          </w:p>
        </w:tc>
      </w:tr>
      <w:tr w:rsidR="00165A84" w:rsidRPr="00165A84" w14:paraId="0D2C0B82"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41FB761"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FCAD6D0" w14:textId="77777777" w:rsidR="00165A84" w:rsidRPr="00165A84" w:rsidRDefault="00165A84" w:rsidP="00165A84">
            <w:pPr>
              <w:jc w:val="right"/>
              <w:rPr>
                <w:sz w:val="20"/>
              </w:rPr>
            </w:pPr>
            <w:r w:rsidRPr="00165A84">
              <w:rPr>
                <w:sz w:val="20"/>
              </w:rPr>
              <w:t>360,774</w:t>
            </w:r>
          </w:p>
        </w:tc>
        <w:tc>
          <w:tcPr>
            <w:tcW w:w="980" w:type="dxa"/>
            <w:tcBorders>
              <w:top w:val="nil"/>
              <w:left w:val="nil"/>
              <w:bottom w:val="nil"/>
              <w:right w:val="nil"/>
            </w:tcBorders>
            <w:shd w:val="clear" w:color="auto" w:fill="auto"/>
            <w:noWrap/>
            <w:vAlign w:val="bottom"/>
            <w:hideMark/>
          </w:tcPr>
          <w:p w14:paraId="739FA37B" w14:textId="77777777" w:rsidR="00165A84" w:rsidRPr="00165A84" w:rsidRDefault="00165A84" w:rsidP="00165A84">
            <w:pPr>
              <w:jc w:val="right"/>
              <w:rPr>
                <w:sz w:val="20"/>
              </w:rPr>
            </w:pPr>
            <w:r w:rsidRPr="00165A8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4E4F8F2F" w14:textId="77777777" w:rsidR="00165A84" w:rsidRPr="00165A84" w:rsidRDefault="00165A84" w:rsidP="00165A84">
            <w:pPr>
              <w:jc w:val="right"/>
              <w:rPr>
                <w:sz w:val="20"/>
              </w:rPr>
            </w:pPr>
            <w:r w:rsidRPr="00165A84">
              <w:rPr>
                <w:sz w:val="20"/>
              </w:rPr>
              <w:t>30,822</w:t>
            </w:r>
          </w:p>
        </w:tc>
        <w:tc>
          <w:tcPr>
            <w:tcW w:w="980" w:type="dxa"/>
            <w:tcBorders>
              <w:top w:val="nil"/>
              <w:left w:val="nil"/>
              <w:bottom w:val="nil"/>
              <w:right w:val="nil"/>
            </w:tcBorders>
            <w:shd w:val="clear" w:color="auto" w:fill="auto"/>
            <w:noWrap/>
            <w:vAlign w:val="bottom"/>
            <w:hideMark/>
          </w:tcPr>
          <w:p w14:paraId="5D34CE52" w14:textId="77777777" w:rsidR="00165A84" w:rsidRPr="00165A84" w:rsidRDefault="00165A84" w:rsidP="00165A84">
            <w:pPr>
              <w:jc w:val="right"/>
              <w:rPr>
                <w:sz w:val="20"/>
              </w:rPr>
            </w:pPr>
            <w:r w:rsidRPr="00165A8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4DDC0E3C" w14:textId="77777777" w:rsidR="00165A84" w:rsidRPr="00165A84" w:rsidRDefault="00165A84" w:rsidP="00165A84">
            <w:pPr>
              <w:jc w:val="right"/>
              <w:rPr>
                <w:sz w:val="20"/>
              </w:rPr>
            </w:pPr>
            <w:r w:rsidRPr="00165A84">
              <w:rPr>
                <w:sz w:val="20"/>
              </w:rPr>
              <w:t>2,081</w:t>
            </w:r>
          </w:p>
        </w:tc>
        <w:tc>
          <w:tcPr>
            <w:tcW w:w="980" w:type="dxa"/>
            <w:tcBorders>
              <w:top w:val="nil"/>
              <w:left w:val="nil"/>
              <w:bottom w:val="nil"/>
              <w:right w:val="single" w:sz="4" w:space="0" w:color="auto"/>
            </w:tcBorders>
            <w:shd w:val="clear" w:color="auto" w:fill="auto"/>
            <w:noWrap/>
            <w:vAlign w:val="bottom"/>
            <w:hideMark/>
          </w:tcPr>
          <w:p w14:paraId="0E1AE399" w14:textId="77777777" w:rsidR="00165A84" w:rsidRPr="00165A84" w:rsidRDefault="00165A84" w:rsidP="00165A84">
            <w:pPr>
              <w:jc w:val="right"/>
              <w:rPr>
                <w:sz w:val="20"/>
              </w:rPr>
            </w:pPr>
            <w:r w:rsidRPr="00165A84">
              <w:rPr>
                <w:sz w:val="20"/>
              </w:rPr>
              <w:t>4,044</w:t>
            </w:r>
          </w:p>
        </w:tc>
        <w:tc>
          <w:tcPr>
            <w:tcW w:w="980" w:type="dxa"/>
            <w:tcBorders>
              <w:top w:val="nil"/>
              <w:left w:val="nil"/>
              <w:bottom w:val="nil"/>
              <w:right w:val="single" w:sz="4" w:space="0" w:color="auto"/>
            </w:tcBorders>
            <w:shd w:val="clear" w:color="auto" w:fill="auto"/>
            <w:noWrap/>
            <w:vAlign w:val="bottom"/>
            <w:hideMark/>
          </w:tcPr>
          <w:p w14:paraId="389A2938" w14:textId="77777777" w:rsidR="00165A84" w:rsidRPr="00165A84" w:rsidRDefault="00165A84" w:rsidP="00165A84">
            <w:pPr>
              <w:jc w:val="right"/>
              <w:rPr>
                <w:sz w:val="20"/>
              </w:rPr>
            </w:pPr>
            <w:r w:rsidRPr="00165A84">
              <w:rPr>
                <w:sz w:val="20"/>
              </w:rPr>
              <w:t>30,385</w:t>
            </w:r>
          </w:p>
        </w:tc>
      </w:tr>
      <w:tr w:rsidR="00165A84" w:rsidRPr="00165A84" w14:paraId="6698C48C"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DC23C9C" w14:textId="35E88FFD" w:rsidR="00165A84" w:rsidRPr="00165A84" w:rsidRDefault="00165A84" w:rsidP="00165A84">
            <w:pPr>
              <w:rPr>
                <w:sz w:val="20"/>
              </w:rPr>
            </w:pPr>
            <w:r w:rsidRPr="00165A8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4F9C2A53" w14:textId="77777777" w:rsidR="00165A84" w:rsidRPr="00165A84" w:rsidRDefault="00165A84" w:rsidP="00165A84">
            <w:pPr>
              <w:jc w:val="right"/>
              <w:rPr>
                <w:sz w:val="20"/>
              </w:rPr>
            </w:pPr>
            <w:r w:rsidRPr="00165A84">
              <w:rPr>
                <w:sz w:val="20"/>
              </w:rPr>
              <w:t>2.64%</w:t>
            </w:r>
          </w:p>
        </w:tc>
        <w:tc>
          <w:tcPr>
            <w:tcW w:w="980" w:type="dxa"/>
            <w:tcBorders>
              <w:top w:val="nil"/>
              <w:left w:val="nil"/>
              <w:bottom w:val="nil"/>
              <w:right w:val="single" w:sz="4" w:space="0" w:color="auto"/>
            </w:tcBorders>
            <w:shd w:val="clear" w:color="auto" w:fill="auto"/>
            <w:noWrap/>
            <w:vAlign w:val="bottom"/>
            <w:hideMark/>
          </w:tcPr>
          <w:p w14:paraId="3510A385" w14:textId="77777777" w:rsidR="00165A84" w:rsidRPr="00165A84" w:rsidRDefault="00165A84" w:rsidP="00165A84">
            <w:pPr>
              <w:jc w:val="right"/>
              <w:rPr>
                <w:sz w:val="20"/>
              </w:rPr>
            </w:pPr>
            <w:r w:rsidRPr="00165A84">
              <w:rPr>
                <w:sz w:val="20"/>
              </w:rPr>
              <w:t>2.59%</w:t>
            </w:r>
          </w:p>
        </w:tc>
        <w:tc>
          <w:tcPr>
            <w:tcW w:w="980" w:type="dxa"/>
            <w:tcBorders>
              <w:top w:val="nil"/>
              <w:left w:val="nil"/>
              <w:bottom w:val="nil"/>
              <w:right w:val="single" w:sz="4" w:space="0" w:color="auto"/>
            </w:tcBorders>
            <w:shd w:val="clear" w:color="auto" w:fill="auto"/>
            <w:noWrap/>
            <w:vAlign w:val="bottom"/>
            <w:hideMark/>
          </w:tcPr>
          <w:p w14:paraId="5A5DF856" w14:textId="77777777" w:rsidR="00165A84" w:rsidRPr="00165A84" w:rsidRDefault="00165A84" w:rsidP="00165A84">
            <w:pPr>
              <w:jc w:val="right"/>
              <w:rPr>
                <w:sz w:val="20"/>
              </w:rPr>
            </w:pPr>
            <w:r w:rsidRPr="00165A84">
              <w:rPr>
                <w:sz w:val="20"/>
              </w:rPr>
              <w:t>2.59%</w:t>
            </w:r>
          </w:p>
        </w:tc>
        <w:tc>
          <w:tcPr>
            <w:tcW w:w="980" w:type="dxa"/>
            <w:tcBorders>
              <w:top w:val="nil"/>
              <w:left w:val="nil"/>
              <w:bottom w:val="nil"/>
              <w:right w:val="nil"/>
            </w:tcBorders>
            <w:shd w:val="clear" w:color="auto" w:fill="auto"/>
            <w:noWrap/>
            <w:vAlign w:val="bottom"/>
            <w:hideMark/>
          </w:tcPr>
          <w:p w14:paraId="620CDEF8" w14:textId="77777777" w:rsidR="00165A84" w:rsidRPr="00165A84" w:rsidRDefault="00165A84" w:rsidP="00165A84">
            <w:pPr>
              <w:jc w:val="right"/>
              <w:rPr>
                <w:sz w:val="20"/>
              </w:rPr>
            </w:pPr>
            <w:r w:rsidRPr="00165A84">
              <w:rPr>
                <w:sz w:val="20"/>
              </w:rPr>
              <w:t>2.59%</w:t>
            </w:r>
          </w:p>
        </w:tc>
        <w:tc>
          <w:tcPr>
            <w:tcW w:w="980" w:type="dxa"/>
            <w:tcBorders>
              <w:top w:val="nil"/>
              <w:left w:val="single" w:sz="4" w:space="0" w:color="auto"/>
              <w:bottom w:val="nil"/>
              <w:right w:val="single" w:sz="4" w:space="0" w:color="auto"/>
            </w:tcBorders>
            <w:shd w:val="clear" w:color="auto" w:fill="auto"/>
            <w:noWrap/>
            <w:vAlign w:val="bottom"/>
            <w:hideMark/>
          </w:tcPr>
          <w:p w14:paraId="22D2C73B" w14:textId="77777777" w:rsidR="00165A84" w:rsidRPr="00165A84" w:rsidRDefault="00165A84" w:rsidP="00165A84">
            <w:pPr>
              <w:jc w:val="right"/>
              <w:rPr>
                <w:sz w:val="20"/>
              </w:rPr>
            </w:pPr>
            <w:r w:rsidRPr="00165A84">
              <w:rPr>
                <w:sz w:val="20"/>
              </w:rPr>
              <w:t>2.59%</w:t>
            </w:r>
          </w:p>
        </w:tc>
        <w:tc>
          <w:tcPr>
            <w:tcW w:w="980" w:type="dxa"/>
            <w:tcBorders>
              <w:top w:val="nil"/>
              <w:left w:val="nil"/>
              <w:bottom w:val="nil"/>
              <w:right w:val="single" w:sz="4" w:space="0" w:color="auto"/>
            </w:tcBorders>
            <w:shd w:val="clear" w:color="auto" w:fill="auto"/>
            <w:noWrap/>
            <w:vAlign w:val="bottom"/>
            <w:hideMark/>
          </w:tcPr>
          <w:p w14:paraId="0B31F4EF" w14:textId="77777777" w:rsidR="00165A84" w:rsidRPr="00165A84" w:rsidRDefault="00165A84" w:rsidP="00165A84">
            <w:pPr>
              <w:jc w:val="right"/>
              <w:rPr>
                <w:sz w:val="20"/>
              </w:rPr>
            </w:pPr>
            <w:r w:rsidRPr="00165A84">
              <w:rPr>
                <w:sz w:val="20"/>
              </w:rPr>
              <w:t>2.59%</w:t>
            </w:r>
          </w:p>
        </w:tc>
        <w:tc>
          <w:tcPr>
            <w:tcW w:w="980" w:type="dxa"/>
            <w:tcBorders>
              <w:top w:val="nil"/>
              <w:left w:val="nil"/>
              <w:bottom w:val="nil"/>
              <w:right w:val="single" w:sz="4" w:space="0" w:color="auto"/>
            </w:tcBorders>
            <w:shd w:val="clear" w:color="auto" w:fill="auto"/>
            <w:noWrap/>
            <w:vAlign w:val="bottom"/>
            <w:hideMark/>
          </w:tcPr>
          <w:p w14:paraId="168E27C7" w14:textId="77777777" w:rsidR="00165A84" w:rsidRPr="00165A84" w:rsidRDefault="00165A84" w:rsidP="00165A84">
            <w:pPr>
              <w:jc w:val="right"/>
              <w:rPr>
                <w:sz w:val="20"/>
              </w:rPr>
            </w:pPr>
            <w:r w:rsidRPr="00165A84">
              <w:rPr>
                <w:sz w:val="20"/>
              </w:rPr>
              <w:t>2.58%</w:t>
            </w:r>
          </w:p>
        </w:tc>
      </w:tr>
      <w:tr w:rsidR="00165A84" w:rsidRPr="00165A84" w14:paraId="7A246021"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0DB9251A"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2D0FBB0" w14:textId="17BA0251" w:rsidR="00165A84" w:rsidRPr="00165A84" w:rsidRDefault="00165A84" w:rsidP="00165A84">
            <w:pPr>
              <w:rPr>
                <w:sz w:val="20"/>
              </w:rPr>
            </w:pPr>
            <w:r w:rsidRPr="00165A84">
              <w:rPr>
                <w:sz w:val="20"/>
              </w:rPr>
              <w:t>9,519</w:t>
            </w:r>
          </w:p>
        </w:tc>
        <w:tc>
          <w:tcPr>
            <w:tcW w:w="980" w:type="dxa"/>
            <w:tcBorders>
              <w:top w:val="nil"/>
              <w:left w:val="nil"/>
              <w:bottom w:val="single" w:sz="4" w:space="0" w:color="auto"/>
              <w:right w:val="single" w:sz="4" w:space="0" w:color="auto"/>
            </w:tcBorders>
            <w:shd w:val="clear" w:color="auto" w:fill="auto"/>
            <w:noWrap/>
            <w:vAlign w:val="bottom"/>
            <w:hideMark/>
          </w:tcPr>
          <w:p w14:paraId="76544CFA" w14:textId="631DF0FD" w:rsidR="00165A84" w:rsidRPr="00165A84" w:rsidRDefault="00165A84" w:rsidP="00165A84">
            <w:pPr>
              <w:rPr>
                <w:sz w:val="20"/>
              </w:rPr>
            </w:pPr>
            <w:r w:rsidRPr="00165A84">
              <w:rPr>
                <w:sz w:val="20"/>
              </w:rPr>
              <w:t>1,584</w:t>
            </w:r>
          </w:p>
        </w:tc>
        <w:tc>
          <w:tcPr>
            <w:tcW w:w="980" w:type="dxa"/>
            <w:tcBorders>
              <w:top w:val="nil"/>
              <w:left w:val="nil"/>
              <w:bottom w:val="single" w:sz="4" w:space="0" w:color="auto"/>
              <w:right w:val="single" w:sz="4" w:space="0" w:color="auto"/>
            </w:tcBorders>
            <w:shd w:val="clear" w:color="auto" w:fill="auto"/>
            <w:noWrap/>
            <w:vAlign w:val="bottom"/>
            <w:hideMark/>
          </w:tcPr>
          <w:p w14:paraId="1B19FBF3" w14:textId="08D9D3A3" w:rsidR="00165A84" w:rsidRPr="00165A84" w:rsidRDefault="00165A84" w:rsidP="00165A84">
            <w:pPr>
              <w:rPr>
                <w:sz w:val="20"/>
              </w:rPr>
            </w:pPr>
            <w:r w:rsidRPr="00165A84">
              <w:rPr>
                <w:sz w:val="20"/>
              </w:rPr>
              <w:t>799</w:t>
            </w:r>
          </w:p>
        </w:tc>
        <w:tc>
          <w:tcPr>
            <w:tcW w:w="980" w:type="dxa"/>
            <w:tcBorders>
              <w:top w:val="nil"/>
              <w:left w:val="nil"/>
              <w:bottom w:val="single" w:sz="4" w:space="0" w:color="auto"/>
              <w:right w:val="single" w:sz="4" w:space="0" w:color="auto"/>
            </w:tcBorders>
            <w:shd w:val="clear" w:color="auto" w:fill="auto"/>
            <w:noWrap/>
            <w:vAlign w:val="bottom"/>
            <w:hideMark/>
          </w:tcPr>
          <w:p w14:paraId="4EE346C2" w14:textId="6B0B7363" w:rsidR="00165A84" w:rsidRPr="00165A84" w:rsidRDefault="00165A84" w:rsidP="00165A84">
            <w:pPr>
              <w:rPr>
                <w:sz w:val="20"/>
              </w:rPr>
            </w:pPr>
            <w:r w:rsidRPr="00165A84">
              <w:rPr>
                <w:sz w:val="20"/>
              </w:rPr>
              <w:t>641</w:t>
            </w:r>
          </w:p>
        </w:tc>
        <w:tc>
          <w:tcPr>
            <w:tcW w:w="980" w:type="dxa"/>
            <w:tcBorders>
              <w:top w:val="nil"/>
              <w:left w:val="nil"/>
              <w:bottom w:val="single" w:sz="4" w:space="0" w:color="auto"/>
              <w:right w:val="single" w:sz="4" w:space="0" w:color="auto"/>
            </w:tcBorders>
            <w:shd w:val="clear" w:color="auto" w:fill="auto"/>
            <w:noWrap/>
            <w:vAlign w:val="bottom"/>
            <w:hideMark/>
          </w:tcPr>
          <w:p w14:paraId="001E6423" w14:textId="58E17F63" w:rsidR="00165A84" w:rsidRPr="00165A84" w:rsidRDefault="00165A84" w:rsidP="00165A84">
            <w:pPr>
              <w:rPr>
                <w:sz w:val="20"/>
              </w:rPr>
            </w:pPr>
            <w:r w:rsidRPr="00165A84">
              <w:rPr>
                <w:sz w:val="20"/>
              </w:rPr>
              <w:t>54</w:t>
            </w:r>
          </w:p>
        </w:tc>
        <w:tc>
          <w:tcPr>
            <w:tcW w:w="980" w:type="dxa"/>
            <w:tcBorders>
              <w:top w:val="nil"/>
              <w:left w:val="nil"/>
              <w:bottom w:val="single" w:sz="4" w:space="0" w:color="auto"/>
              <w:right w:val="single" w:sz="4" w:space="0" w:color="auto"/>
            </w:tcBorders>
            <w:shd w:val="clear" w:color="auto" w:fill="auto"/>
            <w:noWrap/>
            <w:vAlign w:val="bottom"/>
            <w:hideMark/>
          </w:tcPr>
          <w:p w14:paraId="28F43628" w14:textId="556BA61C" w:rsidR="00165A84" w:rsidRPr="00165A84" w:rsidRDefault="00165A84" w:rsidP="00165A84">
            <w:pPr>
              <w:rPr>
                <w:sz w:val="20"/>
              </w:rPr>
            </w:pPr>
            <w:r w:rsidRPr="00165A84">
              <w:rPr>
                <w:sz w:val="20"/>
              </w:rPr>
              <w:t>105</w:t>
            </w:r>
          </w:p>
        </w:tc>
        <w:tc>
          <w:tcPr>
            <w:tcW w:w="980" w:type="dxa"/>
            <w:tcBorders>
              <w:top w:val="nil"/>
              <w:left w:val="nil"/>
              <w:bottom w:val="single" w:sz="4" w:space="0" w:color="auto"/>
              <w:right w:val="single" w:sz="4" w:space="0" w:color="auto"/>
            </w:tcBorders>
            <w:shd w:val="clear" w:color="auto" w:fill="auto"/>
            <w:noWrap/>
            <w:vAlign w:val="bottom"/>
            <w:hideMark/>
          </w:tcPr>
          <w:p w14:paraId="3BCE7327" w14:textId="5F0C4CFF" w:rsidR="00165A84" w:rsidRPr="00165A84" w:rsidRDefault="00165A84" w:rsidP="00165A84">
            <w:pPr>
              <w:rPr>
                <w:sz w:val="20"/>
              </w:rPr>
            </w:pPr>
            <w:r w:rsidRPr="00165A84">
              <w:rPr>
                <w:sz w:val="20"/>
              </w:rPr>
              <w:t>784</w:t>
            </w:r>
          </w:p>
        </w:tc>
      </w:tr>
      <w:tr w:rsidR="00165A84" w:rsidRPr="00165A84" w14:paraId="063B4C7B"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088BE55" w14:textId="77777777" w:rsidR="00165A84" w:rsidRPr="00165A84" w:rsidRDefault="00165A84" w:rsidP="00165A84">
            <w:pPr>
              <w:rPr>
                <w:sz w:val="20"/>
              </w:rPr>
            </w:pPr>
            <w:r w:rsidRPr="00165A8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78FAB5E4" w14:textId="75F2CC2B"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4520E510"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A006CC2" w14:textId="7E8F7F49"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1D590F11"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CA3C8AD" w14:textId="6213027D"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32569C52" w14:textId="0E534FB4"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3FB7B8DA" w14:textId="2D255B26" w:rsidR="00165A84" w:rsidRPr="00165A84" w:rsidRDefault="00165A84" w:rsidP="00165A84">
            <w:pPr>
              <w:rPr>
                <w:sz w:val="20"/>
              </w:rPr>
            </w:pPr>
          </w:p>
        </w:tc>
      </w:tr>
      <w:tr w:rsidR="00165A84" w:rsidRPr="00165A84" w14:paraId="1321D7EA"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2BF1B086"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20DD41A" w14:textId="77777777" w:rsidR="00165A84" w:rsidRPr="00165A84" w:rsidRDefault="00165A84" w:rsidP="00165A84">
            <w:pPr>
              <w:jc w:val="right"/>
              <w:rPr>
                <w:sz w:val="20"/>
              </w:rPr>
            </w:pPr>
            <w:r w:rsidRPr="00165A84">
              <w:rPr>
                <w:sz w:val="20"/>
              </w:rPr>
              <w:t>483,697</w:t>
            </w:r>
          </w:p>
        </w:tc>
        <w:tc>
          <w:tcPr>
            <w:tcW w:w="980" w:type="dxa"/>
            <w:tcBorders>
              <w:top w:val="nil"/>
              <w:left w:val="nil"/>
              <w:bottom w:val="nil"/>
              <w:right w:val="nil"/>
            </w:tcBorders>
            <w:shd w:val="clear" w:color="auto" w:fill="auto"/>
            <w:noWrap/>
            <w:vAlign w:val="bottom"/>
            <w:hideMark/>
          </w:tcPr>
          <w:p w14:paraId="178ED7F8" w14:textId="77777777" w:rsidR="00165A84" w:rsidRPr="00165A84" w:rsidRDefault="00165A84" w:rsidP="00165A84">
            <w:pPr>
              <w:jc w:val="right"/>
              <w:rPr>
                <w:sz w:val="20"/>
              </w:rPr>
            </w:pPr>
            <w:r w:rsidRPr="00165A8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5DFFF592" w14:textId="77777777" w:rsidR="00165A84" w:rsidRPr="00165A84" w:rsidRDefault="00165A84" w:rsidP="00165A84">
            <w:pPr>
              <w:jc w:val="right"/>
              <w:rPr>
                <w:sz w:val="20"/>
              </w:rPr>
            </w:pPr>
            <w:r w:rsidRPr="00165A84">
              <w:rPr>
                <w:sz w:val="20"/>
              </w:rPr>
              <w:t>44,790</w:t>
            </w:r>
          </w:p>
        </w:tc>
        <w:tc>
          <w:tcPr>
            <w:tcW w:w="980" w:type="dxa"/>
            <w:tcBorders>
              <w:top w:val="nil"/>
              <w:left w:val="nil"/>
              <w:bottom w:val="nil"/>
              <w:right w:val="nil"/>
            </w:tcBorders>
            <w:shd w:val="clear" w:color="auto" w:fill="auto"/>
            <w:noWrap/>
            <w:vAlign w:val="bottom"/>
            <w:hideMark/>
          </w:tcPr>
          <w:p w14:paraId="3F7CCFE2" w14:textId="77777777" w:rsidR="00165A84" w:rsidRPr="00165A84" w:rsidRDefault="00165A84" w:rsidP="00165A84">
            <w:pPr>
              <w:jc w:val="right"/>
              <w:rPr>
                <w:sz w:val="20"/>
              </w:rPr>
            </w:pPr>
            <w:r w:rsidRPr="00165A8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323FF5E2" w14:textId="77777777" w:rsidR="00165A84" w:rsidRPr="00165A84" w:rsidRDefault="00165A84" w:rsidP="00165A84">
            <w:pPr>
              <w:jc w:val="right"/>
              <w:rPr>
                <w:sz w:val="20"/>
              </w:rPr>
            </w:pPr>
            <w:r w:rsidRPr="00165A84">
              <w:rPr>
                <w:sz w:val="20"/>
              </w:rPr>
              <w:t>2,265</w:t>
            </w:r>
          </w:p>
        </w:tc>
        <w:tc>
          <w:tcPr>
            <w:tcW w:w="980" w:type="dxa"/>
            <w:tcBorders>
              <w:top w:val="nil"/>
              <w:left w:val="nil"/>
              <w:bottom w:val="nil"/>
              <w:right w:val="single" w:sz="4" w:space="0" w:color="auto"/>
            </w:tcBorders>
            <w:shd w:val="clear" w:color="auto" w:fill="auto"/>
            <w:noWrap/>
            <w:vAlign w:val="bottom"/>
            <w:hideMark/>
          </w:tcPr>
          <w:p w14:paraId="5AC89E57" w14:textId="77777777" w:rsidR="00165A84" w:rsidRPr="00165A84" w:rsidRDefault="00165A84" w:rsidP="00165A84">
            <w:pPr>
              <w:jc w:val="right"/>
              <w:rPr>
                <w:sz w:val="20"/>
              </w:rPr>
            </w:pPr>
            <w:r w:rsidRPr="00165A84">
              <w:rPr>
                <w:sz w:val="20"/>
              </w:rPr>
              <w:t>4,133</w:t>
            </w:r>
          </w:p>
        </w:tc>
        <w:tc>
          <w:tcPr>
            <w:tcW w:w="980" w:type="dxa"/>
            <w:tcBorders>
              <w:top w:val="nil"/>
              <w:left w:val="nil"/>
              <w:bottom w:val="nil"/>
              <w:right w:val="single" w:sz="4" w:space="0" w:color="auto"/>
            </w:tcBorders>
            <w:shd w:val="clear" w:color="auto" w:fill="auto"/>
            <w:noWrap/>
            <w:vAlign w:val="bottom"/>
            <w:hideMark/>
          </w:tcPr>
          <w:p w14:paraId="5D6F5522" w14:textId="77777777" w:rsidR="00165A84" w:rsidRPr="00165A84" w:rsidRDefault="00165A84" w:rsidP="00165A84">
            <w:pPr>
              <w:jc w:val="right"/>
              <w:rPr>
                <w:sz w:val="20"/>
              </w:rPr>
            </w:pPr>
            <w:r w:rsidRPr="00165A84">
              <w:rPr>
                <w:sz w:val="20"/>
              </w:rPr>
              <w:t>37,617</w:t>
            </w:r>
          </w:p>
        </w:tc>
      </w:tr>
      <w:tr w:rsidR="00165A84" w:rsidRPr="00165A84" w14:paraId="17603777"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1464E854" w14:textId="11380F79" w:rsidR="00165A84" w:rsidRPr="00165A84" w:rsidRDefault="00165A84" w:rsidP="00165A84">
            <w:pPr>
              <w:rPr>
                <w:sz w:val="20"/>
              </w:rPr>
            </w:pPr>
            <w:r w:rsidRPr="00165A84">
              <w:rPr>
                <w:sz w:val="20"/>
              </w:rPr>
              <w:t xml:space="preserve">    Rate (</w:t>
            </w:r>
            <w:r w:rsidR="00BD1693" w:rsidRPr="00165A84">
              <w:rPr>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7E319A74" w14:textId="77777777" w:rsidR="00165A84" w:rsidRPr="00165A84" w:rsidRDefault="00165A84" w:rsidP="00165A84">
            <w:pPr>
              <w:jc w:val="right"/>
              <w:rPr>
                <w:sz w:val="20"/>
              </w:rPr>
            </w:pPr>
            <w:r w:rsidRPr="00165A84">
              <w:rPr>
                <w:sz w:val="20"/>
              </w:rPr>
              <w:t>6.49%</w:t>
            </w:r>
          </w:p>
        </w:tc>
        <w:tc>
          <w:tcPr>
            <w:tcW w:w="980" w:type="dxa"/>
            <w:tcBorders>
              <w:top w:val="nil"/>
              <w:left w:val="nil"/>
              <w:bottom w:val="nil"/>
              <w:right w:val="single" w:sz="4" w:space="0" w:color="auto"/>
            </w:tcBorders>
            <w:shd w:val="clear" w:color="auto" w:fill="auto"/>
            <w:noWrap/>
            <w:vAlign w:val="bottom"/>
            <w:hideMark/>
          </w:tcPr>
          <w:p w14:paraId="4FFF6055" w14:textId="77777777" w:rsidR="00165A84" w:rsidRPr="00165A84" w:rsidRDefault="00165A84" w:rsidP="00165A84">
            <w:pPr>
              <w:jc w:val="right"/>
              <w:rPr>
                <w:sz w:val="20"/>
              </w:rPr>
            </w:pPr>
            <w:r w:rsidRPr="00165A84">
              <w:rPr>
                <w:sz w:val="20"/>
              </w:rPr>
              <w:t>6.08%</w:t>
            </w:r>
          </w:p>
        </w:tc>
        <w:tc>
          <w:tcPr>
            <w:tcW w:w="980" w:type="dxa"/>
            <w:tcBorders>
              <w:top w:val="nil"/>
              <w:left w:val="nil"/>
              <w:bottom w:val="nil"/>
              <w:right w:val="single" w:sz="4" w:space="0" w:color="auto"/>
            </w:tcBorders>
            <w:shd w:val="clear" w:color="auto" w:fill="auto"/>
            <w:noWrap/>
            <w:vAlign w:val="bottom"/>
            <w:hideMark/>
          </w:tcPr>
          <w:p w14:paraId="131F7107" w14:textId="77777777" w:rsidR="00165A84" w:rsidRPr="00165A84" w:rsidRDefault="00165A84" w:rsidP="00165A84">
            <w:pPr>
              <w:jc w:val="right"/>
              <w:rPr>
                <w:sz w:val="20"/>
              </w:rPr>
            </w:pPr>
            <w:r w:rsidRPr="00165A84">
              <w:rPr>
                <w:sz w:val="20"/>
              </w:rPr>
              <w:t>6.34%</w:t>
            </w:r>
          </w:p>
        </w:tc>
        <w:tc>
          <w:tcPr>
            <w:tcW w:w="980" w:type="dxa"/>
            <w:tcBorders>
              <w:top w:val="nil"/>
              <w:left w:val="nil"/>
              <w:bottom w:val="nil"/>
              <w:right w:val="nil"/>
            </w:tcBorders>
            <w:shd w:val="clear" w:color="auto" w:fill="auto"/>
            <w:noWrap/>
            <w:vAlign w:val="bottom"/>
            <w:hideMark/>
          </w:tcPr>
          <w:p w14:paraId="383FCC58" w14:textId="77777777" w:rsidR="00165A84" w:rsidRPr="00165A84" w:rsidRDefault="00165A84" w:rsidP="00165A84">
            <w:pPr>
              <w:jc w:val="right"/>
              <w:rPr>
                <w:sz w:val="20"/>
              </w:rPr>
            </w:pPr>
            <w:r w:rsidRPr="00165A84">
              <w:rPr>
                <w:sz w:val="20"/>
              </w:rPr>
              <w:t>6.34%</w:t>
            </w:r>
          </w:p>
        </w:tc>
        <w:tc>
          <w:tcPr>
            <w:tcW w:w="980" w:type="dxa"/>
            <w:tcBorders>
              <w:top w:val="nil"/>
              <w:left w:val="single" w:sz="4" w:space="0" w:color="auto"/>
              <w:bottom w:val="nil"/>
              <w:right w:val="single" w:sz="4" w:space="0" w:color="auto"/>
            </w:tcBorders>
            <w:shd w:val="clear" w:color="auto" w:fill="auto"/>
            <w:noWrap/>
            <w:vAlign w:val="bottom"/>
            <w:hideMark/>
          </w:tcPr>
          <w:p w14:paraId="028F2BA8" w14:textId="77777777" w:rsidR="00165A84" w:rsidRPr="00165A84" w:rsidRDefault="00165A84" w:rsidP="00165A84">
            <w:pPr>
              <w:jc w:val="right"/>
              <w:rPr>
                <w:sz w:val="20"/>
              </w:rPr>
            </w:pPr>
            <w:r w:rsidRPr="00165A84">
              <w:rPr>
                <w:sz w:val="20"/>
              </w:rPr>
              <w:t>6.34%</w:t>
            </w:r>
          </w:p>
        </w:tc>
        <w:tc>
          <w:tcPr>
            <w:tcW w:w="980" w:type="dxa"/>
            <w:tcBorders>
              <w:top w:val="nil"/>
              <w:left w:val="nil"/>
              <w:bottom w:val="nil"/>
              <w:right w:val="single" w:sz="4" w:space="0" w:color="auto"/>
            </w:tcBorders>
            <w:shd w:val="clear" w:color="auto" w:fill="auto"/>
            <w:noWrap/>
            <w:vAlign w:val="bottom"/>
            <w:hideMark/>
          </w:tcPr>
          <w:p w14:paraId="498A7DC9" w14:textId="77777777" w:rsidR="00165A84" w:rsidRPr="00165A84" w:rsidRDefault="00165A84" w:rsidP="00165A84">
            <w:pPr>
              <w:jc w:val="right"/>
              <w:rPr>
                <w:sz w:val="20"/>
              </w:rPr>
            </w:pPr>
            <w:r w:rsidRPr="00165A84">
              <w:rPr>
                <w:sz w:val="20"/>
              </w:rPr>
              <w:t>6.34%</w:t>
            </w:r>
          </w:p>
        </w:tc>
        <w:tc>
          <w:tcPr>
            <w:tcW w:w="980" w:type="dxa"/>
            <w:tcBorders>
              <w:top w:val="nil"/>
              <w:left w:val="nil"/>
              <w:bottom w:val="nil"/>
              <w:right w:val="single" w:sz="4" w:space="0" w:color="auto"/>
            </w:tcBorders>
            <w:shd w:val="clear" w:color="auto" w:fill="auto"/>
            <w:noWrap/>
            <w:vAlign w:val="bottom"/>
            <w:hideMark/>
          </w:tcPr>
          <w:p w14:paraId="610852E0" w14:textId="77777777" w:rsidR="00165A84" w:rsidRPr="00165A84" w:rsidRDefault="00165A84" w:rsidP="00165A84">
            <w:pPr>
              <w:jc w:val="right"/>
              <w:rPr>
                <w:sz w:val="20"/>
              </w:rPr>
            </w:pPr>
            <w:r w:rsidRPr="00165A84">
              <w:rPr>
                <w:sz w:val="20"/>
              </w:rPr>
              <w:t>5.72%</w:t>
            </w:r>
          </w:p>
        </w:tc>
      </w:tr>
      <w:tr w:rsidR="00165A84" w:rsidRPr="00165A84" w14:paraId="6DDC749B"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13C8CC5"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AF158C6" w14:textId="3BCA6199" w:rsidR="00165A84" w:rsidRPr="00165A84" w:rsidRDefault="00165A84" w:rsidP="00165A84">
            <w:pPr>
              <w:rPr>
                <w:sz w:val="20"/>
              </w:rPr>
            </w:pPr>
            <w:r w:rsidRPr="00165A84">
              <w:rPr>
                <w:sz w:val="20"/>
              </w:rPr>
              <w:t>31,396</w:t>
            </w:r>
          </w:p>
        </w:tc>
        <w:tc>
          <w:tcPr>
            <w:tcW w:w="980" w:type="dxa"/>
            <w:tcBorders>
              <w:top w:val="nil"/>
              <w:left w:val="nil"/>
              <w:bottom w:val="single" w:sz="4" w:space="0" w:color="auto"/>
              <w:right w:val="single" w:sz="4" w:space="0" w:color="auto"/>
            </w:tcBorders>
            <w:shd w:val="clear" w:color="auto" w:fill="auto"/>
            <w:noWrap/>
            <w:vAlign w:val="bottom"/>
            <w:hideMark/>
          </w:tcPr>
          <w:p w14:paraId="47E7A3C2" w14:textId="4DDE26DB" w:rsidR="00165A84" w:rsidRPr="00165A84" w:rsidRDefault="00165A84" w:rsidP="00165A84">
            <w:pPr>
              <w:rPr>
                <w:sz w:val="20"/>
              </w:rPr>
            </w:pPr>
            <w:r w:rsidRPr="00165A84">
              <w:rPr>
                <w:sz w:val="20"/>
              </w:rPr>
              <w:t>5,013</w:t>
            </w:r>
          </w:p>
        </w:tc>
        <w:tc>
          <w:tcPr>
            <w:tcW w:w="980" w:type="dxa"/>
            <w:tcBorders>
              <w:top w:val="nil"/>
              <w:left w:val="nil"/>
              <w:bottom w:val="single" w:sz="4" w:space="0" w:color="auto"/>
              <w:right w:val="single" w:sz="4" w:space="0" w:color="auto"/>
            </w:tcBorders>
            <w:shd w:val="clear" w:color="auto" w:fill="auto"/>
            <w:noWrap/>
            <w:vAlign w:val="bottom"/>
            <w:hideMark/>
          </w:tcPr>
          <w:p w14:paraId="1C821ED3" w14:textId="3DEA3C0F" w:rsidR="00165A84" w:rsidRPr="00165A84" w:rsidRDefault="00165A84" w:rsidP="00165A84">
            <w:pPr>
              <w:rPr>
                <w:sz w:val="20"/>
              </w:rPr>
            </w:pPr>
            <w:r w:rsidRPr="00165A84">
              <w:rPr>
                <w:sz w:val="20"/>
              </w:rPr>
              <w:t>2,838</w:t>
            </w:r>
          </w:p>
        </w:tc>
        <w:tc>
          <w:tcPr>
            <w:tcW w:w="980" w:type="dxa"/>
            <w:tcBorders>
              <w:top w:val="nil"/>
              <w:left w:val="nil"/>
              <w:bottom w:val="single" w:sz="4" w:space="0" w:color="auto"/>
              <w:right w:val="single" w:sz="4" w:space="0" w:color="auto"/>
            </w:tcBorders>
            <w:shd w:val="clear" w:color="auto" w:fill="auto"/>
            <w:noWrap/>
            <w:vAlign w:val="bottom"/>
            <w:hideMark/>
          </w:tcPr>
          <w:p w14:paraId="46E533DB" w14:textId="295870B2" w:rsidR="00165A84" w:rsidRPr="00165A84" w:rsidRDefault="00165A84" w:rsidP="00165A84">
            <w:pPr>
              <w:rPr>
                <w:sz w:val="20"/>
              </w:rPr>
            </w:pPr>
            <w:r w:rsidRPr="00165A84">
              <w:rPr>
                <w:sz w:val="20"/>
              </w:rPr>
              <w:t>2,433</w:t>
            </w:r>
          </w:p>
        </w:tc>
        <w:tc>
          <w:tcPr>
            <w:tcW w:w="980" w:type="dxa"/>
            <w:tcBorders>
              <w:top w:val="nil"/>
              <w:left w:val="nil"/>
              <w:bottom w:val="single" w:sz="4" w:space="0" w:color="auto"/>
              <w:right w:val="single" w:sz="4" w:space="0" w:color="auto"/>
            </w:tcBorders>
            <w:shd w:val="clear" w:color="auto" w:fill="auto"/>
            <w:noWrap/>
            <w:vAlign w:val="bottom"/>
            <w:hideMark/>
          </w:tcPr>
          <w:p w14:paraId="62034308" w14:textId="48863A08" w:rsidR="00165A84" w:rsidRPr="00165A84" w:rsidRDefault="00165A84" w:rsidP="00165A84">
            <w:pPr>
              <w:rPr>
                <w:sz w:val="20"/>
              </w:rPr>
            </w:pPr>
            <w:r w:rsidRPr="00165A84">
              <w:rPr>
                <w:sz w:val="20"/>
              </w:rPr>
              <w:t>144</w:t>
            </w:r>
          </w:p>
        </w:tc>
        <w:tc>
          <w:tcPr>
            <w:tcW w:w="980" w:type="dxa"/>
            <w:tcBorders>
              <w:top w:val="nil"/>
              <w:left w:val="nil"/>
              <w:bottom w:val="single" w:sz="4" w:space="0" w:color="auto"/>
              <w:right w:val="single" w:sz="4" w:space="0" w:color="auto"/>
            </w:tcBorders>
            <w:shd w:val="clear" w:color="auto" w:fill="auto"/>
            <w:noWrap/>
            <w:vAlign w:val="bottom"/>
            <w:hideMark/>
          </w:tcPr>
          <w:p w14:paraId="322F6804" w14:textId="2FB82C4F" w:rsidR="00165A84" w:rsidRPr="00165A84" w:rsidRDefault="00165A84" w:rsidP="00165A84">
            <w:pPr>
              <w:rPr>
                <w:sz w:val="20"/>
              </w:rPr>
            </w:pPr>
            <w:r w:rsidRPr="00165A84">
              <w:rPr>
                <w:sz w:val="20"/>
              </w:rPr>
              <w:t>262</w:t>
            </w:r>
          </w:p>
        </w:tc>
        <w:tc>
          <w:tcPr>
            <w:tcW w:w="980" w:type="dxa"/>
            <w:tcBorders>
              <w:top w:val="nil"/>
              <w:left w:val="nil"/>
              <w:bottom w:val="single" w:sz="4" w:space="0" w:color="auto"/>
              <w:right w:val="single" w:sz="4" w:space="0" w:color="auto"/>
            </w:tcBorders>
            <w:shd w:val="clear" w:color="auto" w:fill="auto"/>
            <w:noWrap/>
            <w:vAlign w:val="bottom"/>
            <w:hideMark/>
          </w:tcPr>
          <w:p w14:paraId="5FB640AF" w14:textId="18FE5DEC" w:rsidR="00165A84" w:rsidRPr="00165A84" w:rsidRDefault="00165A84" w:rsidP="00165A84">
            <w:pPr>
              <w:rPr>
                <w:sz w:val="20"/>
              </w:rPr>
            </w:pPr>
            <w:r w:rsidRPr="00165A84">
              <w:rPr>
                <w:sz w:val="20"/>
              </w:rPr>
              <w:t>2,153</w:t>
            </w:r>
          </w:p>
        </w:tc>
      </w:tr>
      <w:tr w:rsidR="00165A84" w:rsidRPr="00165A84" w14:paraId="424B235F" w14:textId="77777777" w:rsidTr="00165A8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3D7241E4" w14:textId="77F7803A" w:rsidR="00165A84" w:rsidRPr="00165A84" w:rsidRDefault="00165A84" w:rsidP="00165A84">
            <w:pPr>
              <w:rPr>
                <w:sz w:val="20"/>
              </w:rPr>
            </w:pPr>
            <w:r w:rsidRPr="00165A84">
              <w:rPr>
                <w:sz w:val="20"/>
              </w:rPr>
              <w:t xml:space="preserve">Older Adults </w:t>
            </w:r>
            <w:r w:rsidR="00240C80">
              <w:rPr>
                <w:sz w:val="20"/>
              </w:rPr>
              <w:t>26+</w:t>
            </w:r>
            <w:r w:rsidRPr="00165A8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63568ABD" w14:textId="7165F2EF"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0A15565F" w14:textId="6F25B09C"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F9F2897" w14:textId="13F53F32"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47E51DE5" w14:textId="428611A5"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BB8A98B" w14:textId="2C5FAE6D"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364CFAAF" w14:textId="6DB34A03"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239E676" w14:textId="122B3AB2" w:rsidR="00165A84" w:rsidRPr="00165A84" w:rsidRDefault="00165A84" w:rsidP="00165A84">
            <w:pPr>
              <w:rPr>
                <w:sz w:val="20"/>
              </w:rPr>
            </w:pPr>
          </w:p>
        </w:tc>
      </w:tr>
      <w:tr w:rsidR="00165A84" w:rsidRPr="00165A84" w14:paraId="2036EF58"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5798B992"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913E983" w14:textId="77777777" w:rsidR="00165A84" w:rsidRPr="00165A84" w:rsidRDefault="00165A84" w:rsidP="00165A84">
            <w:pPr>
              <w:jc w:val="right"/>
              <w:rPr>
                <w:sz w:val="20"/>
              </w:rPr>
            </w:pPr>
            <w:r w:rsidRPr="00165A84">
              <w:rPr>
                <w:sz w:val="20"/>
              </w:rPr>
              <w:t>3,077,467</w:t>
            </w:r>
          </w:p>
        </w:tc>
        <w:tc>
          <w:tcPr>
            <w:tcW w:w="980" w:type="dxa"/>
            <w:tcBorders>
              <w:top w:val="nil"/>
              <w:left w:val="nil"/>
              <w:bottom w:val="nil"/>
              <w:right w:val="nil"/>
            </w:tcBorders>
            <w:shd w:val="clear" w:color="auto" w:fill="auto"/>
            <w:noWrap/>
            <w:vAlign w:val="bottom"/>
            <w:hideMark/>
          </w:tcPr>
          <w:p w14:paraId="2BF20768" w14:textId="77777777" w:rsidR="00165A84" w:rsidRPr="00165A84" w:rsidRDefault="00165A84" w:rsidP="00165A84">
            <w:pPr>
              <w:jc w:val="right"/>
              <w:rPr>
                <w:sz w:val="20"/>
              </w:rPr>
            </w:pPr>
            <w:r w:rsidRPr="00165A8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7F12D8D3" w14:textId="77777777" w:rsidR="00165A84" w:rsidRPr="00165A84" w:rsidRDefault="00165A84" w:rsidP="00165A84">
            <w:pPr>
              <w:jc w:val="right"/>
              <w:rPr>
                <w:sz w:val="20"/>
              </w:rPr>
            </w:pPr>
            <w:r w:rsidRPr="00165A84">
              <w:rPr>
                <w:sz w:val="20"/>
              </w:rPr>
              <w:t>320,039</w:t>
            </w:r>
          </w:p>
        </w:tc>
        <w:tc>
          <w:tcPr>
            <w:tcW w:w="980" w:type="dxa"/>
            <w:tcBorders>
              <w:top w:val="nil"/>
              <w:left w:val="nil"/>
              <w:bottom w:val="nil"/>
              <w:right w:val="nil"/>
            </w:tcBorders>
            <w:shd w:val="clear" w:color="auto" w:fill="auto"/>
            <w:noWrap/>
            <w:vAlign w:val="bottom"/>
            <w:hideMark/>
          </w:tcPr>
          <w:p w14:paraId="111511C3" w14:textId="77777777" w:rsidR="00165A84" w:rsidRPr="00165A84" w:rsidRDefault="00165A84" w:rsidP="00165A84">
            <w:pPr>
              <w:jc w:val="right"/>
              <w:rPr>
                <w:sz w:val="20"/>
              </w:rPr>
            </w:pPr>
            <w:r w:rsidRPr="00165A8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70572A19" w14:textId="77777777" w:rsidR="00165A84" w:rsidRPr="00165A84" w:rsidRDefault="00165A84" w:rsidP="00165A84">
            <w:pPr>
              <w:jc w:val="right"/>
              <w:rPr>
                <w:sz w:val="20"/>
              </w:rPr>
            </w:pPr>
            <w:r w:rsidRPr="00165A84">
              <w:rPr>
                <w:sz w:val="20"/>
              </w:rPr>
              <w:t>14,956</w:t>
            </w:r>
          </w:p>
        </w:tc>
        <w:tc>
          <w:tcPr>
            <w:tcW w:w="980" w:type="dxa"/>
            <w:tcBorders>
              <w:top w:val="nil"/>
              <w:left w:val="nil"/>
              <w:bottom w:val="nil"/>
              <w:right w:val="single" w:sz="4" w:space="0" w:color="auto"/>
            </w:tcBorders>
            <w:shd w:val="clear" w:color="auto" w:fill="auto"/>
            <w:noWrap/>
            <w:vAlign w:val="bottom"/>
            <w:hideMark/>
          </w:tcPr>
          <w:p w14:paraId="5AF6ED21" w14:textId="77777777" w:rsidR="00165A84" w:rsidRPr="00165A84" w:rsidRDefault="00165A84" w:rsidP="00165A84">
            <w:pPr>
              <w:jc w:val="right"/>
              <w:rPr>
                <w:sz w:val="20"/>
              </w:rPr>
            </w:pPr>
            <w:r w:rsidRPr="00165A84">
              <w:rPr>
                <w:sz w:val="20"/>
              </w:rPr>
              <w:t>30,611</w:t>
            </w:r>
          </w:p>
        </w:tc>
        <w:tc>
          <w:tcPr>
            <w:tcW w:w="980" w:type="dxa"/>
            <w:tcBorders>
              <w:top w:val="nil"/>
              <w:left w:val="nil"/>
              <w:bottom w:val="nil"/>
              <w:right w:val="single" w:sz="4" w:space="0" w:color="auto"/>
            </w:tcBorders>
            <w:shd w:val="clear" w:color="auto" w:fill="auto"/>
            <w:noWrap/>
            <w:vAlign w:val="bottom"/>
            <w:hideMark/>
          </w:tcPr>
          <w:p w14:paraId="4DF3E221" w14:textId="77777777" w:rsidR="00165A84" w:rsidRPr="00165A84" w:rsidRDefault="00165A84" w:rsidP="00165A84">
            <w:pPr>
              <w:jc w:val="right"/>
              <w:rPr>
                <w:sz w:val="20"/>
              </w:rPr>
            </w:pPr>
            <w:r w:rsidRPr="00165A84">
              <w:rPr>
                <w:sz w:val="20"/>
              </w:rPr>
              <w:t>299,579</w:t>
            </w:r>
          </w:p>
        </w:tc>
      </w:tr>
      <w:tr w:rsidR="00165A84" w:rsidRPr="00165A84" w14:paraId="75358A5D"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688D743"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7AB70C70" w14:textId="77777777" w:rsidR="00165A84" w:rsidRPr="00165A84" w:rsidRDefault="00165A84" w:rsidP="00165A84">
            <w:pPr>
              <w:jc w:val="right"/>
              <w:rPr>
                <w:sz w:val="20"/>
              </w:rPr>
            </w:pPr>
            <w:r w:rsidRPr="00165A84">
              <w:rPr>
                <w:sz w:val="20"/>
              </w:rPr>
              <w:t>3.04%</w:t>
            </w:r>
          </w:p>
        </w:tc>
        <w:tc>
          <w:tcPr>
            <w:tcW w:w="980" w:type="dxa"/>
            <w:tcBorders>
              <w:top w:val="nil"/>
              <w:left w:val="nil"/>
              <w:bottom w:val="nil"/>
              <w:right w:val="single" w:sz="4" w:space="0" w:color="auto"/>
            </w:tcBorders>
            <w:shd w:val="clear" w:color="auto" w:fill="auto"/>
            <w:noWrap/>
            <w:vAlign w:val="bottom"/>
            <w:hideMark/>
          </w:tcPr>
          <w:p w14:paraId="5B65227E" w14:textId="77777777" w:rsidR="00165A84" w:rsidRPr="00165A84" w:rsidRDefault="00165A84" w:rsidP="00165A84">
            <w:pPr>
              <w:jc w:val="right"/>
              <w:rPr>
                <w:sz w:val="20"/>
              </w:rPr>
            </w:pPr>
            <w:r w:rsidRPr="00165A84">
              <w:rPr>
                <w:sz w:val="20"/>
              </w:rPr>
              <w:t>3.49%</w:t>
            </w:r>
          </w:p>
        </w:tc>
        <w:tc>
          <w:tcPr>
            <w:tcW w:w="980" w:type="dxa"/>
            <w:tcBorders>
              <w:top w:val="nil"/>
              <w:left w:val="nil"/>
              <w:bottom w:val="nil"/>
              <w:right w:val="single" w:sz="4" w:space="0" w:color="auto"/>
            </w:tcBorders>
            <w:shd w:val="clear" w:color="auto" w:fill="auto"/>
            <w:noWrap/>
            <w:vAlign w:val="bottom"/>
            <w:hideMark/>
          </w:tcPr>
          <w:p w14:paraId="51E914B6" w14:textId="77777777" w:rsidR="00165A84" w:rsidRPr="00165A84" w:rsidRDefault="00165A84" w:rsidP="00165A84">
            <w:pPr>
              <w:jc w:val="right"/>
              <w:rPr>
                <w:sz w:val="20"/>
              </w:rPr>
            </w:pPr>
            <w:r w:rsidRPr="00165A84">
              <w:rPr>
                <w:sz w:val="20"/>
              </w:rPr>
              <w:t>3.85%</w:t>
            </w:r>
          </w:p>
        </w:tc>
        <w:tc>
          <w:tcPr>
            <w:tcW w:w="980" w:type="dxa"/>
            <w:tcBorders>
              <w:top w:val="nil"/>
              <w:left w:val="nil"/>
              <w:bottom w:val="nil"/>
              <w:right w:val="nil"/>
            </w:tcBorders>
            <w:shd w:val="clear" w:color="auto" w:fill="auto"/>
            <w:noWrap/>
            <w:vAlign w:val="bottom"/>
            <w:hideMark/>
          </w:tcPr>
          <w:p w14:paraId="75CC7B42" w14:textId="77777777" w:rsidR="00165A84" w:rsidRPr="00165A84" w:rsidRDefault="00165A84" w:rsidP="00165A84">
            <w:pPr>
              <w:jc w:val="right"/>
              <w:rPr>
                <w:sz w:val="20"/>
              </w:rPr>
            </w:pPr>
            <w:r w:rsidRPr="00165A84">
              <w:rPr>
                <w:sz w:val="20"/>
              </w:rPr>
              <w:t>3.85%</w:t>
            </w:r>
          </w:p>
        </w:tc>
        <w:tc>
          <w:tcPr>
            <w:tcW w:w="980" w:type="dxa"/>
            <w:tcBorders>
              <w:top w:val="nil"/>
              <w:left w:val="single" w:sz="4" w:space="0" w:color="auto"/>
              <w:bottom w:val="nil"/>
              <w:right w:val="single" w:sz="4" w:space="0" w:color="auto"/>
            </w:tcBorders>
            <w:shd w:val="clear" w:color="auto" w:fill="auto"/>
            <w:noWrap/>
            <w:vAlign w:val="bottom"/>
            <w:hideMark/>
          </w:tcPr>
          <w:p w14:paraId="40A17775" w14:textId="77777777" w:rsidR="00165A84" w:rsidRPr="00165A84" w:rsidRDefault="00165A84" w:rsidP="00165A84">
            <w:pPr>
              <w:jc w:val="right"/>
              <w:rPr>
                <w:sz w:val="20"/>
              </w:rPr>
            </w:pPr>
            <w:r w:rsidRPr="00165A84">
              <w:rPr>
                <w:sz w:val="20"/>
              </w:rPr>
              <w:t>3.85%</w:t>
            </w:r>
          </w:p>
        </w:tc>
        <w:tc>
          <w:tcPr>
            <w:tcW w:w="980" w:type="dxa"/>
            <w:tcBorders>
              <w:top w:val="nil"/>
              <w:left w:val="nil"/>
              <w:bottom w:val="nil"/>
              <w:right w:val="single" w:sz="4" w:space="0" w:color="auto"/>
            </w:tcBorders>
            <w:shd w:val="clear" w:color="auto" w:fill="auto"/>
            <w:noWrap/>
            <w:vAlign w:val="bottom"/>
            <w:hideMark/>
          </w:tcPr>
          <w:p w14:paraId="0D708D50" w14:textId="77777777" w:rsidR="00165A84" w:rsidRPr="00165A84" w:rsidRDefault="00165A84" w:rsidP="00165A84">
            <w:pPr>
              <w:jc w:val="right"/>
              <w:rPr>
                <w:sz w:val="20"/>
              </w:rPr>
            </w:pPr>
            <w:r w:rsidRPr="00165A84">
              <w:rPr>
                <w:sz w:val="20"/>
              </w:rPr>
              <w:t>3.85%</w:t>
            </w:r>
          </w:p>
        </w:tc>
        <w:tc>
          <w:tcPr>
            <w:tcW w:w="980" w:type="dxa"/>
            <w:tcBorders>
              <w:top w:val="nil"/>
              <w:left w:val="nil"/>
              <w:bottom w:val="nil"/>
              <w:right w:val="single" w:sz="4" w:space="0" w:color="auto"/>
            </w:tcBorders>
            <w:shd w:val="clear" w:color="auto" w:fill="auto"/>
            <w:noWrap/>
            <w:vAlign w:val="bottom"/>
            <w:hideMark/>
          </w:tcPr>
          <w:p w14:paraId="31E9E651" w14:textId="77777777" w:rsidR="00165A84" w:rsidRPr="00165A84" w:rsidRDefault="00165A84" w:rsidP="00165A84">
            <w:pPr>
              <w:jc w:val="right"/>
              <w:rPr>
                <w:sz w:val="20"/>
              </w:rPr>
            </w:pPr>
            <w:r w:rsidRPr="00165A84">
              <w:rPr>
                <w:sz w:val="20"/>
              </w:rPr>
              <w:t>3.09%</w:t>
            </w:r>
          </w:p>
        </w:tc>
      </w:tr>
      <w:tr w:rsidR="00165A84" w:rsidRPr="00165A84" w14:paraId="3F7DFED5"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220A02EE"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51F22B9" w14:textId="3E214C0C" w:rsidR="00165A84" w:rsidRPr="00165A84" w:rsidRDefault="00165A84" w:rsidP="00165A84">
            <w:pPr>
              <w:rPr>
                <w:sz w:val="20"/>
              </w:rPr>
            </w:pPr>
            <w:r w:rsidRPr="00165A84">
              <w:rPr>
                <w:sz w:val="20"/>
              </w:rPr>
              <w:t>93,698</w:t>
            </w:r>
          </w:p>
        </w:tc>
        <w:tc>
          <w:tcPr>
            <w:tcW w:w="980" w:type="dxa"/>
            <w:tcBorders>
              <w:top w:val="nil"/>
              <w:left w:val="nil"/>
              <w:bottom w:val="single" w:sz="4" w:space="0" w:color="auto"/>
              <w:right w:val="single" w:sz="4" w:space="0" w:color="auto"/>
            </w:tcBorders>
            <w:shd w:val="clear" w:color="auto" w:fill="auto"/>
            <w:noWrap/>
            <w:vAlign w:val="bottom"/>
            <w:hideMark/>
          </w:tcPr>
          <w:p w14:paraId="4684113D" w14:textId="0856C97A" w:rsidR="00165A84" w:rsidRPr="00165A84" w:rsidRDefault="00165A84" w:rsidP="00165A84">
            <w:pPr>
              <w:rPr>
                <w:sz w:val="20"/>
              </w:rPr>
            </w:pPr>
            <w:r w:rsidRPr="00165A84">
              <w:rPr>
                <w:sz w:val="20"/>
              </w:rPr>
              <w:t>21,648</w:t>
            </w:r>
          </w:p>
        </w:tc>
        <w:tc>
          <w:tcPr>
            <w:tcW w:w="980" w:type="dxa"/>
            <w:tcBorders>
              <w:top w:val="nil"/>
              <w:left w:val="nil"/>
              <w:bottom w:val="single" w:sz="4" w:space="0" w:color="auto"/>
              <w:right w:val="single" w:sz="4" w:space="0" w:color="auto"/>
            </w:tcBorders>
            <w:shd w:val="clear" w:color="auto" w:fill="auto"/>
            <w:noWrap/>
            <w:vAlign w:val="bottom"/>
            <w:hideMark/>
          </w:tcPr>
          <w:p w14:paraId="539618B7" w14:textId="3D12FBEA" w:rsidR="00165A84" w:rsidRPr="00165A84" w:rsidRDefault="00165A84" w:rsidP="00165A84">
            <w:pPr>
              <w:rPr>
                <w:sz w:val="20"/>
              </w:rPr>
            </w:pPr>
            <w:r w:rsidRPr="00165A84">
              <w:rPr>
                <w:sz w:val="20"/>
              </w:rPr>
              <w:t>12,331</w:t>
            </w:r>
          </w:p>
        </w:tc>
        <w:tc>
          <w:tcPr>
            <w:tcW w:w="980" w:type="dxa"/>
            <w:tcBorders>
              <w:top w:val="nil"/>
              <w:left w:val="nil"/>
              <w:bottom w:val="single" w:sz="4" w:space="0" w:color="auto"/>
              <w:right w:val="single" w:sz="4" w:space="0" w:color="auto"/>
            </w:tcBorders>
            <w:shd w:val="clear" w:color="auto" w:fill="auto"/>
            <w:noWrap/>
            <w:vAlign w:val="bottom"/>
            <w:hideMark/>
          </w:tcPr>
          <w:p w14:paraId="403F103A" w14:textId="1E3A8227" w:rsidR="00165A84" w:rsidRPr="00165A84" w:rsidRDefault="00165A84" w:rsidP="00165A84">
            <w:pPr>
              <w:rPr>
                <w:sz w:val="20"/>
              </w:rPr>
            </w:pPr>
            <w:r w:rsidRPr="00165A84">
              <w:rPr>
                <w:sz w:val="20"/>
              </w:rPr>
              <w:t>10,575</w:t>
            </w:r>
          </w:p>
        </w:tc>
        <w:tc>
          <w:tcPr>
            <w:tcW w:w="980" w:type="dxa"/>
            <w:tcBorders>
              <w:top w:val="nil"/>
              <w:left w:val="nil"/>
              <w:bottom w:val="single" w:sz="4" w:space="0" w:color="auto"/>
              <w:right w:val="single" w:sz="4" w:space="0" w:color="auto"/>
            </w:tcBorders>
            <w:shd w:val="clear" w:color="auto" w:fill="auto"/>
            <w:noWrap/>
            <w:vAlign w:val="bottom"/>
            <w:hideMark/>
          </w:tcPr>
          <w:p w14:paraId="4E5E628D" w14:textId="1C29B2E9" w:rsidR="00165A84" w:rsidRPr="00165A84" w:rsidRDefault="00165A84" w:rsidP="00165A84">
            <w:pPr>
              <w:rPr>
                <w:sz w:val="20"/>
              </w:rPr>
            </w:pPr>
            <w:r w:rsidRPr="00165A84">
              <w:rPr>
                <w:sz w:val="20"/>
              </w:rPr>
              <w:t>576</w:t>
            </w:r>
          </w:p>
        </w:tc>
        <w:tc>
          <w:tcPr>
            <w:tcW w:w="980" w:type="dxa"/>
            <w:tcBorders>
              <w:top w:val="nil"/>
              <w:left w:val="nil"/>
              <w:bottom w:val="single" w:sz="4" w:space="0" w:color="auto"/>
              <w:right w:val="single" w:sz="4" w:space="0" w:color="auto"/>
            </w:tcBorders>
            <w:shd w:val="clear" w:color="auto" w:fill="auto"/>
            <w:noWrap/>
            <w:vAlign w:val="bottom"/>
            <w:hideMark/>
          </w:tcPr>
          <w:p w14:paraId="15F7A121" w14:textId="0CDD737A" w:rsidR="00165A84" w:rsidRPr="00165A84" w:rsidRDefault="00165A84" w:rsidP="00165A84">
            <w:pPr>
              <w:rPr>
                <w:sz w:val="20"/>
              </w:rPr>
            </w:pPr>
            <w:r w:rsidRPr="00165A84">
              <w:rPr>
                <w:sz w:val="20"/>
              </w:rPr>
              <w:t>1,179</w:t>
            </w:r>
          </w:p>
        </w:tc>
        <w:tc>
          <w:tcPr>
            <w:tcW w:w="980" w:type="dxa"/>
            <w:tcBorders>
              <w:top w:val="nil"/>
              <w:left w:val="nil"/>
              <w:bottom w:val="single" w:sz="4" w:space="0" w:color="auto"/>
              <w:right w:val="single" w:sz="4" w:space="0" w:color="auto"/>
            </w:tcBorders>
            <w:shd w:val="clear" w:color="auto" w:fill="auto"/>
            <w:noWrap/>
            <w:vAlign w:val="bottom"/>
            <w:hideMark/>
          </w:tcPr>
          <w:p w14:paraId="57ED23A9" w14:textId="60D5177A" w:rsidR="00165A84" w:rsidRPr="00165A84" w:rsidRDefault="00165A84" w:rsidP="00165A84">
            <w:pPr>
              <w:rPr>
                <w:sz w:val="20"/>
              </w:rPr>
            </w:pPr>
            <w:r w:rsidRPr="00165A84">
              <w:rPr>
                <w:sz w:val="20"/>
              </w:rPr>
              <w:t>9,259</w:t>
            </w:r>
          </w:p>
        </w:tc>
      </w:tr>
      <w:tr w:rsidR="00165A84" w:rsidRPr="00165A84" w14:paraId="7C3C8191"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5FA6158E" w14:textId="77777777" w:rsidR="00165A84" w:rsidRPr="00165A84" w:rsidRDefault="00165A84" w:rsidP="00165A84">
            <w:pPr>
              <w:rPr>
                <w:sz w:val="20"/>
              </w:rPr>
            </w:pPr>
            <w:r w:rsidRPr="00165A8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0195E32C" w14:textId="69F2883F"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6E38C8C0"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37A6FAE" w14:textId="1861CC6E"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5B1B23E0"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B3C3506" w14:textId="7AEC4EE1"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0FCAE932" w14:textId="569B1369"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7660D79C" w14:textId="16447EC9" w:rsidR="00165A84" w:rsidRPr="00165A84" w:rsidRDefault="00165A84" w:rsidP="00165A84">
            <w:pPr>
              <w:rPr>
                <w:sz w:val="20"/>
              </w:rPr>
            </w:pPr>
          </w:p>
        </w:tc>
      </w:tr>
      <w:tr w:rsidR="00165A84" w:rsidRPr="00165A84" w14:paraId="648117E7"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843884B"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1D07F63" w14:textId="77777777" w:rsidR="00165A84" w:rsidRPr="00165A84" w:rsidRDefault="00165A84" w:rsidP="00165A84">
            <w:pPr>
              <w:jc w:val="right"/>
              <w:rPr>
                <w:sz w:val="20"/>
              </w:rPr>
            </w:pPr>
            <w:r w:rsidRPr="00165A84">
              <w:rPr>
                <w:sz w:val="20"/>
              </w:rPr>
              <w:t>3,561,164</w:t>
            </w:r>
          </w:p>
        </w:tc>
        <w:tc>
          <w:tcPr>
            <w:tcW w:w="980" w:type="dxa"/>
            <w:tcBorders>
              <w:top w:val="nil"/>
              <w:left w:val="nil"/>
              <w:bottom w:val="nil"/>
              <w:right w:val="nil"/>
            </w:tcBorders>
            <w:shd w:val="clear" w:color="auto" w:fill="auto"/>
            <w:noWrap/>
            <w:vAlign w:val="bottom"/>
            <w:hideMark/>
          </w:tcPr>
          <w:p w14:paraId="06B3C027" w14:textId="77777777" w:rsidR="00165A84" w:rsidRPr="00165A84" w:rsidRDefault="00165A84" w:rsidP="00165A84">
            <w:pPr>
              <w:jc w:val="right"/>
              <w:rPr>
                <w:sz w:val="20"/>
              </w:rPr>
            </w:pPr>
            <w:r w:rsidRPr="00165A8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38DF3AB6" w14:textId="77777777" w:rsidR="00165A84" w:rsidRPr="00165A84" w:rsidRDefault="00165A84" w:rsidP="00165A84">
            <w:pPr>
              <w:jc w:val="right"/>
              <w:rPr>
                <w:sz w:val="20"/>
              </w:rPr>
            </w:pPr>
            <w:r w:rsidRPr="00165A84">
              <w:rPr>
                <w:sz w:val="20"/>
              </w:rPr>
              <w:t>364,829</w:t>
            </w:r>
          </w:p>
        </w:tc>
        <w:tc>
          <w:tcPr>
            <w:tcW w:w="980" w:type="dxa"/>
            <w:tcBorders>
              <w:top w:val="nil"/>
              <w:left w:val="nil"/>
              <w:bottom w:val="nil"/>
              <w:right w:val="nil"/>
            </w:tcBorders>
            <w:shd w:val="clear" w:color="auto" w:fill="auto"/>
            <w:noWrap/>
            <w:vAlign w:val="bottom"/>
            <w:hideMark/>
          </w:tcPr>
          <w:p w14:paraId="66DC27D7" w14:textId="77777777" w:rsidR="00165A84" w:rsidRPr="00165A84" w:rsidRDefault="00165A84" w:rsidP="00165A84">
            <w:pPr>
              <w:jc w:val="right"/>
              <w:rPr>
                <w:sz w:val="20"/>
              </w:rPr>
            </w:pPr>
            <w:r w:rsidRPr="00165A8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26F14723" w14:textId="77777777" w:rsidR="00165A84" w:rsidRPr="00165A84" w:rsidRDefault="00165A84" w:rsidP="00165A84">
            <w:pPr>
              <w:jc w:val="right"/>
              <w:rPr>
                <w:sz w:val="20"/>
              </w:rPr>
            </w:pPr>
            <w:r w:rsidRPr="00165A84">
              <w:rPr>
                <w:sz w:val="20"/>
              </w:rPr>
              <w:t>17,221</w:t>
            </w:r>
          </w:p>
        </w:tc>
        <w:tc>
          <w:tcPr>
            <w:tcW w:w="980" w:type="dxa"/>
            <w:tcBorders>
              <w:top w:val="nil"/>
              <w:left w:val="nil"/>
              <w:bottom w:val="nil"/>
              <w:right w:val="single" w:sz="4" w:space="0" w:color="auto"/>
            </w:tcBorders>
            <w:shd w:val="clear" w:color="auto" w:fill="auto"/>
            <w:noWrap/>
            <w:vAlign w:val="bottom"/>
            <w:hideMark/>
          </w:tcPr>
          <w:p w14:paraId="1142D000" w14:textId="77777777" w:rsidR="00165A84" w:rsidRPr="00165A84" w:rsidRDefault="00165A84" w:rsidP="00165A84">
            <w:pPr>
              <w:jc w:val="right"/>
              <w:rPr>
                <w:sz w:val="20"/>
              </w:rPr>
            </w:pPr>
            <w:r w:rsidRPr="00165A84">
              <w:rPr>
                <w:sz w:val="20"/>
              </w:rPr>
              <w:t>34,744</w:t>
            </w:r>
          </w:p>
        </w:tc>
        <w:tc>
          <w:tcPr>
            <w:tcW w:w="980" w:type="dxa"/>
            <w:tcBorders>
              <w:top w:val="nil"/>
              <w:left w:val="nil"/>
              <w:bottom w:val="nil"/>
              <w:right w:val="single" w:sz="4" w:space="0" w:color="auto"/>
            </w:tcBorders>
            <w:shd w:val="clear" w:color="auto" w:fill="auto"/>
            <w:noWrap/>
            <w:vAlign w:val="bottom"/>
            <w:hideMark/>
          </w:tcPr>
          <w:p w14:paraId="4B325203" w14:textId="77777777" w:rsidR="00165A84" w:rsidRPr="00165A84" w:rsidRDefault="00165A84" w:rsidP="00165A84">
            <w:pPr>
              <w:jc w:val="right"/>
              <w:rPr>
                <w:sz w:val="20"/>
              </w:rPr>
            </w:pPr>
            <w:r w:rsidRPr="00165A84">
              <w:rPr>
                <w:sz w:val="20"/>
              </w:rPr>
              <w:t>337,196</w:t>
            </w:r>
          </w:p>
        </w:tc>
      </w:tr>
      <w:tr w:rsidR="00165A84" w:rsidRPr="00165A84" w14:paraId="65A73911"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77ED874"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6842A451" w14:textId="77777777" w:rsidR="00165A84" w:rsidRPr="00165A84" w:rsidRDefault="00165A84" w:rsidP="00165A84">
            <w:pPr>
              <w:jc w:val="right"/>
              <w:rPr>
                <w:sz w:val="20"/>
              </w:rPr>
            </w:pPr>
            <w:r w:rsidRPr="00165A84">
              <w:rPr>
                <w:sz w:val="20"/>
              </w:rPr>
              <w:t>3.53%</w:t>
            </w:r>
          </w:p>
        </w:tc>
        <w:tc>
          <w:tcPr>
            <w:tcW w:w="980" w:type="dxa"/>
            <w:tcBorders>
              <w:top w:val="nil"/>
              <w:left w:val="nil"/>
              <w:bottom w:val="nil"/>
              <w:right w:val="single" w:sz="4" w:space="0" w:color="auto"/>
            </w:tcBorders>
            <w:shd w:val="clear" w:color="auto" w:fill="auto"/>
            <w:noWrap/>
            <w:vAlign w:val="bottom"/>
            <w:hideMark/>
          </w:tcPr>
          <w:p w14:paraId="5FA6B0E2" w14:textId="77777777" w:rsidR="00165A84" w:rsidRPr="00165A84" w:rsidRDefault="00165A84" w:rsidP="00165A84">
            <w:pPr>
              <w:jc w:val="right"/>
              <w:rPr>
                <w:sz w:val="20"/>
              </w:rPr>
            </w:pPr>
            <w:r w:rsidRPr="00165A84">
              <w:rPr>
                <w:sz w:val="20"/>
              </w:rPr>
              <w:t>3.83%</w:t>
            </w:r>
          </w:p>
        </w:tc>
        <w:tc>
          <w:tcPr>
            <w:tcW w:w="980" w:type="dxa"/>
            <w:tcBorders>
              <w:top w:val="nil"/>
              <w:left w:val="nil"/>
              <w:bottom w:val="nil"/>
              <w:right w:val="single" w:sz="4" w:space="0" w:color="auto"/>
            </w:tcBorders>
            <w:shd w:val="clear" w:color="auto" w:fill="auto"/>
            <w:noWrap/>
            <w:vAlign w:val="bottom"/>
            <w:hideMark/>
          </w:tcPr>
          <w:p w14:paraId="18DCB8CD" w14:textId="77777777" w:rsidR="00165A84" w:rsidRPr="00165A84" w:rsidRDefault="00165A84" w:rsidP="00165A84">
            <w:pPr>
              <w:jc w:val="right"/>
              <w:rPr>
                <w:sz w:val="20"/>
              </w:rPr>
            </w:pPr>
            <w:r w:rsidRPr="00165A84">
              <w:rPr>
                <w:sz w:val="20"/>
              </w:rPr>
              <w:t>4.20%</w:t>
            </w:r>
          </w:p>
        </w:tc>
        <w:tc>
          <w:tcPr>
            <w:tcW w:w="980" w:type="dxa"/>
            <w:tcBorders>
              <w:top w:val="nil"/>
              <w:left w:val="nil"/>
              <w:bottom w:val="nil"/>
              <w:right w:val="nil"/>
            </w:tcBorders>
            <w:shd w:val="clear" w:color="auto" w:fill="auto"/>
            <w:noWrap/>
            <w:vAlign w:val="bottom"/>
            <w:hideMark/>
          </w:tcPr>
          <w:p w14:paraId="66AA5D1F" w14:textId="77777777" w:rsidR="00165A84" w:rsidRPr="00165A84" w:rsidRDefault="00165A84" w:rsidP="00165A84">
            <w:pPr>
              <w:jc w:val="right"/>
              <w:rPr>
                <w:sz w:val="20"/>
              </w:rPr>
            </w:pPr>
            <w:r w:rsidRPr="00165A84">
              <w:rPr>
                <w:sz w:val="20"/>
              </w:rPr>
              <w:t>4.20%</w:t>
            </w:r>
          </w:p>
        </w:tc>
        <w:tc>
          <w:tcPr>
            <w:tcW w:w="980" w:type="dxa"/>
            <w:tcBorders>
              <w:top w:val="nil"/>
              <w:left w:val="single" w:sz="4" w:space="0" w:color="auto"/>
              <w:bottom w:val="nil"/>
              <w:right w:val="single" w:sz="4" w:space="0" w:color="auto"/>
            </w:tcBorders>
            <w:shd w:val="clear" w:color="auto" w:fill="auto"/>
            <w:noWrap/>
            <w:vAlign w:val="bottom"/>
            <w:hideMark/>
          </w:tcPr>
          <w:p w14:paraId="30C3677F" w14:textId="77777777" w:rsidR="00165A84" w:rsidRPr="00165A84" w:rsidRDefault="00165A84" w:rsidP="00165A84">
            <w:pPr>
              <w:jc w:val="right"/>
              <w:rPr>
                <w:sz w:val="20"/>
              </w:rPr>
            </w:pPr>
            <w:r w:rsidRPr="00165A84">
              <w:rPr>
                <w:sz w:val="20"/>
              </w:rPr>
              <w:t>4.20%</w:t>
            </w:r>
          </w:p>
        </w:tc>
        <w:tc>
          <w:tcPr>
            <w:tcW w:w="980" w:type="dxa"/>
            <w:tcBorders>
              <w:top w:val="nil"/>
              <w:left w:val="nil"/>
              <w:bottom w:val="nil"/>
              <w:right w:val="single" w:sz="4" w:space="0" w:color="auto"/>
            </w:tcBorders>
            <w:shd w:val="clear" w:color="auto" w:fill="auto"/>
            <w:noWrap/>
            <w:vAlign w:val="bottom"/>
            <w:hideMark/>
          </w:tcPr>
          <w:p w14:paraId="536648EE" w14:textId="77777777" w:rsidR="00165A84" w:rsidRPr="00165A84" w:rsidRDefault="00165A84" w:rsidP="00165A84">
            <w:pPr>
              <w:jc w:val="right"/>
              <w:rPr>
                <w:sz w:val="20"/>
              </w:rPr>
            </w:pPr>
            <w:r w:rsidRPr="00165A84">
              <w:rPr>
                <w:sz w:val="20"/>
              </w:rPr>
              <w:t>4.20%</w:t>
            </w:r>
          </w:p>
        </w:tc>
        <w:tc>
          <w:tcPr>
            <w:tcW w:w="980" w:type="dxa"/>
            <w:tcBorders>
              <w:top w:val="nil"/>
              <w:left w:val="nil"/>
              <w:bottom w:val="nil"/>
              <w:right w:val="single" w:sz="4" w:space="0" w:color="auto"/>
            </w:tcBorders>
            <w:shd w:val="clear" w:color="auto" w:fill="auto"/>
            <w:noWrap/>
            <w:vAlign w:val="bottom"/>
            <w:hideMark/>
          </w:tcPr>
          <w:p w14:paraId="1608AB7B" w14:textId="77777777" w:rsidR="00165A84" w:rsidRPr="00165A84" w:rsidRDefault="00165A84" w:rsidP="00165A84">
            <w:pPr>
              <w:jc w:val="right"/>
              <w:rPr>
                <w:sz w:val="20"/>
              </w:rPr>
            </w:pPr>
            <w:r w:rsidRPr="00165A84">
              <w:rPr>
                <w:sz w:val="20"/>
              </w:rPr>
              <w:t>3.39%</w:t>
            </w:r>
          </w:p>
        </w:tc>
      </w:tr>
      <w:tr w:rsidR="00165A84" w:rsidRPr="00165A84" w14:paraId="3988A43E"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5B452188"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6244EE1" w14:textId="0B1A6AA0" w:rsidR="00165A84" w:rsidRPr="00165A84" w:rsidRDefault="00165A84" w:rsidP="00165A84">
            <w:pPr>
              <w:rPr>
                <w:sz w:val="20"/>
              </w:rPr>
            </w:pPr>
            <w:r w:rsidRPr="00165A84">
              <w:rPr>
                <w:sz w:val="20"/>
              </w:rPr>
              <w:t>125,594</w:t>
            </w:r>
          </w:p>
        </w:tc>
        <w:tc>
          <w:tcPr>
            <w:tcW w:w="980" w:type="dxa"/>
            <w:tcBorders>
              <w:top w:val="nil"/>
              <w:left w:val="nil"/>
              <w:bottom w:val="single" w:sz="4" w:space="0" w:color="auto"/>
              <w:right w:val="single" w:sz="4" w:space="0" w:color="auto"/>
            </w:tcBorders>
            <w:shd w:val="clear" w:color="auto" w:fill="auto"/>
            <w:noWrap/>
            <w:vAlign w:val="bottom"/>
            <w:hideMark/>
          </w:tcPr>
          <w:p w14:paraId="39F2B381" w14:textId="5F3DF8E7" w:rsidR="00165A84" w:rsidRPr="00165A84" w:rsidRDefault="00165A84" w:rsidP="00165A84">
            <w:pPr>
              <w:rPr>
                <w:sz w:val="20"/>
              </w:rPr>
            </w:pPr>
            <w:r w:rsidRPr="00165A84">
              <w:rPr>
                <w:sz w:val="20"/>
              </w:rPr>
              <w:t>26,865</w:t>
            </w:r>
          </w:p>
        </w:tc>
        <w:tc>
          <w:tcPr>
            <w:tcW w:w="980" w:type="dxa"/>
            <w:tcBorders>
              <w:top w:val="nil"/>
              <w:left w:val="nil"/>
              <w:bottom w:val="single" w:sz="4" w:space="0" w:color="auto"/>
              <w:right w:val="single" w:sz="4" w:space="0" w:color="auto"/>
            </w:tcBorders>
            <w:shd w:val="clear" w:color="auto" w:fill="auto"/>
            <w:noWrap/>
            <w:vAlign w:val="bottom"/>
            <w:hideMark/>
          </w:tcPr>
          <w:p w14:paraId="2EDD2452" w14:textId="2AEA9B9D" w:rsidR="00165A84" w:rsidRPr="00165A84" w:rsidRDefault="00165A84" w:rsidP="00165A84">
            <w:pPr>
              <w:rPr>
                <w:sz w:val="20"/>
              </w:rPr>
            </w:pPr>
            <w:r w:rsidRPr="00165A84">
              <w:rPr>
                <w:sz w:val="20"/>
              </w:rPr>
              <w:t>15,325</w:t>
            </w:r>
          </w:p>
        </w:tc>
        <w:tc>
          <w:tcPr>
            <w:tcW w:w="980" w:type="dxa"/>
            <w:tcBorders>
              <w:top w:val="nil"/>
              <w:left w:val="nil"/>
              <w:bottom w:val="single" w:sz="4" w:space="0" w:color="auto"/>
              <w:right w:val="single" w:sz="4" w:space="0" w:color="auto"/>
            </w:tcBorders>
            <w:shd w:val="clear" w:color="auto" w:fill="auto"/>
            <w:noWrap/>
            <w:vAlign w:val="bottom"/>
            <w:hideMark/>
          </w:tcPr>
          <w:p w14:paraId="74C72A10" w14:textId="3E57D4EC" w:rsidR="00165A84" w:rsidRPr="00165A84" w:rsidRDefault="00165A84" w:rsidP="00165A84">
            <w:pPr>
              <w:rPr>
                <w:sz w:val="20"/>
              </w:rPr>
            </w:pPr>
            <w:r w:rsidRPr="00165A84">
              <w:rPr>
                <w:sz w:val="20"/>
              </w:rPr>
              <w:t>13,142</w:t>
            </w:r>
          </w:p>
        </w:tc>
        <w:tc>
          <w:tcPr>
            <w:tcW w:w="980" w:type="dxa"/>
            <w:tcBorders>
              <w:top w:val="nil"/>
              <w:left w:val="nil"/>
              <w:bottom w:val="single" w:sz="4" w:space="0" w:color="auto"/>
              <w:right w:val="single" w:sz="4" w:space="0" w:color="auto"/>
            </w:tcBorders>
            <w:shd w:val="clear" w:color="auto" w:fill="auto"/>
            <w:noWrap/>
            <w:vAlign w:val="bottom"/>
            <w:hideMark/>
          </w:tcPr>
          <w:p w14:paraId="17A5A492" w14:textId="0F26B764" w:rsidR="00165A84" w:rsidRPr="00165A84" w:rsidRDefault="00165A84" w:rsidP="00165A84">
            <w:pPr>
              <w:rPr>
                <w:sz w:val="20"/>
              </w:rPr>
            </w:pPr>
            <w:r w:rsidRPr="00165A84">
              <w:rPr>
                <w:sz w:val="20"/>
              </w:rPr>
              <w:t>723</w:t>
            </w:r>
          </w:p>
        </w:tc>
        <w:tc>
          <w:tcPr>
            <w:tcW w:w="980" w:type="dxa"/>
            <w:tcBorders>
              <w:top w:val="nil"/>
              <w:left w:val="nil"/>
              <w:bottom w:val="single" w:sz="4" w:space="0" w:color="auto"/>
              <w:right w:val="single" w:sz="4" w:space="0" w:color="auto"/>
            </w:tcBorders>
            <w:shd w:val="clear" w:color="auto" w:fill="auto"/>
            <w:noWrap/>
            <w:vAlign w:val="bottom"/>
            <w:hideMark/>
          </w:tcPr>
          <w:p w14:paraId="48A73926" w14:textId="07C54E46" w:rsidR="00165A84" w:rsidRPr="00165A84" w:rsidRDefault="00165A84" w:rsidP="00165A84">
            <w:pPr>
              <w:rPr>
                <w:sz w:val="20"/>
              </w:rPr>
            </w:pPr>
            <w:r w:rsidRPr="00165A84">
              <w:rPr>
                <w:sz w:val="20"/>
              </w:rPr>
              <w:t>1,459</w:t>
            </w:r>
          </w:p>
        </w:tc>
        <w:tc>
          <w:tcPr>
            <w:tcW w:w="980" w:type="dxa"/>
            <w:tcBorders>
              <w:top w:val="nil"/>
              <w:left w:val="nil"/>
              <w:bottom w:val="single" w:sz="4" w:space="0" w:color="auto"/>
              <w:right w:val="single" w:sz="4" w:space="0" w:color="auto"/>
            </w:tcBorders>
            <w:shd w:val="clear" w:color="auto" w:fill="auto"/>
            <w:noWrap/>
            <w:vAlign w:val="bottom"/>
            <w:hideMark/>
          </w:tcPr>
          <w:p w14:paraId="524844EA" w14:textId="51DD72AE" w:rsidR="00165A84" w:rsidRPr="00165A84" w:rsidRDefault="00165A84" w:rsidP="00165A84">
            <w:pPr>
              <w:rPr>
                <w:sz w:val="20"/>
              </w:rPr>
            </w:pPr>
            <w:r w:rsidRPr="00165A84">
              <w:rPr>
                <w:sz w:val="20"/>
              </w:rPr>
              <w:t>11,446</w:t>
            </w:r>
          </w:p>
        </w:tc>
      </w:tr>
      <w:tr w:rsidR="00165A84" w:rsidRPr="00165A84" w14:paraId="24144262" w14:textId="77777777" w:rsidTr="00BF315B">
        <w:trPr>
          <w:trHeight w:val="944"/>
        </w:trPr>
        <w:tc>
          <w:tcPr>
            <w:tcW w:w="8980" w:type="dxa"/>
            <w:gridSpan w:val="8"/>
            <w:tcBorders>
              <w:top w:val="single" w:sz="4" w:space="0" w:color="auto"/>
              <w:left w:val="nil"/>
              <w:bottom w:val="nil"/>
              <w:right w:val="nil"/>
            </w:tcBorders>
            <w:shd w:val="clear" w:color="auto" w:fill="auto"/>
            <w:vAlign w:val="bottom"/>
            <w:hideMark/>
          </w:tcPr>
          <w:p w14:paraId="7DA118BF" w14:textId="77777777" w:rsidR="00BF315B" w:rsidRPr="00BF315B" w:rsidRDefault="00165A84" w:rsidP="00BF315B">
            <w:pPr>
              <w:rPr>
                <w:sz w:val="18"/>
                <w:szCs w:val="18"/>
              </w:rPr>
            </w:pPr>
            <w:r w:rsidRPr="00165A84">
              <w:rPr>
                <w:b/>
                <w:bCs/>
                <w:sz w:val="18"/>
                <w:szCs w:val="18"/>
              </w:rPr>
              <w:t xml:space="preserve">Notes: * </w:t>
            </w:r>
            <w:r w:rsidRPr="00165A84">
              <w:rPr>
                <w:sz w:val="18"/>
                <w:szCs w:val="18"/>
              </w:rPr>
              <w:t>Prevalence rates are estimated by the National Survey of Drug Use and Health, 2016-2018. Parish population sizes are estimated by U.S. Census for July 1, 2019.</w:t>
            </w:r>
          </w:p>
          <w:p w14:paraId="4A11B331" w14:textId="5AE37D34" w:rsidR="00165A84" w:rsidRPr="00165A84" w:rsidRDefault="00BF315B" w:rsidP="00BF315B">
            <w:pPr>
              <w:rPr>
                <w:sz w:val="18"/>
                <w:szCs w:val="18"/>
              </w:rPr>
            </w:pPr>
            <w:r w:rsidRPr="00BF315B">
              <w:rPr>
                <w:b/>
                <w:bCs/>
                <w:sz w:val="18"/>
                <w:szCs w:val="18"/>
              </w:rPr>
              <w:t xml:space="preserve">§ </w:t>
            </w:r>
            <w:r w:rsidRPr="00BF315B">
              <w:rPr>
                <w:sz w:val="18"/>
                <w:szCs w:val="18"/>
              </w:rPr>
              <w:t xml:space="preserve">NSDUH has been shown to underestimate </w:t>
            </w:r>
            <w:r w:rsidR="00AD6E0A">
              <w:rPr>
                <w:sz w:val="18"/>
                <w:szCs w:val="18"/>
              </w:rPr>
              <w:t>various prevalence rates</w:t>
            </w:r>
            <w:r w:rsidRPr="00BF315B">
              <w:rPr>
                <w:sz w:val="18"/>
                <w:szCs w:val="18"/>
              </w:rPr>
              <w:t xml:space="preserve"> among adolescents (ages 12-17) relative to c</w:t>
            </w:r>
            <w:r w:rsidRPr="00A76111">
              <w:rPr>
                <w:sz w:val="18"/>
                <w:szCs w:val="18"/>
              </w:rPr>
              <w:t xml:space="preserve">omparable indicators from school surveys </w:t>
            </w:r>
            <w:r w:rsidRPr="00BF315B">
              <w:rPr>
                <w:sz w:val="18"/>
                <w:szCs w:val="18"/>
              </w:rPr>
              <w:t>which generally</w:t>
            </w:r>
            <w:r w:rsidRPr="00A76111">
              <w:rPr>
                <w:sz w:val="18"/>
                <w:szCs w:val="18"/>
              </w:rPr>
              <w:t xml:space="preserve"> provide substantially higher prevalence estimates.</w:t>
            </w:r>
          </w:p>
        </w:tc>
      </w:tr>
    </w:tbl>
    <w:p w14:paraId="63CB7900" w14:textId="62BF3129" w:rsidR="001549F4" w:rsidRDefault="001549F4" w:rsidP="001549F4"/>
    <w:p w14:paraId="5BCDE68E" w14:textId="0512CEAD" w:rsidR="00165A84" w:rsidRDefault="00165A84">
      <w:r>
        <w:br w:type="page"/>
      </w:r>
    </w:p>
    <w:p w14:paraId="3D8F6457" w14:textId="61A45C4E" w:rsidR="00165A84" w:rsidRDefault="00165A84" w:rsidP="00130E39">
      <w:pPr>
        <w:pStyle w:val="ListParagraph"/>
        <w:numPr>
          <w:ilvl w:val="0"/>
          <w:numId w:val="7"/>
        </w:numPr>
      </w:pPr>
      <w:r w:rsidRPr="00165A84">
        <w:lastRenderedPageBreak/>
        <w:t xml:space="preserve">Cocaine Use in the </w:t>
      </w:r>
      <w:r w:rsidRPr="00130E39">
        <w:rPr>
          <w:i/>
          <w:iCs/>
        </w:rPr>
        <w:t>Past Year</w:t>
      </w:r>
    </w:p>
    <w:p w14:paraId="1ABD7549" w14:textId="7149328E" w:rsidR="00165A84" w:rsidRDefault="00165A8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165A84" w:rsidRPr="00165A84" w14:paraId="35C853B0" w14:textId="77777777" w:rsidTr="00165A8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F6DE3C7" w14:textId="77777777" w:rsidR="00165A84" w:rsidRPr="00165A84" w:rsidRDefault="00165A84" w:rsidP="00165A84">
            <w:pPr>
              <w:jc w:val="center"/>
              <w:rPr>
                <w:b/>
                <w:bCs/>
                <w:sz w:val="20"/>
              </w:rPr>
            </w:pPr>
            <w:r w:rsidRPr="00165A84">
              <w:rPr>
                <w:b/>
                <w:bCs/>
                <w:sz w:val="20"/>
              </w:rPr>
              <w:t xml:space="preserve">Cocaine Use in the </w:t>
            </w:r>
            <w:r w:rsidRPr="00165A84">
              <w:rPr>
                <w:b/>
                <w:bCs/>
                <w:i/>
                <w:iCs/>
                <w:sz w:val="20"/>
                <w:u w:val="single"/>
              </w:rPr>
              <w:t>Past Year</w:t>
            </w:r>
            <w:r w:rsidRPr="00165A84">
              <w:rPr>
                <w:b/>
                <w:bCs/>
                <w:sz w:val="20"/>
              </w:rPr>
              <w:t xml:space="preserve"> by Age Group Among Residents of</w:t>
            </w:r>
            <w:r w:rsidRPr="00165A84">
              <w:rPr>
                <w:b/>
                <w:bCs/>
                <w:sz w:val="20"/>
              </w:rPr>
              <w:br/>
              <w:t>Greater New Orleans Parishes and Statewide, 2019*</w:t>
            </w:r>
          </w:p>
        </w:tc>
      </w:tr>
      <w:tr w:rsidR="00165A84" w:rsidRPr="00165A84" w14:paraId="01F6E03D" w14:textId="77777777" w:rsidTr="00165A8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13F4D4B" w14:textId="77777777" w:rsidR="00165A84" w:rsidRPr="00165A84" w:rsidRDefault="00165A84" w:rsidP="00165A84">
            <w:pPr>
              <w:jc w:val="center"/>
              <w:rPr>
                <w:sz w:val="20"/>
              </w:rPr>
            </w:pPr>
            <w:r w:rsidRPr="00165A8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54852597" w14:textId="00A5C768" w:rsidR="00165A84" w:rsidRPr="00165A84" w:rsidRDefault="00165A84" w:rsidP="00165A84">
            <w:pPr>
              <w:jc w:val="center"/>
              <w:rPr>
                <w:sz w:val="20"/>
              </w:rPr>
            </w:pPr>
            <w:r w:rsidRPr="00165A8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12FFE88D" w14:textId="77777777" w:rsidR="00165A84" w:rsidRPr="00165A84" w:rsidRDefault="00165A84" w:rsidP="00165A84">
            <w:pPr>
              <w:jc w:val="center"/>
              <w:rPr>
                <w:sz w:val="20"/>
              </w:rPr>
            </w:pPr>
            <w:r w:rsidRPr="00165A8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7E8922C4" w14:textId="77777777" w:rsidR="00165A84" w:rsidRPr="00165A84" w:rsidRDefault="00165A84" w:rsidP="00165A84">
            <w:pPr>
              <w:jc w:val="center"/>
              <w:rPr>
                <w:sz w:val="20"/>
              </w:rPr>
            </w:pPr>
            <w:r w:rsidRPr="00165A84">
              <w:rPr>
                <w:sz w:val="20"/>
              </w:rPr>
              <w:t>Metro-</w:t>
            </w:r>
            <w:proofErr w:type="spellStart"/>
            <w:r w:rsidRPr="00165A84">
              <w:rPr>
                <w:sz w:val="20"/>
              </w:rPr>
              <w:t>politan</w:t>
            </w:r>
            <w:proofErr w:type="spellEnd"/>
            <w:r w:rsidRPr="00165A8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6E07A639" w14:textId="77777777" w:rsidR="00165A84" w:rsidRPr="00165A84" w:rsidRDefault="00165A84" w:rsidP="00165A84">
            <w:pPr>
              <w:jc w:val="center"/>
              <w:rPr>
                <w:sz w:val="20"/>
              </w:rPr>
            </w:pPr>
            <w:r w:rsidRPr="00165A8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3680BDA3" w14:textId="77777777" w:rsidR="00165A84" w:rsidRPr="00165A84" w:rsidRDefault="00165A84" w:rsidP="00165A84">
            <w:pPr>
              <w:jc w:val="center"/>
              <w:rPr>
                <w:sz w:val="20"/>
              </w:rPr>
            </w:pPr>
            <w:r w:rsidRPr="00165A8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03F7E378" w14:textId="77777777" w:rsidR="00165A84" w:rsidRPr="00165A84" w:rsidRDefault="00165A84" w:rsidP="00165A84">
            <w:pPr>
              <w:jc w:val="center"/>
              <w:rPr>
                <w:sz w:val="20"/>
              </w:rPr>
            </w:pPr>
            <w:r w:rsidRPr="00165A8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57DE307C" w14:textId="77777777" w:rsidR="00165A84" w:rsidRPr="00165A84" w:rsidRDefault="00165A84" w:rsidP="00165A84">
            <w:pPr>
              <w:jc w:val="center"/>
              <w:rPr>
                <w:sz w:val="20"/>
              </w:rPr>
            </w:pPr>
            <w:r w:rsidRPr="00165A84">
              <w:rPr>
                <w:sz w:val="20"/>
              </w:rPr>
              <w:t>Jefferson Parish HSA</w:t>
            </w:r>
          </w:p>
        </w:tc>
      </w:tr>
      <w:tr w:rsidR="00165A84" w:rsidRPr="00165A84" w14:paraId="7CE49545"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70539CE" w14:textId="77777777" w:rsidR="00165A84" w:rsidRPr="00165A84" w:rsidRDefault="00165A84" w:rsidP="00165A84">
            <w:pPr>
              <w:rPr>
                <w:sz w:val="20"/>
              </w:rPr>
            </w:pPr>
            <w:r w:rsidRPr="00165A8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1E879624" w14:textId="37855EB2"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5297A8B0" w14:textId="128E9235"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F2F37F7" w14:textId="028BAFEF"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7182B1E7" w14:textId="43E90B89"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DEFED72" w14:textId="5E6C6AF3"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3874F213" w14:textId="004FD781"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79779D90" w14:textId="120B2092" w:rsidR="00165A84" w:rsidRPr="00165A84" w:rsidRDefault="00165A84" w:rsidP="00165A84">
            <w:pPr>
              <w:rPr>
                <w:sz w:val="20"/>
              </w:rPr>
            </w:pPr>
          </w:p>
        </w:tc>
      </w:tr>
      <w:tr w:rsidR="00165A84" w:rsidRPr="00165A84" w14:paraId="3484F4F6"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83F70EC"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64DC0D7C" w14:textId="77777777" w:rsidR="00165A84" w:rsidRPr="00165A84" w:rsidRDefault="00165A84" w:rsidP="00165A84">
            <w:pPr>
              <w:jc w:val="right"/>
              <w:rPr>
                <w:sz w:val="20"/>
              </w:rPr>
            </w:pPr>
            <w:r w:rsidRPr="00165A84">
              <w:rPr>
                <w:sz w:val="20"/>
              </w:rPr>
              <w:t>360,774</w:t>
            </w:r>
          </w:p>
        </w:tc>
        <w:tc>
          <w:tcPr>
            <w:tcW w:w="980" w:type="dxa"/>
            <w:tcBorders>
              <w:top w:val="nil"/>
              <w:left w:val="nil"/>
              <w:bottom w:val="nil"/>
              <w:right w:val="nil"/>
            </w:tcBorders>
            <w:shd w:val="clear" w:color="auto" w:fill="auto"/>
            <w:noWrap/>
            <w:vAlign w:val="bottom"/>
            <w:hideMark/>
          </w:tcPr>
          <w:p w14:paraId="68FE42A2" w14:textId="77777777" w:rsidR="00165A84" w:rsidRPr="00165A84" w:rsidRDefault="00165A84" w:rsidP="00165A84">
            <w:pPr>
              <w:jc w:val="right"/>
              <w:rPr>
                <w:sz w:val="20"/>
              </w:rPr>
            </w:pPr>
            <w:r w:rsidRPr="00165A8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7D4F32F7" w14:textId="77777777" w:rsidR="00165A84" w:rsidRPr="00165A84" w:rsidRDefault="00165A84" w:rsidP="00165A84">
            <w:pPr>
              <w:jc w:val="right"/>
              <w:rPr>
                <w:sz w:val="20"/>
              </w:rPr>
            </w:pPr>
            <w:r w:rsidRPr="00165A84">
              <w:rPr>
                <w:sz w:val="20"/>
              </w:rPr>
              <w:t>30,822</w:t>
            </w:r>
          </w:p>
        </w:tc>
        <w:tc>
          <w:tcPr>
            <w:tcW w:w="980" w:type="dxa"/>
            <w:tcBorders>
              <w:top w:val="nil"/>
              <w:left w:val="nil"/>
              <w:bottom w:val="nil"/>
              <w:right w:val="nil"/>
            </w:tcBorders>
            <w:shd w:val="clear" w:color="auto" w:fill="auto"/>
            <w:noWrap/>
            <w:vAlign w:val="bottom"/>
            <w:hideMark/>
          </w:tcPr>
          <w:p w14:paraId="62632012" w14:textId="77777777" w:rsidR="00165A84" w:rsidRPr="00165A84" w:rsidRDefault="00165A84" w:rsidP="00165A84">
            <w:pPr>
              <w:jc w:val="right"/>
              <w:rPr>
                <w:sz w:val="20"/>
              </w:rPr>
            </w:pPr>
            <w:r w:rsidRPr="00165A8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0FD23393" w14:textId="77777777" w:rsidR="00165A84" w:rsidRPr="00165A84" w:rsidRDefault="00165A84" w:rsidP="00165A84">
            <w:pPr>
              <w:jc w:val="right"/>
              <w:rPr>
                <w:sz w:val="20"/>
              </w:rPr>
            </w:pPr>
            <w:r w:rsidRPr="00165A84">
              <w:rPr>
                <w:sz w:val="20"/>
              </w:rPr>
              <w:t>2,081</w:t>
            </w:r>
          </w:p>
        </w:tc>
        <w:tc>
          <w:tcPr>
            <w:tcW w:w="980" w:type="dxa"/>
            <w:tcBorders>
              <w:top w:val="nil"/>
              <w:left w:val="nil"/>
              <w:bottom w:val="nil"/>
              <w:right w:val="single" w:sz="4" w:space="0" w:color="auto"/>
            </w:tcBorders>
            <w:shd w:val="clear" w:color="auto" w:fill="auto"/>
            <w:noWrap/>
            <w:vAlign w:val="bottom"/>
            <w:hideMark/>
          </w:tcPr>
          <w:p w14:paraId="0E114A80" w14:textId="77777777" w:rsidR="00165A84" w:rsidRPr="00165A84" w:rsidRDefault="00165A84" w:rsidP="00165A84">
            <w:pPr>
              <w:jc w:val="right"/>
              <w:rPr>
                <w:sz w:val="20"/>
              </w:rPr>
            </w:pPr>
            <w:r w:rsidRPr="00165A84">
              <w:rPr>
                <w:sz w:val="20"/>
              </w:rPr>
              <w:t>4,044</w:t>
            </w:r>
          </w:p>
        </w:tc>
        <w:tc>
          <w:tcPr>
            <w:tcW w:w="980" w:type="dxa"/>
            <w:tcBorders>
              <w:top w:val="nil"/>
              <w:left w:val="nil"/>
              <w:bottom w:val="nil"/>
              <w:right w:val="single" w:sz="4" w:space="0" w:color="auto"/>
            </w:tcBorders>
            <w:shd w:val="clear" w:color="auto" w:fill="auto"/>
            <w:noWrap/>
            <w:vAlign w:val="bottom"/>
            <w:hideMark/>
          </w:tcPr>
          <w:p w14:paraId="4863B78A" w14:textId="77777777" w:rsidR="00165A84" w:rsidRPr="00165A84" w:rsidRDefault="00165A84" w:rsidP="00165A84">
            <w:pPr>
              <w:jc w:val="right"/>
              <w:rPr>
                <w:sz w:val="20"/>
              </w:rPr>
            </w:pPr>
            <w:r w:rsidRPr="00165A84">
              <w:rPr>
                <w:sz w:val="20"/>
              </w:rPr>
              <w:t>30,385</w:t>
            </w:r>
          </w:p>
        </w:tc>
      </w:tr>
      <w:tr w:rsidR="00165A84" w:rsidRPr="00165A84" w14:paraId="6B275245"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BB6544F" w14:textId="378A6588" w:rsidR="00165A84" w:rsidRPr="00165A84" w:rsidRDefault="00165A84" w:rsidP="00165A84">
            <w:pPr>
              <w:rPr>
                <w:sz w:val="20"/>
              </w:rPr>
            </w:pPr>
            <w:r w:rsidRPr="00165A8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4CCD5DD3" w14:textId="77777777" w:rsidR="00165A84" w:rsidRPr="00165A84" w:rsidRDefault="00165A84" w:rsidP="00165A84">
            <w:pPr>
              <w:jc w:val="right"/>
              <w:rPr>
                <w:sz w:val="20"/>
              </w:rPr>
            </w:pPr>
            <w:r w:rsidRPr="00165A84">
              <w:rPr>
                <w:sz w:val="20"/>
              </w:rPr>
              <w:t>0.28%</w:t>
            </w:r>
          </w:p>
        </w:tc>
        <w:tc>
          <w:tcPr>
            <w:tcW w:w="980" w:type="dxa"/>
            <w:tcBorders>
              <w:top w:val="nil"/>
              <w:left w:val="nil"/>
              <w:bottom w:val="nil"/>
              <w:right w:val="single" w:sz="4" w:space="0" w:color="auto"/>
            </w:tcBorders>
            <w:shd w:val="clear" w:color="000000" w:fill="FFD85B"/>
            <w:noWrap/>
            <w:vAlign w:val="bottom"/>
            <w:hideMark/>
          </w:tcPr>
          <w:p w14:paraId="7D953CB1"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14658B8"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2C685F3"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750DA5D3"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79F74BC"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B4E051F" w14:textId="77777777" w:rsidR="00165A84" w:rsidRPr="00165A84" w:rsidRDefault="00165A84" w:rsidP="00165A84">
            <w:pPr>
              <w:jc w:val="center"/>
              <w:rPr>
                <w:sz w:val="20"/>
              </w:rPr>
            </w:pPr>
            <w:r w:rsidRPr="00165A84">
              <w:rPr>
                <w:sz w:val="20"/>
              </w:rPr>
              <w:t>***</w:t>
            </w:r>
          </w:p>
        </w:tc>
      </w:tr>
      <w:tr w:rsidR="00165A84" w:rsidRPr="00165A84" w14:paraId="0173B816"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5E8C235D"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135A231" w14:textId="2CA135D6" w:rsidR="00165A84" w:rsidRPr="00165A84" w:rsidRDefault="00165A84" w:rsidP="00165A84">
            <w:pPr>
              <w:rPr>
                <w:sz w:val="20"/>
              </w:rPr>
            </w:pPr>
            <w:r w:rsidRPr="00165A84">
              <w:rPr>
                <w:sz w:val="20"/>
              </w:rPr>
              <w:t>1,014</w:t>
            </w:r>
          </w:p>
        </w:tc>
        <w:tc>
          <w:tcPr>
            <w:tcW w:w="980" w:type="dxa"/>
            <w:tcBorders>
              <w:top w:val="nil"/>
              <w:left w:val="nil"/>
              <w:bottom w:val="nil"/>
              <w:right w:val="single" w:sz="4" w:space="0" w:color="auto"/>
            </w:tcBorders>
            <w:shd w:val="clear" w:color="000000" w:fill="FFD85B"/>
            <w:noWrap/>
            <w:vAlign w:val="bottom"/>
            <w:hideMark/>
          </w:tcPr>
          <w:p w14:paraId="419C11DC"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1B65F985"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32221991"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13B96A2"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460E9F37"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39FEDD11" w14:textId="77777777" w:rsidR="00165A84" w:rsidRPr="00165A84" w:rsidRDefault="00165A84" w:rsidP="00165A84">
            <w:pPr>
              <w:jc w:val="center"/>
              <w:rPr>
                <w:sz w:val="20"/>
              </w:rPr>
            </w:pPr>
            <w:r w:rsidRPr="00165A84">
              <w:rPr>
                <w:sz w:val="20"/>
              </w:rPr>
              <w:t>***</w:t>
            </w:r>
          </w:p>
        </w:tc>
      </w:tr>
      <w:tr w:rsidR="00165A84" w:rsidRPr="00165A84" w14:paraId="41FBA6C9"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F69CE7A" w14:textId="77777777" w:rsidR="00165A84" w:rsidRPr="00165A84" w:rsidRDefault="00165A84" w:rsidP="00165A84">
            <w:pPr>
              <w:rPr>
                <w:sz w:val="20"/>
              </w:rPr>
            </w:pPr>
            <w:r w:rsidRPr="00165A8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2922F7CA" w14:textId="3F9B217E"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3D88BAAD"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16E64D3" w14:textId="3D60B4F1"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431ED4A9"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0D1215A" w14:textId="77777777" w:rsidR="00165A84" w:rsidRPr="00165A84" w:rsidRDefault="00165A84" w:rsidP="00165A84">
            <w:pPr>
              <w:rPr>
                <w:sz w:val="20"/>
              </w:rPr>
            </w:pPr>
            <w:r w:rsidRPr="00165A84">
              <w:rPr>
                <w:sz w:val="20"/>
              </w:rPr>
              <w:t>`</w:t>
            </w:r>
          </w:p>
        </w:tc>
        <w:tc>
          <w:tcPr>
            <w:tcW w:w="980" w:type="dxa"/>
            <w:tcBorders>
              <w:top w:val="nil"/>
              <w:left w:val="nil"/>
              <w:bottom w:val="nil"/>
              <w:right w:val="single" w:sz="4" w:space="0" w:color="auto"/>
            </w:tcBorders>
            <w:shd w:val="clear" w:color="auto" w:fill="auto"/>
            <w:noWrap/>
            <w:vAlign w:val="bottom"/>
            <w:hideMark/>
          </w:tcPr>
          <w:p w14:paraId="41F937E3" w14:textId="420A570B"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10E1D02A" w14:textId="21BA2481" w:rsidR="00165A84" w:rsidRPr="00165A84" w:rsidRDefault="00165A84" w:rsidP="00165A84">
            <w:pPr>
              <w:rPr>
                <w:sz w:val="20"/>
              </w:rPr>
            </w:pPr>
          </w:p>
        </w:tc>
      </w:tr>
      <w:tr w:rsidR="00165A84" w:rsidRPr="00165A84" w14:paraId="3A8B8B64"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6E3A4A74"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D473163" w14:textId="77777777" w:rsidR="00165A84" w:rsidRPr="00165A84" w:rsidRDefault="00165A84" w:rsidP="00165A84">
            <w:pPr>
              <w:jc w:val="right"/>
              <w:rPr>
                <w:sz w:val="20"/>
              </w:rPr>
            </w:pPr>
            <w:r w:rsidRPr="00165A84">
              <w:rPr>
                <w:sz w:val="20"/>
              </w:rPr>
              <w:t>483,697</w:t>
            </w:r>
          </w:p>
        </w:tc>
        <w:tc>
          <w:tcPr>
            <w:tcW w:w="980" w:type="dxa"/>
            <w:tcBorders>
              <w:top w:val="nil"/>
              <w:left w:val="nil"/>
              <w:bottom w:val="nil"/>
              <w:right w:val="nil"/>
            </w:tcBorders>
            <w:shd w:val="clear" w:color="auto" w:fill="auto"/>
            <w:noWrap/>
            <w:vAlign w:val="bottom"/>
            <w:hideMark/>
          </w:tcPr>
          <w:p w14:paraId="3F3E7683" w14:textId="77777777" w:rsidR="00165A84" w:rsidRPr="00165A84" w:rsidRDefault="00165A84" w:rsidP="00165A84">
            <w:pPr>
              <w:jc w:val="right"/>
              <w:rPr>
                <w:sz w:val="20"/>
              </w:rPr>
            </w:pPr>
            <w:r w:rsidRPr="00165A8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5A55475F" w14:textId="77777777" w:rsidR="00165A84" w:rsidRPr="00165A84" w:rsidRDefault="00165A84" w:rsidP="00165A84">
            <w:pPr>
              <w:jc w:val="right"/>
              <w:rPr>
                <w:sz w:val="20"/>
              </w:rPr>
            </w:pPr>
            <w:r w:rsidRPr="00165A84">
              <w:rPr>
                <w:sz w:val="20"/>
              </w:rPr>
              <w:t>44,790</w:t>
            </w:r>
          </w:p>
        </w:tc>
        <w:tc>
          <w:tcPr>
            <w:tcW w:w="980" w:type="dxa"/>
            <w:tcBorders>
              <w:top w:val="nil"/>
              <w:left w:val="nil"/>
              <w:bottom w:val="nil"/>
              <w:right w:val="nil"/>
            </w:tcBorders>
            <w:shd w:val="clear" w:color="auto" w:fill="auto"/>
            <w:noWrap/>
            <w:vAlign w:val="bottom"/>
            <w:hideMark/>
          </w:tcPr>
          <w:p w14:paraId="149FE1CE" w14:textId="77777777" w:rsidR="00165A84" w:rsidRPr="00165A84" w:rsidRDefault="00165A84" w:rsidP="00165A84">
            <w:pPr>
              <w:jc w:val="right"/>
              <w:rPr>
                <w:sz w:val="20"/>
              </w:rPr>
            </w:pPr>
            <w:r w:rsidRPr="00165A8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54A64A97" w14:textId="77777777" w:rsidR="00165A84" w:rsidRPr="00165A84" w:rsidRDefault="00165A84" w:rsidP="00165A84">
            <w:pPr>
              <w:jc w:val="right"/>
              <w:rPr>
                <w:sz w:val="20"/>
              </w:rPr>
            </w:pPr>
            <w:r w:rsidRPr="00165A84">
              <w:rPr>
                <w:sz w:val="20"/>
              </w:rPr>
              <w:t>2,265</w:t>
            </w:r>
          </w:p>
        </w:tc>
        <w:tc>
          <w:tcPr>
            <w:tcW w:w="980" w:type="dxa"/>
            <w:tcBorders>
              <w:top w:val="nil"/>
              <w:left w:val="nil"/>
              <w:bottom w:val="nil"/>
              <w:right w:val="single" w:sz="4" w:space="0" w:color="auto"/>
            </w:tcBorders>
            <w:shd w:val="clear" w:color="auto" w:fill="auto"/>
            <w:noWrap/>
            <w:vAlign w:val="bottom"/>
            <w:hideMark/>
          </w:tcPr>
          <w:p w14:paraId="0A8869E3" w14:textId="77777777" w:rsidR="00165A84" w:rsidRPr="00165A84" w:rsidRDefault="00165A84" w:rsidP="00165A84">
            <w:pPr>
              <w:jc w:val="right"/>
              <w:rPr>
                <w:sz w:val="20"/>
              </w:rPr>
            </w:pPr>
            <w:r w:rsidRPr="00165A84">
              <w:rPr>
                <w:sz w:val="20"/>
              </w:rPr>
              <w:t>4,133</w:t>
            </w:r>
          </w:p>
        </w:tc>
        <w:tc>
          <w:tcPr>
            <w:tcW w:w="980" w:type="dxa"/>
            <w:tcBorders>
              <w:top w:val="nil"/>
              <w:left w:val="nil"/>
              <w:bottom w:val="nil"/>
              <w:right w:val="single" w:sz="4" w:space="0" w:color="auto"/>
            </w:tcBorders>
            <w:shd w:val="clear" w:color="auto" w:fill="auto"/>
            <w:noWrap/>
            <w:vAlign w:val="bottom"/>
            <w:hideMark/>
          </w:tcPr>
          <w:p w14:paraId="2E52D393" w14:textId="77777777" w:rsidR="00165A84" w:rsidRPr="00165A84" w:rsidRDefault="00165A84" w:rsidP="00165A84">
            <w:pPr>
              <w:jc w:val="right"/>
              <w:rPr>
                <w:sz w:val="20"/>
              </w:rPr>
            </w:pPr>
            <w:r w:rsidRPr="00165A84">
              <w:rPr>
                <w:sz w:val="20"/>
              </w:rPr>
              <w:t>37,617</w:t>
            </w:r>
          </w:p>
        </w:tc>
      </w:tr>
      <w:tr w:rsidR="00165A84" w:rsidRPr="00165A84" w14:paraId="565E36EA"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166F3EC4"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44C7AAF6" w14:textId="77777777" w:rsidR="00165A84" w:rsidRPr="00165A84" w:rsidRDefault="00165A84" w:rsidP="00165A84">
            <w:pPr>
              <w:jc w:val="right"/>
              <w:rPr>
                <w:sz w:val="20"/>
              </w:rPr>
            </w:pPr>
            <w:r w:rsidRPr="00165A84">
              <w:rPr>
                <w:sz w:val="20"/>
              </w:rPr>
              <w:t>3.70%</w:t>
            </w:r>
          </w:p>
        </w:tc>
        <w:tc>
          <w:tcPr>
            <w:tcW w:w="980" w:type="dxa"/>
            <w:tcBorders>
              <w:top w:val="nil"/>
              <w:left w:val="nil"/>
              <w:bottom w:val="nil"/>
              <w:right w:val="single" w:sz="4" w:space="0" w:color="auto"/>
            </w:tcBorders>
            <w:shd w:val="clear" w:color="auto" w:fill="auto"/>
            <w:noWrap/>
            <w:vAlign w:val="bottom"/>
            <w:hideMark/>
          </w:tcPr>
          <w:p w14:paraId="3AF67D54" w14:textId="77777777" w:rsidR="00165A84" w:rsidRPr="00165A84" w:rsidRDefault="00165A84" w:rsidP="00165A84">
            <w:pPr>
              <w:jc w:val="right"/>
              <w:rPr>
                <w:sz w:val="20"/>
              </w:rPr>
            </w:pPr>
            <w:r w:rsidRPr="00165A84">
              <w:rPr>
                <w:sz w:val="20"/>
              </w:rPr>
              <w:t>4.46%</w:t>
            </w:r>
          </w:p>
        </w:tc>
        <w:tc>
          <w:tcPr>
            <w:tcW w:w="980" w:type="dxa"/>
            <w:tcBorders>
              <w:top w:val="nil"/>
              <w:left w:val="nil"/>
              <w:bottom w:val="nil"/>
              <w:right w:val="single" w:sz="4" w:space="0" w:color="auto"/>
            </w:tcBorders>
            <w:shd w:val="clear" w:color="auto" w:fill="auto"/>
            <w:noWrap/>
            <w:vAlign w:val="bottom"/>
            <w:hideMark/>
          </w:tcPr>
          <w:p w14:paraId="1D32D0D1" w14:textId="77777777" w:rsidR="00165A84" w:rsidRPr="00165A84" w:rsidRDefault="00165A84" w:rsidP="00165A84">
            <w:pPr>
              <w:jc w:val="right"/>
              <w:rPr>
                <w:sz w:val="20"/>
              </w:rPr>
            </w:pPr>
            <w:r w:rsidRPr="00165A84">
              <w:rPr>
                <w:sz w:val="20"/>
              </w:rPr>
              <w:t>4.62%</w:t>
            </w:r>
          </w:p>
        </w:tc>
        <w:tc>
          <w:tcPr>
            <w:tcW w:w="980" w:type="dxa"/>
            <w:tcBorders>
              <w:top w:val="nil"/>
              <w:left w:val="nil"/>
              <w:bottom w:val="nil"/>
              <w:right w:val="nil"/>
            </w:tcBorders>
            <w:shd w:val="clear" w:color="auto" w:fill="auto"/>
            <w:noWrap/>
            <w:vAlign w:val="bottom"/>
            <w:hideMark/>
          </w:tcPr>
          <w:p w14:paraId="41819879" w14:textId="77777777" w:rsidR="00165A84" w:rsidRPr="00165A84" w:rsidRDefault="00165A84" w:rsidP="00165A84">
            <w:pPr>
              <w:jc w:val="right"/>
              <w:rPr>
                <w:sz w:val="20"/>
              </w:rPr>
            </w:pPr>
            <w:r w:rsidRPr="00165A84">
              <w:rPr>
                <w:sz w:val="20"/>
              </w:rPr>
              <w:t>4.62%</w:t>
            </w:r>
          </w:p>
        </w:tc>
        <w:tc>
          <w:tcPr>
            <w:tcW w:w="980" w:type="dxa"/>
            <w:tcBorders>
              <w:top w:val="nil"/>
              <w:left w:val="single" w:sz="4" w:space="0" w:color="auto"/>
              <w:bottom w:val="nil"/>
              <w:right w:val="single" w:sz="4" w:space="0" w:color="auto"/>
            </w:tcBorders>
            <w:shd w:val="clear" w:color="auto" w:fill="auto"/>
            <w:noWrap/>
            <w:vAlign w:val="bottom"/>
            <w:hideMark/>
          </w:tcPr>
          <w:p w14:paraId="23C33CCA" w14:textId="77777777" w:rsidR="00165A84" w:rsidRPr="00165A84" w:rsidRDefault="00165A84" w:rsidP="00165A84">
            <w:pPr>
              <w:jc w:val="right"/>
              <w:rPr>
                <w:sz w:val="20"/>
              </w:rPr>
            </w:pPr>
            <w:r w:rsidRPr="00165A84">
              <w:rPr>
                <w:sz w:val="20"/>
              </w:rPr>
              <w:t>4.62%</w:t>
            </w:r>
          </w:p>
        </w:tc>
        <w:tc>
          <w:tcPr>
            <w:tcW w:w="980" w:type="dxa"/>
            <w:tcBorders>
              <w:top w:val="nil"/>
              <w:left w:val="nil"/>
              <w:bottom w:val="nil"/>
              <w:right w:val="single" w:sz="4" w:space="0" w:color="auto"/>
            </w:tcBorders>
            <w:shd w:val="clear" w:color="auto" w:fill="auto"/>
            <w:noWrap/>
            <w:vAlign w:val="bottom"/>
            <w:hideMark/>
          </w:tcPr>
          <w:p w14:paraId="13FFDB44" w14:textId="77777777" w:rsidR="00165A84" w:rsidRPr="00165A84" w:rsidRDefault="00165A84" w:rsidP="00165A84">
            <w:pPr>
              <w:jc w:val="right"/>
              <w:rPr>
                <w:sz w:val="20"/>
              </w:rPr>
            </w:pPr>
            <w:r w:rsidRPr="00165A84">
              <w:rPr>
                <w:sz w:val="20"/>
              </w:rPr>
              <w:t>4.62%</w:t>
            </w:r>
          </w:p>
        </w:tc>
        <w:tc>
          <w:tcPr>
            <w:tcW w:w="980" w:type="dxa"/>
            <w:tcBorders>
              <w:top w:val="nil"/>
              <w:left w:val="nil"/>
              <w:bottom w:val="nil"/>
              <w:right w:val="single" w:sz="4" w:space="0" w:color="auto"/>
            </w:tcBorders>
            <w:shd w:val="clear" w:color="auto" w:fill="auto"/>
            <w:noWrap/>
            <w:vAlign w:val="bottom"/>
            <w:hideMark/>
          </w:tcPr>
          <w:p w14:paraId="598B76ED" w14:textId="77777777" w:rsidR="00165A84" w:rsidRPr="00165A84" w:rsidRDefault="00165A84" w:rsidP="00165A84">
            <w:pPr>
              <w:jc w:val="right"/>
              <w:rPr>
                <w:sz w:val="20"/>
              </w:rPr>
            </w:pPr>
            <w:r w:rsidRPr="00165A84">
              <w:rPr>
                <w:sz w:val="20"/>
              </w:rPr>
              <w:t>4.22%</w:t>
            </w:r>
          </w:p>
        </w:tc>
      </w:tr>
      <w:tr w:rsidR="00165A84" w:rsidRPr="00165A84" w14:paraId="65ECC40E"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76DA085"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3B415A3" w14:textId="38A90335" w:rsidR="00165A84" w:rsidRPr="00165A84" w:rsidRDefault="00165A84" w:rsidP="00165A84">
            <w:pPr>
              <w:rPr>
                <w:sz w:val="20"/>
              </w:rPr>
            </w:pPr>
            <w:r w:rsidRPr="00165A84">
              <w:rPr>
                <w:sz w:val="20"/>
              </w:rPr>
              <w:t>17,918</w:t>
            </w:r>
          </w:p>
        </w:tc>
        <w:tc>
          <w:tcPr>
            <w:tcW w:w="980" w:type="dxa"/>
            <w:tcBorders>
              <w:top w:val="nil"/>
              <w:left w:val="nil"/>
              <w:bottom w:val="single" w:sz="4" w:space="0" w:color="auto"/>
              <w:right w:val="single" w:sz="4" w:space="0" w:color="auto"/>
            </w:tcBorders>
            <w:shd w:val="clear" w:color="auto" w:fill="auto"/>
            <w:noWrap/>
            <w:vAlign w:val="bottom"/>
            <w:hideMark/>
          </w:tcPr>
          <w:p w14:paraId="6EAEE9DA" w14:textId="30B3E224" w:rsidR="00165A84" w:rsidRPr="00165A84" w:rsidRDefault="00165A84" w:rsidP="00165A84">
            <w:pPr>
              <w:rPr>
                <w:sz w:val="20"/>
              </w:rPr>
            </w:pPr>
            <w:r w:rsidRPr="00165A84">
              <w:rPr>
                <w:sz w:val="20"/>
              </w:rPr>
              <w:t>3,671</w:t>
            </w:r>
          </w:p>
        </w:tc>
        <w:tc>
          <w:tcPr>
            <w:tcW w:w="980" w:type="dxa"/>
            <w:tcBorders>
              <w:top w:val="nil"/>
              <w:left w:val="nil"/>
              <w:bottom w:val="single" w:sz="4" w:space="0" w:color="auto"/>
              <w:right w:val="single" w:sz="4" w:space="0" w:color="auto"/>
            </w:tcBorders>
            <w:shd w:val="clear" w:color="auto" w:fill="auto"/>
            <w:noWrap/>
            <w:vAlign w:val="bottom"/>
            <w:hideMark/>
          </w:tcPr>
          <w:p w14:paraId="474E2FA7" w14:textId="7B84F7D1" w:rsidR="00165A84" w:rsidRPr="00165A84" w:rsidRDefault="00165A84" w:rsidP="00165A84">
            <w:pPr>
              <w:rPr>
                <w:sz w:val="20"/>
              </w:rPr>
            </w:pPr>
            <w:r w:rsidRPr="00165A84">
              <w:rPr>
                <w:sz w:val="20"/>
              </w:rPr>
              <w:t>2,070</w:t>
            </w:r>
          </w:p>
        </w:tc>
        <w:tc>
          <w:tcPr>
            <w:tcW w:w="980" w:type="dxa"/>
            <w:tcBorders>
              <w:top w:val="nil"/>
              <w:left w:val="nil"/>
              <w:bottom w:val="single" w:sz="4" w:space="0" w:color="auto"/>
              <w:right w:val="single" w:sz="4" w:space="0" w:color="auto"/>
            </w:tcBorders>
            <w:shd w:val="clear" w:color="auto" w:fill="auto"/>
            <w:noWrap/>
            <w:vAlign w:val="bottom"/>
            <w:hideMark/>
          </w:tcPr>
          <w:p w14:paraId="1D870365" w14:textId="44D83B0A" w:rsidR="00165A84" w:rsidRPr="00165A84" w:rsidRDefault="00165A84" w:rsidP="00165A84">
            <w:pPr>
              <w:rPr>
                <w:sz w:val="20"/>
              </w:rPr>
            </w:pPr>
            <w:r w:rsidRPr="00165A84">
              <w:rPr>
                <w:sz w:val="20"/>
              </w:rPr>
              <w:t>1,774</w:t>
            </w:r>
          </w:p>
        </w:tc>
        <w:tc>
          <w:tcPr>
            <w:tcW w:w="980" w:type="dxa"/>
            <w:tcBorders>
              <w:top w:val="nil"/>
              <w:left w:val="nil"/>
              <w:bottom w:val="single" w:sz="4" w:space="0" w:color="auto"/>
              <w:right w:val="single" w:sz="4" w:space="0" w:color="auto"/>
            </w:tcBorders>
            <w:shd w:val="clear" w:color="auto" w:fill="auto"/>
            <w:noWrap/>
            <w:vAlign w:val="bottom"/>
            <w:hideMark/>
          </w:tcPr>
          <w:p w14:paraId="5F99F87B" w14:textId="11B38B82" w:rsidR="00165A84" w:rsidRPr="00165A84" w:rsidRDefault="00165A84" w:rsidP="00165A84">
            <w:pPr>
              <w:rPr>
                <w:sz w:val="20"/>
              </w:rPr>
            </w:pPr>
            <w:r w:rsidRPr="00165A84">
              <w:rPr>
                <w:sz w:val="20"/>
              </w:rPr>
              <w:t>105</w:t>
            </w:r>
          </w:p>
        </w:tc>
        <w:tc>
          <w:tcPr>
            <w:tcW w:w="980" w:type="dxa"/>
            <w:tcBorders>
              <w:top w:val="nil"/>
              <w:left w:val="nil"/>
              <w:bottom w:val="single" w:sz="4" w:space="0" w:color="auto"/>
              <w:right w:val="single" w:sz="4" w:space="0" w:color="auto"/>
            </w:tcBorders>
            <w:shd w:val="clear" w:color="auto" w:fill="auto"/>
            <w:noWrap/>
            <w:vAlign w:val="bottom"/>
            <w:hideMark/>
          </w:tcPr>
          <w:p w14:paraId="30DE68C4" w14:textId="09A6A689" w:rsidR="00165A84" w:rsidRPr="00165A84" w:rsidRDefault="00165A84" w:rsidP="00165A84">
            <w:pPr>
              <w:rPr>
                <w:sz w:val="20"/>
              </w:rPr>
            </w:pPr>
            <w:r w:rsidRPr="00165A84">
              <w:rPr>
                <w:sz w:val="20"/>
              </w:rPr>
              <w:t>191</w:t>
            </w:r>
          </w:p>
        </w:tc>
        <w:tc>
          <w:tcPr>
            <w:tcW w:w="980" w:type="dxa"/>
            <w:tcBorders>
              <w:top w:val="nil"/>
              <w:left w:val="nil"/>
              <w:bottom w:val="single" w:sz="4" w:space="0" w:color="auto"/>
              <w:right w:val="single" w:sz="4" w:space="0" w:color="auto"/>
            </w:tcBorders>
            <w:shd w:val="clear" w:color="auto" w:fill="auto"/>
            <w:noWrap/>
            <w:vAlign w:val="bottom"/>
            <w:hideMark/>
          </w:tcPr>
          <w:p w14:paraId="5F65F820" w14:textId="6E5E6785" w:rsidR="00165A84" w:rsidRPr="00165A84" w:rsidRDefault="00165A84" w:rsidP="00165A84">
            <w:pPr>
              <w:rPr>
                <w:sz w:val="20"/>
              </w:rPr>
            </w:pPr>
            <w:r w:rsidRPr="00165A84">
              <w:rPr>
                <w:sz w:val="20"/>
              </w:rPr>
              <w:t>1,588</w:t>
            </w:r>
          </w:p>
        </w:tc>
      </w:tr>
      <w:tr w:rsidR="00165A84" w:rsidRPr="00165A84" w14:paraId="07FFD3EB" w14:textId="77777777" w:rsidTr="00165A8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472A4486" w14:textId="15401A1C" w:rsidR="00165A84" w:rsidRPr="00165A84" w:rsidRDefault="00165A84" w:rsidP="00165A84">
            <w:pPr>
              <w:rPr>
                <w:sz w:val="20"/>
              </w:rPr>
            </w:pPr>
            <w:r w:rsidRPr="00165A84">
              <w:rPr>
                <w:sz w:val="20"/>
              </w:rPr>
              <w:t xml:space="preserve">Older Adults </w:t>
            </w:r>
            <w:r w:rsidR="00240C80">
              <w:rPr>
                <w:sz w:val="20"/>
              </w:rPr>
              <w:t>26+</w:t>
            </w:r>
            <w:r w:rsidRPr="00165A8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3B9390B0" w14:textId="36B64DC2"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72278C5" w14:textId="0AD1C972"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07FE652" w14:textId="2D29D635"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75B3BFF0" w14:textId="390B8725"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BD7469D" w14:textId="0A4C72C2"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5CBCA237" w14:textId="31DB2790"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BA80620" w14:textId="3F8983CC" w:rsidR="00165A84" w:rsidRPr="00165A84" w:rsidRDefault="00165A84" w:rsidP="00165A84">
            <w:pPr>
              <w:rPr>
                <w:sz w:val="20"/>
              </w:rPr>
            </w:pPr>
          </w:p>
        </w:tc>
      </w:tr>
      <w:tr w:rsidR="00165A84" w:rsidRPr="00165A84" w14:paraId="7C2FC8C9"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C718D1F"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B3FEBA7" w14:textId="77777777" w:rsidR="00165A84" w:rsidRPr="00165A84" w:rsidRDefault="00165A84" w:rsidP="00165A84">
            <w:pPr>
              <w:jc w:val="right"/>
              <w:rPr>
                <w:sz w:val="20"/>
              </w:rPr>
            </w:pPr>
            <w:r w:rsidRPr="00165A84">
              <w:rPr>
                <w:sz w:val="20"/>
              </w:rPr>
              <w:t>3,077,467</w:t>
            </w:r>
          </w:p>
        </w:tc>
        <w:tc>
          <w:tcPr>
            <w:tcW w:w="980" w:type="dxa"/>
            <w:tcBorders>
              <w:top w:val="nil"/>
              <w:left w:val="nil"/>
              <w:bottom w:val="nil"/>
              <w:right w:val="nil"/>
            </w:tcBorders>
            <w:shd w:val="clear" w:color="auto" w:fill="auto"/>
            <w:noWrap/>
            <w:vAlign w:val="bottom"/>
            <w:hideMark/>
          </w:tcPr>
          <w:p w14:paraId="4E403637" w14:textId="77777777" w:rsidR="00165A84" w:rsidRPr="00165A84" w:rsidRDefault="00165A84" w:rsidP="00165A84">
            <w:pPr>
              <w:jc w:val="right"/>
              <w:rPr>
                <w:sz w:val="20"/>
              </w:rPr>
            </w:pPr>
            <w:r w:rsidRPr="00165A8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106CBFF0" w14:textId="77777777" w:rsidR="00165A84" w:rsidRPr="00165A84" w:rsidRDefault="00165A84" w:rsidP="00165A84">
            <w:pPr>
              <w:jc w:val="right"/>
              <w:rPr>
                <w:sz w:val="20"/>
              </w:rPr>
            </w:pPr>
            <w:r w:rsidRPr="00165A84">
              <w:rPr>
                <w:sz w:val="20"/>
              </w:rPr>
              <w:t>320,039</w:t>
            </w:r>
          </w:p>
        </w:tc>
        <w:tc>
          <w:tcPr>
            <w:tcW w:w="980" w:type="dxa"/>
            <w:tcBorders>
              <w:top w:val="nil"/>
              <w:left w:val="nil"/>
              <w:bottom w:val="nil"/>
              <w:right w:val="nil"/>
            </w:tcBorders>
            <w:shd w:val="clear" w:color="auto" w:fill="auto"/>
            <w:noWrap/>
            <w:vAlign w:val="bottom"/>
            <w:hideMark/>
          </w:tcPr>
          <w:p w14:paraId="370C1981" w14:textId="77777777" w:rsidR="00165A84" w:rsidRPr="00165A84" w:rsidRDefault="00165A84" w:rsidP="00165A84">
            <w:pPr>
              <w:jc w:val="right"/>
              <w:rPr>
                <w:sz w:val="20"/>
              </w:rPr>
            </w:pPr>
            <w:r w:rsidRPr="00165A8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663B2FFF" w14:textId="77777777" w:rsidR="00165A84" w:rsidRPr="00165A84" w:rsidRDefault="00165A84" w:rsidP="00165A84">
            <w:pPr>
              <w:jc w:val="right"/>
              <w:rPr>
                <w:sz w:val="20"/>
              </w:rPr>
            </w:pPr>
            <w:r w:rsidRPr="00165A84">
              <w:rPr>
                <w:sz w:val="20"/>
              </w:rPr>
              <w:t>14,956</w:t>
            </w:r>
          </w:p>
        </w:tc>
        <w:tc>
          <w:tcPr>
            <w:tcW w:w="980" w:type="dxa"/>
            <w:tcBorders>
              <w:top w:val="nil"/>
              <w:left w:val="nil"/>
              <w:bottom w:val="nil"/>
              <w:right w:val="single" w:sz="4" w:space="0" w:color="auto"/>
            </w:tcBorders>
            <w:shd w:val="clear" w:color="auto" w:fill="auto"/>
            <w:noWrap/>
            <w:vAlign w:val="bottom"/>
            <w:hideMark/>
          </w:tcPr>
          <w:p w14:paraId="07AD2414" w14:textId="77777777" w:rsidR="00165A84" w:rsidRPr="00165A84" w:rsidRDefault="00165A84" w:rsidP="00165A84">
            <w:pPr>
              <w:jc w:val="right"/>
              <w:rPr>
                <w:sz w:val="20"/>
              </w:rPr>
            </w:pPr>
            <w:r w:rsidRPr="00165A84">
              <w:rPr>
                <w:sz w:val="20"/>
              </w:rPr>
              <w:t>30,611</w:t>
            </w:r>
          </w:p>
        </w:tc>
        <w:tc>
          <w:tcPr>
            <w:tcW w:w="980" w:type="dxa"/>
            <w:tcBorders>
              <w:top w:val="nil"/>
              <w:left w:val="nil"/>
              <w:bottom w:val="nil"/>
              <w:right w:val="single" w:sz="4" w:space="0" w:color="auto"/>
            </w:tcBorders>
            <w:shd w:val="clear" w:color="auto" w:fill="auto"/>
            <w:noWrap/>
            <w:vAlign w:val="bottom"/>
            <w:hideMark/>
          </w:tcPr>
          <w:p w14:paraId="184DCFF6" w14:textId="77777777" w:rsidR="00165A84" w:rsidRPr="00165A84" w:rsidRDefault="00165A84" w:rsidP="00165A84">
            <w:pPr>
              <w:jc w:val="right"/>
              <w:rPr>
                <w:sz w:val="20"/>
              </w:rPr>
            </w:pPr>
            <w:r w:rsidRPr="00165A84">
              <w:rPr>
                <w:sz w:val="20"/>
              </w:rPr>
              <w:t>299,579</w:t>
            </w:r>
          </w:p>
        </w:tc>
      </w:tr>
      <w:tr w:rsidR="00165A84" w:rsidRPr="00165A84" w14:paraId="574CC3E4"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5036BE9B" w14:textId="3D0BA572" w:rsidR="00165A84" w:rsidRPr="00165A84" w:rsidRDefault="00165A84" w:rsidP="00165A84">
            <w:pPr>
              <w:rPr>
                <w:sz w:val="20"/>
              </w:rPr>
            </w:pPr>
            <w:r w:rsidRPr="00165A84">
              <w:rPr>
                <w:sz w:val="20"/>
              </w:rPr>
              <w:t xml:space="preserve">    Rate (</w:t>
            </w:r>
            <w:proofErr w:type="gramStart"/>
            <w:r w:rsidRPr="00165A84">
              <w:rPr>
                <w:sz w:val="20"/>
              </w:rPr>
              <w:t>%)</w:t>
            </w:r>
            <w:r w:rsidR="00013571" w:rsidRPr="00013571">
              <w:rPr>
                <w:sz w:val="20"/>
              </w:rPr>
              <w:t>§</w:t>
            </w:r>
            <w:proofErr w:type="gramEnd"/>
          </w:p>
        </w:tc>
        <w:tc>
          <w:tcPr>
            <w:tcW w:w="1140" w:type="dxa"/>
            <w:tcBorders>
              <w:top w:val="nil"/>
              <w:left w:val="single" w:sz="4" w:space="0" w:color="auto"/>
              <w:bottom w:val="nil"/>
              <w:right w:val="single" w:sz="4" w:space="0" w:color="auto"/>
            </w:tcBorders>
            <w:shd w:val="clear" w:color="auto" w:fill="auto"/>
            <w:noWrap/>
            <w:vAlign w:val="bottom"/>
            <w:hideMark/>
          </w:tcPr>
          <w:p w14:paraId="5F3B1640" w14:textId="77777777" w:rsidR="00165A84" w:rsidRPr="00165A84" w:rsidRDefault="00165A84" w:rsidP="00165A84">
            <w:pPr>
              <w:jc w:val="right"/>
              <w:rPr>
                <w:sz w:val="20"/>
              </w:rPr>
            </w:pPr>
            <w:r w:rsidRPr="00165A84">
              <w:rPr>
                <w:sz w:val="20"/>
              </w:rPr>
              <w:t>1.13%</w:t>
            </w:r>
          </w:p>
        </w:tc>
        <w:tc>
          <w:tcPr>
            <w:tcW w:w="980" w:type="dxa"/>
            <w:tcBorders>
              <w:top w:val="nil"/>
              <w:left w:val="nil"/>
              <w:bottom w:val="nil"/>
              <w:right w:val="single" w:sz="4" w:space="0" w:color="auto"/>
            </w:tcBorders>
            <w:shd w:val="clear" w:color="auto" w:fill="auto"/>
            <w:noWrap/>
            <w:vAlign w:val="bottom"/>
            <w:hideMark/>
          </w:tcPr>
          <w:p w14:paraId="78D17C33" w14:textId="77777777" w:rsidR="00165A84" w:rsidRPr="00165A84" w:rsidRDefault="00165A84" w:rsidP="00165A84">
            <w:pPr>
              <w:jc w:val="right"/>
              <w:rPr>
                <w:sz w:val="20"/>
              </w:rPr>
            </w:pPr>
            <w:r w:rsidRPr="00165A84">
              <w:rPr>
                <w:sz w:val="20"/>
              </w:rPr>
              <w:t>1.50%</w:t>
            </w:r>
          </w:p>
        </w:tc>
        <w:tc>
          <w:tcPr>
            <w:tcW w:w="980" w:type="dxa"/>
            <w:tcBorders>
              <w:top w:val="nil"/>
              <w:left w:val="nil"/>
              <w:bottom w:val="nil"/>
              <w:right w:val="single" w:sz="4" w:space="0" w:color="auto"/>
            </w:tcBorders>
            <w:shd w:val="clear" w:color="auto" w:fill="auto"/>
            <w:noWrap/>
            <w:vAlign w:val="bottom"/>
            <w:hideMark/>
          </w:tcPr>
          <w:p w14:paraId="1796A066" w14:textId="77777777" w:rsidR="00165A84" w:rsidRPr="00165A84" w:rsidRDefault="00165A84" w:rsidP="00165A84">
            <w:pPr>
              <w:jc w:val="right"/>
              <w:rPr>
                <w:sz w:val="20"/>
              </w:rPr>
            </w:pPr>
            <w:r w:rsidRPr="00165A84">
              <w:rPr>
                <w:sz w:val="20"/>
              </w:rPr>
              <w:t>1.87%</w:t>
            </w:r>
          </w:p>
        </w:tc>
        <w:tc>
          <w:tcPr>
            <w:tcW w:w="980" w:type="dxa"/>
            <w:tcBorders>
              <w:top w:val="nil"/>
              <w:left w:val="nil"/>
              <w:bottom w:val="nil"/>
              <w:right w:val="nil"/>
            </w:tcBorders>
            <w:shd w:val="clear" w:color="auto" w:fill="auto"/>
            <w:noWrap/>
            <w:vAlign w:val="bottom"/>
            <w:hideMark/>
          </w:tcPr>
          <w:p w14:paraId="089423E1" w14:textId="77777777" w:rsidR="00165A84" w:rsidRPr="00165A84" w:rsidRDefault="00165A84" w:rsidP="00165A84">
            <w:pPr>
              <w:jc w:val="right"/>
              <w:rPr>
                <w:sz w:val="20"/>
              </w:rPr>
            </w:pPr>
            <w:r w:rsidRPr="00165A84">
              <w:rPr>
                <w:sz w:val="20"/>
              </w:rPr>
              <w:t>1.87%</w:t>
            </w:r>
          </w:p>
        </w:tc>
        <w:tc>
          <w:tcPr>
            <w:tcW w:w="980" w:type="dxa"/>
            <w:tcBorders>
              <w:top w:val="nil"/>
              <w:left w:val="single" w:sz="4" w:space="0" w:color="auto"/>
              <w:bottom w:val="nil"/>
              <w:right w:val="single" w:sz="4" w:space="0" w:color="auto"/>
            </w:tcBorders>
            <w:shd w:val="clear" w:color="auto" w:fill="auto"/>
            <w:noWrap/>
            <w:vAlign w:val="bottom"/>
            <w:hideMark/>
          </w:tcPr>
          <w:p w14:paraId="36311268" w14:textId="77777777" w:rsidR="00165A84" w:rsidRPr="00165A84" w:rsidRDefault="00165A84" w:rsidP="00165A84">
            <w:pPr>
              <w:jc w:val="right"/>
              <w:rPr>
                <w:sz w:val="20"/>
              </w:rPr>
            </w:pPr>
            <w:r w:rsidRPr="00165A84">
              <w:rPr>
                <w:sz w:val="20"/>
              </w:rPr>
              <w:t>1.87%</w:t>
            </w:r>
          </w:p>
        </w:tc>
        <w:tc>
          <w:tcPr>
            <w:tcW w:w="980" w:type="dxa"/>
            <w:tcBorders>
              <w:top w:val="nil"/>
              <w:left w:val="nil"/>
              <w:bottom w:val="nil"/>
              <w:right w:val="single" w:sz="4" w:space="0" w:color="auto"/>
            </w:tcBorders>
            <w:shd w:val="clear" w:color="auto" w:fill="auto"/>
            <w:noWrap/>
            <w:vAlign w:val="bottom"/>
            <w:hideMark/>
          </w:tcPr>
          <w:p w14:paraId="139BE4F1" w14:textId="77777777" w:rsidR="00165A84" w:rsidRPr="00165A84" w:rsidRDefault="00165A84" w:rsidP="00165A84">
            <w:pPr>
              <w:jc w:val="right"/>
              <w:rPr>
                <w:sz w:val="20"/>
              </w:rPr>
            </w:pPr>
            <w:r w:rsidRPr="00165A84">
              <w:rPr>
                <w:sz w:val="20"/>
              </w:rPr>
              <w:t>1.87%</w:t>
            </w:r>
          </w:p>
        </w:tc>
        <w:tc>
          <w:tcPr>
            <w:tcW w:w="980" w:type="dxa"/>
            <w:tcBorders>
              <w:top w:val="nil"/>
              <w:left w:val="nil"/>
              <w:bottom w:val="nil"/>
              <w:right w:val="single" w:sz="4" w:space="0" w:color="auto"/>
            </w:tcBorders>
            <w:shd w:val="clear" w:color="auto" w:fill="auto"/>
            <w:noWrap/>
            <w:vAlign w:val="bottom"/>
            <w:hideMark/>
          </w:tcPr>
          <w:p w14:paraId="5EAABE20" w14:textId="77777777" w:rsidR="00165A84" w:rsidRPr="00165A84" w:rsidRDefault="00165A84" w:rsidP="00165A84">
            <w:pPr>
              <w:jc w:val="right"/>
              <w:rPr>
                <w:sz w:val="20"/>
              </w:rPr>
            </w:pPr>
            <w:r w:rsidRPr="00165A84">
              <w:rPr>
                <w:sz w:val="20"/>
              </w:rPr>
              <w:t>1.08%</w:t>
            </w:r>
          </w:p>
        </w:tc>
      </w:tr>
      <w:tr w:rsidR="00165A84" w:rsidRPr="00165A84" w14:paraId="33111533"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703DBBE"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A11E0AA" w14:textId="7D5B207D" w:rsidR="00165A84" w:rsidRPr="00165A84" w:rsidRDefault="00165A84" w:rsidP="00165A84">
            <w:pPr>
              <w:rPr>
                <w:sz w:val="20"/>
              </w:rPr>
            </w:pPr>
            <w:r w:rsidRPr="00165A84">
              <w:rPr>
                <w:sz w:val="20"/>
              </w:rPr>
              <w:t>34,671</w:t>
            </w:r>
          </w:p>
        </w:tc>
        <w:tc>
          <w:tcPr>
            <w:tcW w:w="980" w:type="dxa"/>
            <w:tcBorders>
              <w:top w:val="nil"/>
              <w:left w:val="nil"/>
              <w:bottom w:val="single" w:sz="4" w:space="0" w:color="auto"/>
              <w:right w:val="single" w:sz="4" w:space="0" w:color="auto"/>
            </w:tcBorders>
            <w:shd w:val="clear" w:color="auto" w:fill="auto"/>
            <w:noWrap/>
            <w:vAlign w:val="bottom"/>
            <w:hideMark/>
          </w:tcPr>
          <w:p w14:paraId="0AE4AF08" w14:textId="1D362EEB" w:rsidR="00165A84" w:rsidRPr="00165A84" w:rsidRDefault="00165A84" w:rsidP="00165A84">
            <w:pPr>
              <w:rPr>
                <w:sz w:val="20"/>
              </w:rPr>
            </w:pPr>
            <w:r w:rsidRPr="00165A84">
              <w:rPr>
                <w:sz w:val="20"/>
              </w:rPr>
              <w:t>9,276</w:t>
            </w:r>
          </w:p>
        </w:tc>
        <w:tc>
          <w:tcPr>
            <w:tcW w:w="980" w:type="dxa"/>
            <w:tcBorders>
              <w:top w:val="nil"/>
              <w:left w:val="nil"/>
              <w:bottom w:val="single" w:sz="4" w:space="0" w:color="auto"/>
              <w:right w:val="single" w:sz="4" w:space="0" w:color="auto"/>
            </w:tcBorders>
            <w:shd w:val="clear" w:color="auto" w:fill="auto"/>
            <w:noWrap/>
            <w:vAlign w:val="bottom"/>
            <w:hideMark/>
          </w:tcPr>
          <w:p w14:paraId="021B6E26" w14:textId="61A44900" w:rsidR="00165A84" w:rsidRPr="00165A84" w:rsidRDefault="00165A84" w:rsidP="00165A84">
            <w:pPr>
              <w:rPr>
                <w:sz w:val="20"/>
              </w:rPr>
            </w:pPr>
            <w:r w:rsidRPr="00165A84">
              <w:rPr>
                <w:sz w:val="20"/>
              </w:rPr>
              <w:t>5,969</w:t>
            </w:r>
          </w:p>
        </w:tc>
        <w:tc>
          <w:tcPr>
            <w:tcW w:w="980" w:type="dxa"/>
            <w:tcBorders>
              <w:top w:val="nil"/>
              <w:left w:val="nil"/>
              <w:bottom w:val="single" w:sz="4" w:space="0" w:color="auto"/>
              <w:right w:val="single" w:sz="4" w:space="0" w:color="auto"/>
            </w:tcBorders>
            <w:shd w:val="clear" w:color="auto" w:fill="auto"/>
            <w:noWrap/>
            <w:vAlign w:val="bottom"/>
            <w:hideMark/>
          </w:tcPr>
          <w:p w14:paraId="715D49AB" w14:textId="605342C7" w:rsidR="00165A84" w:rsidRPr="00165A84" w:rsidRDefault="00165A84" w:rsidP="00165A84">
            <w:pPr>
              <w:rPr>
                <w:sz w:val="20"/>
              </w:rPr>
            </w:pPr>
            <w:r w:rsidRPr="00165A84">
              <w:rPr>
                <w:sz w:val="20"/>
              </w:rPr>
              <w:t>5,119</w:t>
            </w:r>
          </w:p>
        </w:tc>
        <w:tc>
          <w:tcPr>
            <w:tcW w:w="980" w:type="dxa"/>
            <w:tcBorders>
              <w:top w:val="nil"/>
              <w:left w:val="nil"/>
              <w:bottom w:val="single" w:sz="4" w:space="0" w:color="auto"/>
              <w:right w:val="single" w:sz="4" w:space="0" w:color="auto"/>
            </w:tcBorders>
            <w:shd w:val="clear" w:color="auto" w:fill="auto"/>
            <w:noWrap/>
            <w:vAlign w:val="bottom"/>
            <w:hideMark/>
          </w:tcPr>
          <w:p w14:paraId="22E02939" w14:textId="01B97E45" w:rsidR="00165A84" w:rsidRPr="00165A84" w:rsidRDefault="00165A84" w:rsidP="00165A84">
            <w:pPr>
              <w:rPr>
                <w:sz w:val="20"/>
              </w:rPr>
            </w:pPr>
            <w:r w:rsidRPr="00165A84">
              <w:rPr>
                <w:sz w:val="20"/>
              </w:rPr>
              <w:t>279</w:t>
            </w:r>
          </w:p>
        </w:tc>
        <w:tc>
          <w:tcPr>
            <w:tcW w:w="980" w:type="dxa"/>
            <w:tcBorders>
              <w:top w:val="nil"/>
              <w:left w:val="nil"/>
              <w:bottom w:val="single" w:sz="4" w:space="0" w:color="auto"/>
              <w:right w:val="single" w:sz="4" w:space="0" w:color="auto"/>
            </w:tcBorders>
            <w:shd w:val="clear" w:color="auto" w:fill="auto"/>
            <w:noWrap/>
            <w:vAlign w:val="bottom"/>
            <w:hideMark/>
          </w:tcPr>
          <w:p w14:paraId="0C9A431B" w14:textId="7C317ECE" w:rsidR="00165A84" w:rsidRPr="00165A84" w:rsidRDefault="00165A84" w:rsidP="00165A84">
            <w:pPr>
              <w:rPr>
                <w:sz w:val="20"/>
              </w:rPr>
            </w:pPr>
            <w:r w:rsidRPr="00165A84">
              <w:rPr>
                <w:sz w:val="20"/>
              </w:rPr>
              <w:t>571</w:t>
            </w:r>
          </w:p>
        </w:tc>
        <w:tc>
          <w:tcPr>
            <w:tcW w:w="980" w:type="dxa"/>
            <w:tcBorders>
              <w:top w:val="nil"/>
              <w:left w:val="nil"/>
              <w:bottom w:val="single" w:sz="4" w:space="0" w:color="auto"/>
              <w:right w:val="single" w:sz="4" w:space="0" w:color="auto"/>
            </w:tcBorders>
            <w:shd w:val="clear" w:color="auto" w:fill="auto"/>
            <w:noWrap/>
            <w:vAlign w:val="bottom"/>
            <w:hideMark/>
          </w:tcPr>
          <w:p w14:paraId="150D1CA8" w14:textId="6CCA1A7C" w:rsidR="00165A84" w:rsidRPr="00165A84" w:rsidRDefault="00165A84" w:rsidP="00165A84">
            <w:pPr>
              <w:rPr>
                <w:sz w:val="20"/>
              </w:rPr>
            </w:pPr>
            <w:r w:rsidRPr="00165A84">
              <w:rPr>
                <w:sz w:val="20"/>
              </w:rPr>
              <w:t>3,248</w:t>
            </w:r>
          </w:p>
        </w:tc>
      </w:tr>
      <w:tr w:rsidR="00165A84" w:rsidRPr="00165A84" w14:paraId="47D3B131"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16719E6" w14:textId="77777777" w:rsidR="00165A84" w:rsidRPr="00165A84" w:rsidRDefault="00165A84" w:rsidP="00165A84">
            <w:pPr>
              <w:rPr>
                <w:sz w:val="20"/>
              </w:rPr>
            </w:pPr>
            <w:r w:rsidRPr="00165A8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5B595442" w14:textId="2066E72F"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0D0261AA"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F6969A3" w14:textId="26BFAB5A"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7A065280"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F97F2DB" w14:textId="221D54CB"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634CAD39" w14:textId="5A4AB2F5"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0F9E529B" w14:textId="7EC03838" w:rsidR="00165A84" w:rsidRPr="00165A84" w:rsidRDefault="00165A84" w:rsidP="00165A84">
            <w:pPr>
              <w:rPr>
                <w:sz w:val="20"/>
              </w:rPr>
            </w:pPr>
          </w:p>
        </w:tc>
      </w:tr>
      <w:tr w:rsidR="00165A84" w:rsidRPr="00165A84" w14:paraId="1F731FFD"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1F417713"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D81D850" w14:textId="77777777" w:rsidR="00165A84" w:rsidRPr="00165A84" w:rsidRDefault="00165A84" w:rsidP="00165A84">
            <w:pPr>
              <w:jc w:val="right"/>
              <w:rPr>
                <w:sz w:val="20"/>
              </w:rPr>
            </w:pPr>
            <w:r w:rsidRPr="00165A84">
              <w:rPr>
                <w:sz w:val="20"/>
              </w:rPr>
              <w:t>3,561,164</w:t>
            </w:r>
          </w:p>
        </w:tc>
        <w:tc>
          <w:tcPr>
            <w:tcW w:w="980" w:type="dxa"/>
            <w:tcBorders>
              <w:top w:val="nil"/>
              <w:left w:val="nil"/>
              <w:bottom w:val="nil"/>
              <w:right w:val="nil"/>
            </w:tcBorders>
            <w:shd w:val="clear" w:color="auto" w:fill="auto"/>
            <w:noWrap/>
            <w:vAlign w:val="bottom"/>
            <w:hideMark/>
          </w:tcPr>
          <w:p w14:paraId="695448AE" w14:textId="77777777" w:rsidR="00165A84" w:rsidRPr="00165A84" w:rsidRDefault="00165A84" w:rsidP="00165A84">
            <w:pPr>
              <w:jc w:val="right"/>
              <w:rPr>
                <w:sz w:val="20"/>
              </w:rPr>
            </w:pPr>
            <w:r w:rsidRPr="00165A8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61753052" w14:textId="77777777" w:rsidR="00165A84" w:rsidRPr="00165A84" w:rsidRDefault="00165A84" w:rsidP="00165A84">
            <w:pPr>
              <w:jc w:val="right"/>
              <w:rPr>
                <w:sz w:val="20"/>
              </w:rPr>
            </w:pPr>
            <w:r w:rsidRPr="00165A84">
              <w:rPr>
                <w:sz w:val="20"/>
              </w:rPr>
              <w:t>364,829</w:t>
            </w:r>
          </w:p>
        </w:tc>
        <w:tc>
          <w:tcPr>
            <w:tcW w:w="980" w:type="dxa"/>
            <w:tcBorders>
              <w:top w:val="nil"/>
              <w:left w:val="nil"/>
              <w:bottom w:val="nil"/>
              <w:right w:val="nil"/>
            </w:tcBorders>
            <w:shd w:val="clear" w:color="auto" w:fill="auto"/>
            <w:noWrap/>
            <w:vAlign w:val="bottom"/>
            <w:hideMark/>
          </w:tcPr>
          <w:p w14:paraId="67CBB651" w14:textId="77777777" w:rsidR="00165A84" w:rsidRPr="00165A84" w:rsidRDefault="00165A84" w:rsidP="00165A84">
            <w:pPr>
              <w:jc w:val="right"/>
              <w:rPr>
                <w:sz w:val="20"/>
              </w:rPr>
            </w:pPr>
            <w:r w:rsidRPr="00165A8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0D1E3D49" w14:textId="77777777" w:rsidR="00165A84" w:rsidRPr="00165A84" w:rsidRDefault="00165A84" w:rsidP="00165A84">
            <w:pPr>
              <w:jc w:val="right"/>
              <w:rPr>
                <w:sz w:val="20"/>
              </w:rPr>
            </w:pPr>
            <w:r w:rsidRPr="00165A84">
              <w:rPr>
                <w:sz w:val="20"/>
              </w:rPr>
              <w:t>17,221</w:t>
            </w:r>
          </w:p>
        </w:tc>
        <w:tc>
          <w:tcPr>
            <w:tcW w:w="980" w:type="dxa"/>
            <w:tcBorders>
              <w:top w:val="nil"/>
              <w:left w:val="nil"/>
              <w:bottom w:val="nil"/>
              <w:right w:val="single" w:sz="4" w:space="0" w:color="auto"/>
            </w:tcBorders>
            <w:shd w:val="clear" w:color="auto" w:fill="auto"/>
            <w:noWrap/>
            <w:vAlign w:val="bottom"/>
            <w:hideMark/>
          </w:tcPr>
          <w:p w14:paraId="5C21D6A9" w14:textId="77777777" w:rsidR="00165A84" w:rsidRPr="00165A84" w:rsidRDefault="00165A84" w:rsidP="00165A84">
            <w:pPr>
              <w:jc w:val="right"/>
              <w:rPr>
                <w:sz w:val="20"/>
              </w:rPr>
            </w:pPr>
            <w:r w:rsidRPr="00165A84">
              <w:rPr>
                <w:sz w:val="20"/>
              </w:rPr>
              <w:t>34,744</w:t>
            </w:r>
          </w:p>
        </w:tc>
        <w:tc>
          <w:tcPr>
            <w:tcW w:w="980" w:type="dxa"/>
            <w:tcBorders>
              <w:top w:val="nil"/>
              <w:left w:val="nil"/>
              <w:bottom w:val="nil"/>
              <w:right w:val="single" w:sz="4" w:space="0" w:color="auto"/>
            </w:tcBorders>
            <w:shd w:val="clear" w:color="auto" w:fill="auto"/>
            <w:noWrap/>
            <w:vAlign w:val="bottom"/>
            <w:hideMark/>
          </w:tcPr>
          <w:p w14:paraId="1934F3A1" w14:textId="77777777" w:rsidR="00165A84" w:rsidRPr="00165A84" w:rsidRDefault="00165A84" w:rsidP="00165A84">
            <w:pPr>
              <w:jc w:val="right"/>
              <w:rPr>
                <w:sz w:val="20"/>
              </w:rPr>
            </w:pPr>
            <w:r w:rsidRPr="00165A84">
              <w:rPr>
                <w:sz w:val="20"/>
              </w:rPr>
              <w:t>337,196</w:t>
            </w:r>
          </w:p>
        </w:tc>
      </w:tr>
      <w:tr w:rsidR="00165A84" w:rsidRPr="00165A84" w14:paraId="26E0924E"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1E9EDEBD"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4FD3CA7B" w14:textId="77777777" w:rsidR="00165A84" w:rsidRPr="00165A84" w:rsidRDefault="00165A84" w:rsidP="00165A84">
            <w:pPr>
              <w:jc w:val="right"/>
              <w:rPr>
                <w:sz w:val="20"/>
              </w:rPr>
            </w:pPr>
            <w:r w:rsidRPr="00165A84">
              <w:rPr>
                <w:sz w:val="20"/>
              </w:rPr>
              <w:t>1.49%</w:t>
            </w:r>
          </w:p>
        </w:tc>
        <w:tc>
          <w:tcPr>
            <w:tcW w:w="980" w:type="dxa"/>
            <w:tcBorders>
              <w:top w:val="nil"/>
              <w:left w:val="nil"/>
              <w:bottom w:val="nil"/>
              <w:right w:val="single" w:sz="4" w:space="0" w:color="auto"/>
            </w:tcBorders>
            <w:shd w:val="clear" w:color="auto" w:fill="auto"/>
            <w:noWrap/>
            <w:vAlign w:val="bottom"/>
            <w:hideMark/>
          </w:tcPr>
          <w:p w14:paraId="0B0BB803" w14:textId="77777777" w:rsidR="00165A84" w:rsidRPr="00165A84" w:rsidRDefault="00165A84" w:rsidP="00165A84">
            <w:pPr>
              <w:jc w:val="right"/>
              <w:rPr>
                <w:sz w:val="20"/>
              </w:rPr>
            </w:pPr>
            <w:r w:rsidRPr="00165A84">
              <w:rPr>
                <w:sz w:val="20"/>
              </w:rPr>
              <w:t>1.88%</w:t>
            </w:r>
          </w:p>
        </w:tc>
        <w:tc>
          <w:tcPr>
            <w:tcW w:w="980" w:type="dxa"/>
            <w:tcBorders>
              <w:top w:val="nil"/>
              <w:left w:val="nil"/>
              <w:bottom w:val="nil"/>
              <w:right w:val="single" w:sz="4" w:space="0" w:color="auto"/>
            </w:tcBorders>
            <w:shd w:val="clear" w:color="auto" w:fill="auto"/>
            <w:noWrap/>
            <w:vAlign w:val="bottom"/>
            <w:hideMark/>
          </w:tcPr>
          <w:p w14:paraId="5B9F1112" w14:textId="77777777" w:rsidR="00165A84" w:rsidRPr="00165A84" w:rsidRDefault="00165A84" w:rsidP="00165A84">
            <w:pPr>
              <w:jc w:val="right"/>
              <w:rPr>
                <w:sz w:val="20"/>
              </w:rPr>
            </w:pPr>
            <w:r w:rsidRPr="00165A84">
              <w:rPr>
                <w:sz w:val="20"/>
              </w:rPr>
              <w:t>2.25%</w:t>
            </w:r>
          </w:p>
        </w:tc>
        <w:tc>
          <w:tcPr>
            <w:tcW w:w="980" w:type="dxa"/>
            <w:tcBorders>
              <w:top w:val="nil"/>
              <w:left w:val="nil"/>
              <w:bottom w:val="nil"/>
              <w:right w:val="nil"/>
            </w:tcBorders>
            <w:shd w:val="clear" w:color="auto" w:fill="auto"/>
            <w:noWrap/>
            <w:vAlign w:val="bottom"/>
            <w:hideMark/>
          </w:tcPr>
          <w:p w14:paraId="005ED269" w14:textId="77777777" w:rsidR="00165A84" w:rsidRPr="00165A84" w:rsidRDefault="00165A84" w:rsidP="00165A84">
            <w:pPr>
              <w:jc w:val="right"/>
              <w:rPr>
                <w:sz w:val="20"/>
              </w:rPr>
            </w:pPr>
            <w:r w:rsidRPr="00165A84">
              <w:rPr>
                <w:sz w:val="20"/>
              </w:rPr>
              <w:t>2.25%</w:t>
            </w:r>
          </w:p>
        </w:tc>
        <w:tc>
          <w:tcPr>
            <w:tcW w:w="980" w:type="dxa"/>
            <w:tcBorders>
              <w:top w:val="nil"/>
              <w:left w:val="single" w:sz="4" w:space="0" w:color="auto"/>
              <w:bottom w:val="nil"/>
              <w:right w:val="single" w:sz="4" w:space="0" w:color="auto"/>
            </w:tcBorders>
            <w:shd w:val="clear" w:color="auto" w:fill="auto"/>
            <w:noWrap/>
            <w:vAlign w:val="bottom"/>
            <w:hideMark/>
          </w:tcPr>
          <w:p w14:paraId="50BAA4B7" w14:textId="77777777" w:rsidR="00165A84" w:rsidRPr="00165A84" w:rsidRDefault="00165A84" w:rsidP="00165A84">
            <w:pPr>
              <w:jc w:val="right"/>
              <w:rPr>
                <w:sz w:val="20"/>
              </w:rPr>
            </w:pPr>
            <w:r w:rsidRPr="00165A84">
              <w:rPr>
                <w:sz w:val="20"/>
              </w:rPr>
              <w:t>2.25%</w:t>
            </w:r>
          </w:p>
        </w:tc>
        <w:tc>
          <w:tcPr>
            <w:tcW w:w="980" w:type="dxa"/>
            <w:tcBorders>
              <w:top w:val="nil"/>
              <w:left w:val="nil"/>
              <w:bottom w:val="nil"/>
              <w:right w:val="single" w:sz="4" w:space="0" w:color="auto"/>
            </w:tcBorders>
            <w:shd w:val="clear" w:color="auto" w:fill="auto"/>
            <w:noWrap/>
            <w:vAlign w:val="bottom"/>
            <w:hideMark/>
          </w:tcPr>
          <w:p w14:paraId="234DDE85" w14:textId="77777777" w:rsidR="00165A84" w:rsidRPr="00165A84" w:rsidRDefault="00165A84" w:rsidP="00165A84">
            <w:pPr>
              <w:jc w:val="right"/>
              <w:rPr>
                <w:sz w:val="20"/>
              </w:rPr>
            </w:pPr>
            <w:r w:rsidRPr="00165A84">
              <w:rPr>
                <w:sz w:val="20"/>
              </w:rPr>
              <w:t>2.25%</w:t>
            </w:r>
          </w:p>
        </w:tc>
        <w:tc>
          <w:tcPr>
            <w:tcW w:w="980" w:type="dxa"/>
            <w:tcBorders>
              <w:top w:val="nil"/>
              <w:left w:val="nil"/>
              <w:bottom w:val="nil"/>
              <w:right w:val="single" w:sz="4" w:space="0" w:color="auto"/>
            </w:tcBorders>
            <w:shd w:val="clear" w:color="auto" w:fill="auto"/>
            <w:noWrap/>
            <w:vAlign w:val="bottom"/>
            <w:hideMark/>
          </w:tcPr>
          <w:p w14:paraId="7D5E549A" w14:textId="77777777" w:rsidR="00165A84" w:rsidRPr="00165A84" w:rsidRDefault="00165A84" w:rsidP="00165A84">
            <w:pPr>
              <w:jc w:val="right"/>
              <w:rPr>
                <w:sz w:val="20"/>
              </w:rPr>
            </w:pPr>
            <w:r w:rsidRPr="00165A84">
              <w:rPr>
                <w:sz w:val="20"/>
              </w:rPr>
              <w:t>1.45%</w:t>
            </w:r>
          </w:p>
        </w:tc>
      </w:tr>
      <w:tr w:rsidR="00165A84" w:rsidRPr="00165A84" w14:paraId="4BA5C7F2"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05985A4"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568AD1C" w14:textId="688C7DFC" w:rsidR="00165A84" w:rsidRPr="00165A84" w:rsidRDefault="00165A84" w:rsidP="00165A84">
            <w:pPr>
              <w:rPr>
                <w:sz w:val="20"/>
              </w:rPr>
            </w:pPr>
            <w:r w:rsidRPr="00165A84">
              <w:rPr>
                <w:sz w:val="20"/>
              </w:rPr>
              <w:t>52,959</w:t>
            </w:r>
          </w:p>
        </w:tc>
        <w:tc>
          <w:tcPr>
            <w:tcW w:w="980" w:type="dxa"/>
            <w:tcBorders>
              <w:top w:val="nil"/>
              <w:left w:val="nil"/>
              <w:bottom w:val="single" w:sz="4" w:space="0" w:color="auto"/>
              <w:right w:val="single" w:sz="4" w:space="0" w:color="auto"/>
            </w:tcBorders>
            <w:shd w:val="clear" w:color="auto" w:fill="auto"/>
            <w:noWrap/>
            <w:vAlign w:val="bottom"/>
            <w:hideMark/>
          </w:tcPr>
          <w:p w14:paraId="2BC5DE6B" w14:textId="0B6EC7FB" w:rsidR="00165A84" w:rsidRPr="00165A84" w:rsidRDefault="00165A84" w:rsidP="00165A84">
            <w:pPr>
              <w:rPr>
                <w:sz w:val="20"/>
              </w:rPr>
            </w:pPr>
            <w:r w:rsidRPr="00165A84">
              <w:rPr>
                <w:sz w:val="20"/>
              </w:rPr>
              <w:t>13,184</w:t>
            </w:r>
          </w:p>
        </w:tc>
        <w:tc>
          <w:tcPr>
            <w:tcW w:w="980" w:type="dxa"/>
            <w:tcBorders>
              <w:top w:val="nil"/>
              <w:left w:val="nil"/>
              <w:bottom w:val="single" w:sz="4" w:space="0" w:color="auto"/>
              <w:right w:val="single" w:sz="4" w:space="0" w:color="auto"/>
            </w:tcBorders>
            <w:shd w:val="clear" w:color="auto" w:fill="auto"/>
            <w:noWrap/>
            <w:vAlign w:val="bottom"/>
            <w:hideMark/>
          </w:tcPr>
          <w:p w14:paraId="60F28124" w14:textId="7F9BF81D" w:rsidR="00165A84" w:rsidRPr="00165A84" w:rsidRDefault="00165A84" w:rsidP="00165A84">
            <w:pPr>
              <w:rPr>
                <w:sz w:val="20"/>
              </w:rPr>
            </w:pPr>
            <w:r w:rsidRPr="00165A84">
              <w:rPr>
                <w:sz w:val="20"/>
              </w:rPr>
              <w:t>8,211</w:t>
            </w:r>
          </w:p>
        </w:tc>
        <w:tc>
          <w:tcPr>
            <w:tcW w:w="980" w:type="dxa"/>
            <w:tcBorders>
              <w:top w:val="nil"/>
              <w:left w:val="nil"/>
              <w:bottom w:val="single" w:sz="4" w:space="0" w:color="auto"/>
              <w:right w:val="single" w:sz="4" w:space="0" w:color="auto"/>
            </w:tcBorders>
            <w:shd w:val="clear" w:color="auto" w:fill="auto"/>
            <w:noWrap/>
            <w:vAlign w:val="bottom"/>
            <w:hideMark/>
          </w:tcPr>
          <w:p w14:paraId="52512CDA" w14:textId="0F42D049" w:rsidR="00165A84" w:rsidRPr="00165A84" w:rsidRDefault="00165A84" w:rsidP="00165A84">
            <w:pPr>
              <w:rPr>
                <w:sz w:val="20"/>
              </w:rPr>
            </w:pPr>
            <w:r w:rsidRPr="00165A84">
              <w:rPr>
                <w:sz w:val="20"/>
              </w:rPr>
              <w:t>7,041</w:t>
            </w:r>
          </w:p>
        </w:tc>
        <w:tc>
          <w:tcPr>
            <w:tcW w:w="980" w:type="dxa"/>
            <w:tcBorders>
              <w:top w:val="nil"/>
              <w:left w:val="nil"/>
              <w:bottom w:val="single" w:sz="4" w:space="0" w:color="auto"/>
              <w:right w:val="single" w:sz="4" w:space="0" w:color="auto"/>
            </w:tcBorders>
            <w:shd w:val="clear" w:color="auto" w:fill="auto"/>
            <w:noWrap/>
            <w:vAlign w:val="bottom"/>
            <w:hideMark/>
          </w:tcPr>
          <w:p w14:paraId="0F327AD2" w14:textId="768F3637" w:rsidR="00165A84" w:rsidRPr="00165A84" w:rsidRDefault="00165A84" w:rsidP="00165A84">
            <w:pPr>
              <w:rPr>
                <w:sz w:val="20"/>
              </w:rPr>
            </w:pPr>
            <w:r w:rsidRPr="00165A84">
              <w:rPr>
                <w:sz w:val="20"/>
              </w:rPr>
              <w:t>388</w:t>
            </w:r>
          </w:p>
        </w:tc>
        <w:tc>
          <w:tcPr>
            <w:tcW w:w="980" w:type="dxa"/>
            <w:tcBorders>
              <w:top w:val="nil"/>
              <w:left w:val="nil"/>
              <w:bottom w:val="single" w:sz="4" w:space="0" w:color="auto"/>
              <w:right w:val="single" w:sz="4" w:space="0" w:color="auto"/>
            </w:tcBorders>
            <w:shd w:val="clear" w:color="auto" w:fill="auto"/>
            <w:noWrap/>
            <w:vAlign w:val="bottom"/>
            <w:hideMark/>
          </w:tcPr>
          <w:p w14:paraId="1E9E72AE" w14:textId="1F3021BB" w:rsidR="00165A84" w:rsidRPr="00165A84" w:rsidRDefault="00165A84" w:rsidP="00165A84">
            <w:pPr>
              <w:rPr>
                <w:sz w:val="20"/>
              </w:rPr>
            </w:pPr>
            <w:r w:rsidRPr="00165A84">
              <w:rPr>
                <w:sz w:val="20"/>
              </w:rPr>
              <w:t>782</w:t>
            </w:r>
          </w:p>
        </w:tc>
        <w:tc>
          <w:tcPr>
            <w:tcW w:w="980" w:type="dxa"/>
            <w:tcBorders>
              <w:top w:val="nil"/>
              <w:left w:val="nil"/>
              <w:bottom w:val="single" w:sz="4" w:space="0" w:color="auto"/>
              <w:right w:val="single" w:sz="4" w:space="0" w:color="auto"/>
            </w:tcBorders>
            <w:shd w:val="clear" w:color="auto" w:fill="auto"/>
            <w:noWrap/>
            <w:vAlign w:val="bottom"/>
            <w:hideMark/>
          </w:tcPr>
          <w:p w14:paraId="3FA22D04" w14:textId="4D6C1307" w:rsidR="00165A84" w:rsidRPr="00165A84" w:rsidRDefault="00165A84" w:rsidP="00165A84">
            <w:pPr>
              <w:rPr>
                <w:sz w:val="20"/>
              </w:rPr>
            </w:pPr>
            <w:r w:rsidRPr="00165A84">
              <w:rPr>
                <w:sz w:val="20"/>
              </w:rPr>
              <w:t>4,880</w:t>
            </w:r>
          </w:p>
        </w:tc>
      </w:tr>
      <w:tr w:rsidR="00165A84" w:rsidRPr="00165A84" w14:paraId="09D6551B" w14:textId="77777777" w:rsidTr="00BF315B">
        <w:trPr>
          <w:trHeight w:val="1385"/>
        </w:trPr>
        <w:tc>
          <w:tcPr>
            <w:tcW w:w="8980" w:type="dxa"/>
            <w:gridSpan w:val="8"/>
            <w:tcBorders>
              <w:top w:val="single" w:sz="4" w:space="0" w:color="auto"/>
              <w:left w:val="nil"/>
              <w:bottom w:val="nil"/>
              <w:right w:val="nil"/>
            </w:tcBorders>
            <w:shd w:val="clear" w:color="auto" w:fill="auto"/>
            <w:vAlign w:val="bottom"/>
            <w:hideMark/>
          </w:tcPr>
          <w:p w14:paraId="305409B0" w14:textId="77777777" w:rsidR="00BF315B" w:rsidRDefault="00165A84" w:rsidP="00BF315B">
            <w:pPr>
              <w:rPr>
                <w:sz w:val="18"/>
                <w:szCs w:val="18"/>
              </w:rPr>
            </w:pPr>
            <w:r w:rsidRPr="00165A84">
              <w:rPr>
                <w:b/>
                <w:bCs/>
                <w:sz w:val="18"/>
                <w:szCs w:val="18"/>
              </w:rPr>
              <w:t xml:space="preserve">Notes: * </w:t>
            </w:r>
            <w:r w:rsidRPr="00165A84">
              <w:rPr>
                <w:sz w:val="18"/>
                <w:szCs w:val="18"/>
              </w:rPr>
              <w:t>Prevalence rates are estimated by the National Survey of Drug Use and Health, 2016-2018. Parish population sizes are estimated by U.S. Census for July 1, 2019.</w:t>
            </w:r>
            <w:r w:rsidRPr="00165A84">
              <w:rPr>
                <w:sz w:val="18"/>
                <w:szCs w:val="18"/>
              </w:rPr>
              <w:br/>
            </w:r>
            <w:r w:rsidRPr="00064C3F">
              <w:rPr>
                <w:sz w:val="18"/>
                <w:szCs w:val="18"/>
              </w:rPr>
              <w:t>*** NSDUH did not estimate the prevalence rate for Greater New Orleans; therefore, the number of prevalent individuals cannot be estimated for the planning sub-areas either.</w:t>
            </w:r>
          </w:p>
          <w:p w14:paraId="31F4726C" w14:textId="1465366E" w:rsidR="00165A84" w:rsidRPr="00165A8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202564E7" w14:textId="559CBA5F" w:rsidR="00165A84" w:rsidRDefault="00165A84" w:rsidP="001549F4"/>
    <w:p w14:paraId="78A6C126" w14:textId="304CCB90" w:rsidR="00165A84" w:rsidRDefault="00165A84">
      <w:r>
        <w:br w:type="page"/>
      </w:r>
    </w:p>
    <w:p w14:paraId="0D2A176D" w14:textId="5B7B7A91" w:rsidR="00165A84" w:rsidRDefault="00165A84" w:rsidP="00130E39">
      <w:pPr>
        <w:pStyle w:val="ListParagraph"/>
        <w:numPr>
          <w:ilvl w:val="0"/>
          <w:numId w:val="7"/>
        </w:numPr>
      </w:pPr>
      <w:bookmarkStart w:id="10" w:name="_Hlk58488492"/>
      <w:r w:rsidRPr="00165A84">
        <w:lastRenderedPageBreak/>
        <w:t xml:space="preserve">Methamphetamine Use in the </w:t>
      </w:r>
      <w:r w:rsidRPr="00130E39">
        <w:rPr>
          <w:i/>
          <w:iCs/>
        </w:rPr>
        <w:t>Past Year</w:t>
      </w:r>
    </w:p>
    <w:bookmarkEnd w:id="10"/>
    <w:p w14:paraId="569CD734" w14:textId="59F8BA8F" w:rsidR="00165A84" w:rsidRDefault="00165A8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165A84" w:rsidRPr="00165A84" w14:paraId="02C6BEEF" w14:textId="77777777" w:rsidTr="00165A8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56BF44FF" w14:textId="77777777" w:rsidR="00165A84" w:rsidRPr="00165A84" w:rsidRDefault="00165A84" w:rsidP="00165A84">
            <w:pPr>
              <w:jc w:val="center"/>
              <w:rPr>
                <w:b/>
                <w:bCs/>
                <w:sz w:val="20"/>
              </w:rPr>
            </w:pPr>
            <w:bookmarkStart w:id="11" w:name="_Hlk58486588"/>
            <w:r w:rsidRPr="00165A84">
              <w:rPr>
                <w:b/>
                <w:bCs/>
                <w:sz w:val="20"/>
              </w:rPr>
              <w:t xml:space="preserve">Methamphetamine Use in the </w:t>
            </w:r>
            <w:r w:rsidRPr="00165A84">
              <w:rPr>
                <w:b/>
                <w:bCs/>
                <w:i/>
                <w:iCs/>
                <w:sz w:val="20"/>
                <w:u w:val="single"/>
              </w:rPr>
              <w:t>Past Year</w:t>
            </w:r>
            <w:r w:rsidRPr="00165A84">
              <w:rPr>
                <w:b/>
                <w:bCs/>
                <w:sz w:val="20"/>
              </w:rPr>
              <w:t xml:space="preserve"> by </w:t>
            </w:r>
            <w:bookmarkEnd w:id="11"/>
            <w:r w:rsidRPr="00165A84">
              <w:rPr>
                <w:b/>
                <w:bCs/>
                <w:sz w:val="20"/>
              </w:rPr>
              <w:t>Age Group Among Residents of</w:t>
            </w:r>
            <w:r w:rsidRPr="00165A84">
              <w:rPr>
                <w:b/>
                <w:bCs/>
                <w:sz w:val="20"/>
              </w:rPr>
              <w:br/>
              <w:t>Greater New Orleans Parishes and Statewide, 2019*</w:t>
            </w:r>
          </w:p>
        </w:tc>
      </w:tr>
      <w:tr w:rsidR="00165A84" w:rsidRPr="00165A84" w14:paraId="40EC087C" w14:textId="77777777" w:rsidTr="00165A8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D979791" w14:textId="77777777" w:rsidR="00165A84" w:rsidRPr="00165A84" w:rsidRDefault="00165A84" w:rsidP="00165A84">
            <w:pPr>
              <w:jc w:val="center"/>
              <w:rPr>
                <w:sz w:val="20"/>
              </w:rPr>
            </w:pPr>
            <w:r w:rsidRPr="00165A8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5B9E46C1" w14:textId="085581FD" w:rsidR="00165A84" w:rsidRPr="00165A84" w:rsidRDefault="00165A84" w:rsidP="00165A84">
            <w:pPr>
              <w:jc w:val="center"/>
              <w:rPr>
                <w:sz w:val="20"/>
              </w:rPr>
            </w:pPr>
            <w:r w:rsidRPr="00165A8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620D49FB" w14:textId="77777777" w:rsidR="00165A84" w:rsidRPr="00165A84" w:rsidRDefault="00165A84" w:rsidP="00165A84">
            <w:pPr>
              <w:jc w:val="center"/>
              <w:rPr>
                <w:sz w:val="20"/>
              </w:rPr>
            </w:pPr>
            <w:r w:rsidRPr="00165A8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32DC034B" w14:textId="77777777" w:rsidR="00165A84" w:rsidRPr="00165A84" w:rsidRDefault="00165A84" w:rsidP="00165A84">
            <w:pPr>
              <w:jc w:val="center"/>
              <w:rPr>
                <w:sz w:val="20"/>
              </w:rPr>
            </w:pPr>
            <w:r w:rsidRPr="00165A84">
              <w:rPr>
                <w:sz w:val="20"/>
              </w:rPr>
              <w:t>Metro-</w:t>
            </w:r>
            <w:proofErr w:type="spellStart"/>
            <w:r w:rsidRPr="00165A84">
              <w:rPr>
                <w:sz w:val="20"/>
              </w:rPr>
              <w:t>politan</w:t>
            </w:r>
            <w:proofErr w:type="spellEnd"/>
            <w:r w:rsidRPr="00165A8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3D77174F" w14:textId="77777777" w:rsidR="00165A84" w:rsidRPr="00165A84" w:rsidRDefault="00165A84" w:rsidP="00165A84">
            <w:pPr>
              <w:jc w:val="center"/>
              <w:rPr>
                <w:sz w:val="20"/>
              </w:rPr>
            </w:pPr>
            <w:r w:rsidRPr="00165A8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1CC5FAFB" w14:textId="77777777" w:rsidR="00165A84" w:rsidRPr="00165A84" w:rsidRDefault="00165A84" w:rsidP="00165A84">
            <w:pPr>
              <w:jc w:val="center"/>
              <w:rPr>
                <w:sz w:val="20"/>
              </w:rPr>
            </w:pPr>
            <w:r w:rsidRPr="00165A8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723A3B62" w14:textId="77777777" w:rsidR="00165A84" w:rsidRPr="00165A84" w:rsidRDefault="00165A84" w:rsidP="00165A84">
            <w:pPr>
              <w:jc w:val="center"/>
              <w:rPr>
                <w:sz w:val="20"/>
              </w:rPr>
            </w:pPr>
            <w:r w:rsidRPr="00165A8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3F051464" w14:textId="77777777" w:rsidR="00165A84" w:rsidRPr="00165A84" w:rsidRDefault="00165A84" w:rsidP="00165A84">
            <w:pPr>
              <w:jc w:val="center"/>
              <w:rPr>
                <w:sz w:val="20"/>
              </w:rPr>
            </w:pPr>
            <w:r w:rsidRPr="00165A84">
              <w:rPr>
                <w:sz w:val="20"/>
              </w:rPr>
              <w:t>Jefferson Parish HSA</w:t>
            </w:r>
          </w:p>
        </w:tc>
      </w:tr>
      <w:tr w:rsidR="00165A84" w:rsidRPr="00165A84" w14:paraId="55692379"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A0E53D1" w14:textId="77777777" w:rsidR="00165A84" w:rsidRPr="00165A84" w:rsidRDefault="00165A84" w:rsidP="00165A84">
            <w:pPr>
              <w:rPr>
                <w:sz w:val="20"/>
              </w:rPr>
            </w:pPr>
            <w:r w:rsidRPr="00165A8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52B23970" w14:textId="25D9768D"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1A526697" w14:textId="22A5B818"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6366DB8" w14:textId="4A944563"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511C14E4" w14:textId="3536CA8C"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D5A61FE" w14:textId="12051FB3"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F6E2E15" w14:textId="699DCA66"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50EAA92E" w14:textId="656AA9FB" w:rsidR="00165A84" w:rsidRPr="00165A84" w:rsidRDefault="00165A84" w:rsidP="00165A84">
            <w:pPr>
              <w:rPr>
                <w:sz w:val="20"/>
              </w:rPr>
            </w:pPr>
          </w:p>
        </w:tc>
      </w:tr>
      <w:tr w:rsidR="00165A84" w:rsidRPr="00165A84" w14:paraId="41839C0C"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D82CA06"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D8D25B0" w14:textId="77777777" w:rsidR="00165A84" w:rsidRPr="00165A84" w:rsidRDefault="00165A84" w:rsidP="00165A84">
            <w:pPr>
              <w:jc w:val="right"/>
              <w:rPr>
                <w:sz w:val="20"/>
              </w:rPr>
            </w:pPr>
            <w:r w:rsidRPr="00165A84">
              <w:rPr>
                <w:sz w:val="20"/>
              </w:rPr>
              <w:t>360,774</w:t>
            </w:r>
          </w:p>
        </w:tc>
        <w:tc>
          <w:tcPr>
            <w:tcW w:w="980" w:type="dxa"/>
            <w:tcBorders>
              <w:top w:val="nil"/>
              <w:left w:val="nil"/>
              <w:bottom w:val="nil"/>
              <w:right w:val="nil"/>
            </w:tcBorders>
            <w:shd w:val="clear" w:color="auto" w:fill="auto"/>
            <w:noWrap/>
            <w:vAlign w:val="bottom"/>
            <w:hideMark/>
          </w:tcPr>
          <w:p w14:paraId="0AEBC528" w14:textId="77777777" w:rsidR="00165A84" w:rsidRPr="00165A84" w:rsidRDefault="00165A84" w:rsidP="00165A84">
            <w:pPr>
              <w:jc w:val="right"/>
              <w:rPr>
                <w:sz w:val="20"/>
              </w:rPr>
            </w:pPr>
            <w:r w:rsidRPr="00165A8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11F73872" w14:textId="77777777" w:rsidR="00165A84" w:rsidRPr="00165A84" w:rsidRDefault="00165A84" w:rsidP="00165A84">
            <w:pPr>
              <w:jc w:val="right"/>
              <w:rPr>
                <w:sz w:val="20"/>
              </w:rPr>
            </w:pPr>
            <w:r w:rsidRPr="00165A84">
              <w:rPr>
                <w:sz w:val="20"/>
              </w:rPr>
              <w:t>30,822</w:t>
            </w:r>
          </w:p>
        </w:tc>
        <w:tc>
          <w:tcPr>
            <w:tcW w:w="980" w:type="dxa"/>
            <w:tcBorders>
              <w:top w:val="nil"/>
              <w:left w:val="nil"/>
              <w:bottom w:val="nil"/>
              <w:right w:val="nil"/>
            </w:tcBorders>
            <w:shd w:val="clear" w:color="auto" w:fill="auto"/>
            <w:noWrap/>
            <w:vAlign w:val="bottom"/>
            <w:hideMark/>
          </w:tcPr>
          <w:p w14:paraId="543D27A2" w14:textId="77777777" w:rsidR="00165A84" w:rsidRPr="00165A84" w:rsidRDefault="00165A84" w:rsidP="00165A84">
            <w:pPr>
              <w:jc w:val="right"/>
              <w:rPr>
                <w:sz w:val="20"/>
              </w:rPr>
            </w:pPr>
            <w:r w:rsidRPr="00165A8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492650DC" w14:textId="77777777" w:rsidR="00165A84" w:rsidRPr="00165A84" w:rsidRDefault="00165A84" w:rsidP="00165A84">
            <w:pPr>
              <w:jc w:val="right"/>
              <w:rPr>
                <w:sz w:val="20"/>
              </w:rPr>
            </w:pPr>
            <w:r w:rsidRPr="00165A84">
              <w:rPr>
                <w:sz w:val="20"/>
              </w:rPr>
              <w:t>2,081</w:t>
            </w:r>
          </w:p>
        </w:tc>
        <w:tc>
          <w:tcPr>
            <w:tcW w:w="980" w:type="dxa"/>
            <w:tcBorders>
              <w:top w:val="nil"/>
              <w:left w:val="nil"/>
              <w:bottom w:val="nil"/>
              <w:right w:val="single" w:sz="4" w:space="0" w:color="auto"/>
            </w:tcBorders>
            <w:shd w:val="clear" w:color="auto" w:fill="auto"/>
            <w:noWrap/>
            <w:vAlign w:val="bottom"/>
            <w:hideMark/>
          </w:tcPr>
          <w:p w14:paraId="5DF8EE0C" w14:textId="77777777" w:rsidR="00165A84" w:rsidRPr="00165A84" w:rsidRDefault="00165A84" w:rsidP="00165A84">
            <w:pPr>
              <w:jc w:val="right"/>
              <w:rPr>
                <w:sz w:val="20"/>
              </w:rPr>
            </w:pPr>
            <w:r w:rsidRPr="00165A84">
              <w:rPr>
                <w:sz w:val="20"/>
              </w:rPr>
              <w:t>4,044</w:t>
            </w:r>
          </w:p>
        </w:tc>
        <w:tc>
          <w:tcPr>
            <w:tcW w:w="980" w:type="dxa"/>
            <w:tcBorders>
              <w:top w:val="nil"/>
              <w:left w:val="nil"/>
              <w:bottom w:val="nil"/>
              <w:right w:val="single" w:sz="4" w:space="0" w:color="auto"/>
            </w:tcBorders>
            <w:shd w:val="clear" w:color="auto" w:fill="auto"/>
            <w:noWrap/>
            <w:vAlign w:val="bottom"/>
            <w:hideMark/>
          </w:tcPr>
          <w:p w14:paraId="31D1324E" w14:textId="77777777" w:rsidR="00165A84" w:rsidRPr="00165A84" w:rsidRDefault="00165A84" w:rsidP="00165A84">
            <w:pPr>
              <w:jc w:val="right"/>
              <w:rPr>
                <w:sz w:val="20"/>
              </w:rPr>
            </w:pPr>
            <w:r w:rsidRPr="00165A84">
              <w:rPr>
                <w:sz w:val="20"/>
              </w:rPr>
              <w:t>30,385</w:t>
            </w:r>
          </w:p>
        </w:tc>
      </w:tr>
      <w:tr w:rsidR="00165A84" w:rsidRPr="00165A84" w14:paraId="0D83183E"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1065DA9" w14:textId="07DA41ED" w:rsidR="00165A84" w:rsidRPr="00165A84" w:rsidRDefault="00165A84" w:rsidP="00165A84">
            <w:pPr>
              <w:rPr>
                <w:sz w:val="20"/>
              </w:rPr>
            </w:pPr>
            <w:r w:rsidRPr="00165A8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1C440C6A" w14:textId="77777777" w:rsidR="00165A84" w:rsidRPr="00165A84" w:rsidRDefault="00165A84" w:rsidP="00165A84">
            <w:pPr>
              <w:jc w:val="right"/>
              <w:rPr>
                <w:sz w:val="20"/>
              </w:rPr>
            </w:pPr>
            <w:r w:rsidRPr="00165A84">
              <w:rPr>
                <w:sz w:val="20"/>
              </w:rPr>
              <w:t>0.17%</w:t>
            </w:r>
          </w:p>
        </w:tc>
        <w:tc>
          <w:tcPr>
            <w:tcW w:w="980" w:type="dxa"/>
            <w:tcBorders>
              <w:top w:val="nil"/>
              <w:left w:val="nil"/>
              <w:bottom w:val="nil"/>
              <w:right w:val="single" w:sz="4" w:space="0" w:color="auto"/>
            </w:tcBorders>
            <w:shd w:val="clear" w:color="000000" w:fill="FFD85B"/>
            <w:noWrap/>
            <w:vAlign w:val="bottom"/>
            <w:hideMark/>
          </w:tcPr>
          <w:p w14:paraId="799D0743"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182C7D7E"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7DD710D4"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3EAD8ED9"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34E0229"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02B5A4E2" w14:textId="77777777" w:rsidR="00165A84" w:rsidRPr="00165A84" w:rsidRDefault="00165A84" w:rsidP="00165A84">
            <w:pPr>
              <w:jc w:val="center"/>
              <w:rPr>
                <w:sz w:val="20"/>
              </w:rPr>
            </w:pPr>
            <w:r w:rsidRPr="00165A84">
              <w:rPr>
                <w:sz w:val="20"/>
              </w:rPr>
              <w:t>***</w:t>
            </w:r>
          </w:p>
        </w:tc>
      </w:tr>
      <w:tr w:rsidR="00165A84" w:rsidRPr="00165A84" w14:paraId="74419138"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945C775"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501C88C" w14:textId="2FC846B0" w:rsidR="00165A84" w:rsidRPr="00165A84" w:rsidRDefault="00165A84" w:rsidP="00165A84">
            <w:pPr>
              <w:rPr>
                <w:sz w:val="20"/>
              </w:rPr>
            </w:pPr>
            <w:r w:rsidRPr="00165A84">
              <w:rPr>
                <w:sz w:val="20"/>
              </w:rPr>
              <w:t>618</w:t>
            </w:r>
          </w:p>
        </w:tc>
        <w:tc>
          <w:tcPr>
            <w:tcW w:w="980" w:type="dxa"/>
            <w:tcBorders>
              <w:top w:val="nil"/>
              <w:left w:val="nil"/>
              <w:bottom w:val="nil"/>
              <w:right w:val="single" w:sz="4" w:space="0" w:color="auto"/>
            </w:tcBorders>
            <w:shd w:val="clear" w:color="000000" w:fill="FFD85B"/>
            <w:noWrap/>
            <w:vAlign w:val="bottom"/>
            <w:hideMark/>
          </w:tcPr>
          <w:p w14:paraId="30774BD9"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BA58504"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47ECEBB4"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71B3EF7"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1B4B7D1F"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3A0BDD9D" w14:textId="77777777" w:rsidR="00165A84" w:rsidRPr="00165A84" w:rsidRDefault="00165A84" w:rsidP="00165A84">
            <w:pPr>
              <w:jc w:val="center"/>
              <w:rPr>
                <w:sz w:val="20"/>
              </w:rPr>
            </w:pPr>
            <w:r w:rsidRPr="00165A84">
              <w:rPr>
                <w:sz w:val="20"/>
              </w:rPr>
              <w:t>***</w:t>
            </w:r>
          </w:p>
        </w:tc>
      </w:tr>
      <w:tr w:rsidR="00165A84" w:rsidRPr="00165A84" w14:paraId="39412B91"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126D1299" w14:textId="77777777" w:rsidR="00165A84" w:rsidRPr="00165A84" w:rsidRDefault="00165A84" w:rsidP="00165A84">
            <w:pPr>
              <w:rPr>
                <w:sz w:val="20"/>
              </w:rPr>
            </w:pPr>
            <w:r w:rsidRPr="00165A8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7D6F37CB" w14:textId="314C9AF7"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EBC5A23"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ADAC011" w14:textId="62E1C514"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05070D5E"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A9883AC" w14:textId="0A5277D2"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80043FC" w14:textId="18CB67D1"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D3D06F8" w14:textId="4E5A7D10" w:rsidR="00165A84" w:rsidRPr="00165A84" w:rsidRDefault="00165A84" w:rsidP="00165A84">
            <w:pPr>
              <w:rPr>
                <w:sz w:val="20"/>
              </w:rPr>
            </w:pPr>
          </w:p>
        </w:tc>
      </w:tr>
      <w:tr w:rsidR="00165A84" w:rsidRPr="00165A84" w14:paraId="4023BA1E"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14311A7E"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AD20BD2" w14:textId="77777777" w:rsidR="00165A84" w:rsidRPr="00165A84" w:rsidRDefault="00165A84" w:rsidP="00165A84">
            <w:pPr>
              <w:jc w:val="right"/>
              <w:rPr>
                <w:sz w:val="20"/>
              </w:rPr>
            </w:pPr>
            <w:r w:rsidRPr="00165A84">
              <w:rPr>
                <w:sz w:val="20"/>
              </w:rPr>
              <w:t>483,697</w:t>
            </w:r>
          </w:p>
        </w:tc>
        <w:tc>
          <w:tcPr>
            <w:tcW w:w="980" w:type="dxa"/>
            <w:tcBorders>
              <w:top w:val="nil"/>
              <w:left w:val="nil"/>
              <w:bottom w:val="nil"/>
              <w:right w:val="nil"/>
            </w:tcBorders>
            <w:shd w:val="clear" w:color="auto" w:fill="auto"/>
            <w:noWrap/>
            <w:vAlign w:val="bottom"/>
            <w:hideMark/>
          </w:tcPr>
          <w:p w14:paraId="271C4C09" w14:textId="77777777" w:rsidR="00165A84" w:rsidRPr="00165A84" w:rsidRDefault="00165A84" w:rsidP="00165A84">
            <w:pPr>
              <w:jc w:val="right"/>
              <w:rPr>
                <w:sz w:val="20"/>
              </w:rPr>
            </w:pPr>
            <w:r w:rsidRPr="00165A8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039DB975" w14:textId="77777777" w:rsidR="00165A84" w:rsidRPr="00165A84" w:rsidRDefault="00165A84" w:rsidP="00165A84">
            <w:pPr>
              <w:jc w:val="right"/>
              <w:rPr>
                <w:sz w:val="20"/>
              </w:rPr>
            </w:pPr>
            <w:r w:rsidRPr="00165A84">
              <w:rPr>
                <w:sz w:val="20"/>
              </w:rPr>
              <w:t>44,790</w:t>
            </w:r>
          </w:p>
        </w:tc>
        <w:tc>
          <w:tcPr>
            <w:tcW w:w="980" w:type="dxa"/>
            <w:tcBorders>
              <w:top w:val="nil"/>
              <w:left w:val="nil"/>
              <w:bottom w:val="nil"/>
              <w:right w:val="nil"/>
            </w:tcBorders>
            <w:shd w:val="clear" w:color="auto" w:fill="auto"/>
            <w:noWrap/>
            <w:vAlign w:val="bottom"/>
            <w:hideMark/>
          </w:tcPr>
          <w:p w14:paraId="54E07C38" w14:textId="77777777" w:rsidR="00165A84" w:rsidRPr="00165A84" w:rsidRDefault="00165A84" w:rsidP="00165A84">
            <w:pPr>
              <w:jc w:val="right"/>
              <w:rPr>
                <w:sz w:val="20"/>
              </w:rPr>
            </w:pPr>
            <w:r w:rsidRPr="00165A8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430A4B75" w14:textId="77777777" w:rsidR="00165A84" w:rsidRPr="00165A84" w:rsidRDefault="00165A84" w:rsidP="00165A84">
            <w:pPr>
              <w:jc w:val="right"/>
              <w:rPr>
                <w:sz w:val="20"/>
              </w:rPr>
            </w:pPr>
            <w:r w:rsidRPr="00165A84">
              <w:rPr>
                <w:sz w:val="20"/>
              </w:rPr>
              <w:t>2,265</w:t>
            </w:r>
          </w:p>
        </w:tc>
        <w:tc>
          <w:tcPr>
            <w:tcW w:w="980" w:type="dxa"/>
            <w:tcBorders>
              <w:top w:val="nil"/>
              <w:left w:val="nil"/>
              <w:bottom w:val="nil"/>
              <w:right w:val="single" w:sz="4" w:space="0" w:color="auto"/>
            </w:tcBorders>
            <w:shd w:val="clear" w:color="auto" w:fill="auto"/>
            <w:noWrap/>
            <w:vAlign w:val="bottom"/>
            <w:hideMark/>
          </w:tcPr>
          <w:p w14:paraId="7CFD9C8B" w14:textId="77777777" w:rsidR="00165A84" w:rsidRPr="00165A84" w:rsidRDefault="00165A84" w:rsidP="00165A84">
            <w:pPr>
              <w:jc w:val="right"/>
              <w:rPr>
                <w:sz w:val="20"/>
              </w:rPr>
            </w:pPr>
            <w:r w:rsidRPr="00165A84">
              <w:rPr>
                <w:sz w:val="20"/>
              </w:rPr>
              <w:t>4,133</w:t>
            </w:r>
          </w:p>
        </w:tc>
        <w:tc>
          <w:tcPr>
            <w:tcW w:w="980" w:type="dxa"/>
            <w:tcBorders>
              <w:top w:val="nil"/>
              <w:left w:val="nil"/>
              <w:bottom w:val="nil"/>
              <w:right w:val="single" w:sz="4" w:space="0" w:color="auto"/>
            </w:tcBorders>
            <w:shd w:val="clear" w:color="auto" w:fill="auto"/>
            <w:noWrap/>
            <w:vAlign w:val="bottom"/>
            <w:hideMark/>
          </w:tcPr>
          <w:p w14:paraId="286B86EB" w14:textId="77777777" w:rsidR="00165A84" w:rsidRPr="00165A84" w:rsidRDefault="00165A84" w:rsidP="00165A84">
            <w:pPr>
              <w:jc w:val="right"/>
              <w:rPr>
                <w:sz w:val="20"/>
              </w:rPr>
            </w:pPr>
            <w:r w:rsidRPr="00165A84">
              <w:rPr>
                <w:sz w:val="20"/>
              </w:rPr>
              <w:t>37,617</w:t>
            </w:r>
          </w:p>
        </w:tc>
      </w:tr>
      <w:tr w:rsidR="00165A84" w:rsidRPr="00165A84" w14:paraId="4B6CB7FF"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5A7D516"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02A66BB6" w14:textId="77777777" w:rsidR="00165A84" w:rsidRPr="00165A84" w:rsidRDefault="00165A84" w:rsidP="00165A84">
            <w:pPr>
              <w:jc w:val="right"/>
              <w:rPr>
                <w:sz w:val="20"/>
              </w:rPr>
            </w:pPr>
            <w:r w:rsidRPr="00165A84">
              <w:rPr>
                <w:sz w:val="20"/>
              </w:rPr>
              <w:t>0.65%</w:t>
            </w:r>
          </w:p>
        </w:tc>
        <w:tc>
          <w:tcPr>
            <w:tcW w:w="980" w:type="dxa"/>
            <w:tcBorders>
              <w:top w:val="nil"/>
              <w:left w:val="nil"/>
              <w:bottom w:val="nil"/>
              <w:right w:val="single" w:sz="4" w:space="0" w:color="auto"/>
            </w:tcBorders>
            <w:shd w:val="clear" w:color="000000" w:fill="FFD85B"/>
            <w:noWrap/>
            <w:vAlign w:val="bottom"/>
            <w:hideMark/>
          </w:tcPr>
          <w:p w14:paraId="457ED9DE"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E78EEB2"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7069F35C"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BAA0250"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34279480"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D78B961" w14:textId="77777777" w:rsidR="00165A84" w:rsidRPr="00165A84" w:rsidRDefault="00165A84" w:rsidP="00165A84">
            <w:pPr>
              <w:jc w:val="center"/>
              <w:rPr>
                <w:sz w:val="20"/>
              </w:rPr>
            </w:pPr>
            <w:r w:rsidRPr="00165A84">
              <w:rPr>
                <w:sz w:val="20"/>
              </w:rPr>
              <w:t>***</w:t>
            </w:r>
          </w:p>
        </w:tc>
      </w:tr>
      <w:tr w:rsidR="00165A84" w:rsidRPr="00165A84" w14:paraId="4C6B9EC4"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24DB91EC"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679CDDF" w14:textId="2089772A" w:rsidR="00165A84" w:rsidRPr="00165A84" w:rsidRDefault="00165A84" w:rsidP="00165A84">
            <w:pPr>
              <w:rPr>
                <w:sz w:val="20"/>
              </w:rPr>
            </w:pPr>
            <w:r w:rsidRPr="00165A84">
              <w:rPr>
                <w:sz w:val="20"/>
              </w:rPr>
              <w:t>3,136</w:t>
            </w:r>
          </w:p>
        </w:tc>
        <w:tc>
          <w:tcPr>
            <w:tcW w:w="980" w:type="dxa"/>
            <w:tcBorders>
              <w:top w:val="nil"/>
              <w:left w:val="nil"/>
              <w:bottom w:val="nil"/>
              <w:right w:val="single" w:sz="4" w:space="0" w:color="auto"/>
            </w:tcBorders>
            <w:shd w:val="clear" w:color="000000" w:fill="FFD85B"/>
            <w:noWrap/>
            <w:vAlign w:val="bottom"/>
            <w:hideMark/>
          </w:tcPr>
          <w:p w14:paraId="59DBB442"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5C9F366B"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2F79D08"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505026E7"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DF15472"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1E415BCE" w14:textId="77777777" w:rsidR="00165A84" w:rsidRPr="00165A84" w:rsidRDefault="00165A84" w:rsidP="00165A84">
            <w:pPr>
              <w:jc w:val="center"/>
              <w:rPr>
                <w:sz w:val="20"/>
              </w:rPr>
            </w:pPr>
            <w:r w:rsidRPr="00165A84">
              <w:rPr>
                <w:sz w:val="20"/>
              </w:rPr>
              <w:t>***</w:t>
            </w:r>
          </w:p>
        </w:tc>
      </w:tr>
      <w:tr w:rsidR="00165A84" w:rsidRPr="00165A84" w14:paraId="4BF8DA77" w14:textId="77777777" w:rsidTr="00165A8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57B69021" w14:textId="5D682EF9" w:rsidR="00165A84" w:rsidRPr="00165A84" w:rsidRDefault="00165A84" w:rsidP="00165A84">
            <w:pPr>
              <w:rPr>
                <w:sz w:val="20"/>
              </w:rPr>
            </w:pPr>
            <w:r w:rsidRPr="00165A84">
              <w:rPr>
                <w:sz w:val="20"/>
              </w:rPr>
              <w:t xml:space="preserve">Older Adults </w:t>
            </w:r>
            <w:r w:rsidR="00240C80">
              <w:rPr>
                <w:sz w:val="20"/>
              </w:rPr>
              <w:t>26+</w:t>
            </w:r>
            <w:r w:rsidRPr="00165A8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11C43468" w14:textId="54AD547B" w:rsidR="00165A84" w:rsidRPr="00165A84" w:rsidRDefault="00165A84" w:rsidP="00165A84">
            <w:pPr>
              <w:rPr>
                <w:sz w:val="20"/>
              </w:rPr>
            </w:pPr>
          </w:p>
        </w:tc>
        <w:tc>
          <w:tcPr>
            <w:tcW w:w="980" w:type="dxa"/>
            <w:tcBorders>
              <w:top w:val="single" w:sz="4" w:space="0" w:color="auto"/>
              <w:left w:val="nil"/>
              <w:bottom w:val="nil"/>
              <w:right w:val="nil"/>
            </w:tcBorders>
            <w:shd w:val="clear" w:color="auto" w:fill="auto"/>
            <w:noWrap/>
            <w:vAlign w:val="bottom"/>
            <w:hideMark/>
          </w:tcPr>
          <w:p w14:paraId="2F1B3B45" w14:textId="188EE4CD" w:rsidR="00165A84" w:rsidRPr="00165A84" w:rsidRDefault="00165A84" w:rsidP="00165A84">
            <w:pPr>
              <w:rPr>
                <w:sz w:val="2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14:paraId="42BD9677" w14:textId="3CEC5873" w:rsidR="00165A84" w:rsidRPr="00165A84" w:rsidRDefault="00165A84" w:rsidP="00165A84">
            <w:pPr>
              <w:rPr>
                <w:sz w:val="20"/>
              </w:rPr>
            </w:pPr>
          </w:p>
        </w:tc>
        <w:tc>
          <w:tcPr>
            <w:tcW w:w="980" w:type="dxa"/>
            <w:tcBorders>
              <w:top w:val="single" w:sz="4" w:space="0" w:color="auto"/>
              <w:left w:val="nil"/>
              <w:bottom w:val="nil"/>
              <w:right w:val="nil"/>
            </w:tcBorders>
            <w:shd w:val="clear" w:color="auto" w:fill="auto"/>
            <w:noWrap/>
            <w:vAlign w:val="bottom"/>
            <w:hideMark/>
          </w:tcPr>
          <w:p w14:paraId="7E42293F" w14:textId="520A14A9" w:rsidR="00165A84" w:rsidRPr="00165A84" w:rsidRDefault="00165A84" w:rsidP="00165A84">
            <w:pPr>
              <w:rPr>
                <w:sz w:val="2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14:paraId="4B3543CE" w14:textId="67C76BE9" w:rsidR="00165A84" w:rsidRPr="00165A84" w:rsidRDefault="00165A84" w:rsidP="00165A84">
            <w:pPr>
              <w:rPr>
                <w:sz w:val="20"/>
              </w:rPr>
            </w:pPr>
          </w:p>
        </w:tc>
        <w:tc>
          <w:tcPr>
            <w:tcW w:w="980" w:type="dxa"/>
            <w:tcBorders>
              <w:top w:val="single" w:sz="4" w:space="0" w:color="auto"/>
              <w:left w:val="nil"/>
              <w:bottom w:val="nil"/>
              <w:right w:val="single" w:sz="4" w:space="0" w:color="auto"/>
            </w:tcBorders>
            <w:shd w:val="clear" w:color="auto" w:fill="auto"/>
            <w:noWrap/>
            <w:vAlign w:val="bottom"/>
            <w:hideMark/>
          </w:tcPr>
          <w:p w14:paraId="557721A8" w14:textId="6883C5A6" w:rsidR="00165A84" w:rsidRPr="00165A84" w:rsidRDefault="00165A84" w:rsidP="00165A84">
            <w:pPr>
              <w:rPr>
                <w:sz w:val="20"/>
              </w:rPr>
            </w:pPr>
          </w:p>
        </w:tc>
        <w:tc>
          <w:tcPr>
            <w:tcW w:w="980" w:type="dxa"/>
            <w:tcBorders>
              <w:top w:val="single" w:sz="4" w:space="0" w:color="auto"/>
              <w:left w:val="nil"/>
              <w:bottom w:val="nil"/>
              <w:right w:val="single" w:sz="4" w:space="0" w:color="auto"/>
            </w:tcBorders>
            <w:shd w:val="clear" w:color="auto" w:fill="auto"/>
            <w:noWrap/>
            <w:vAlign w:val="bottom"/>
            <w:hideMark/>
          </w:tcPr>
          <w:p w14:paraId="5653127B" w14:textId="224262C0" w:rsidR="00165A84" w:rsidRPr="00165A84" w:rsidRDefault="00165A84" w:rsidP="00165A84">
            <w:pPr>
              <w:rPr>
                <w:sz w:val="20"/>
              </w:rPr>
            </w:pPr>
          </w:p>
        </w:tc>
      </w:tr>
      <w:tr w:rsidR="00165A84" w:rsidRPr="00165A84" w14:paraId="22E15A80"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24E1E2A5"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8C09E80" w14:textId="77777777" w:rsidR="00165A84" w:rsidRPr="00165A84" w:rsidRDefault="00165A84" w:rsidP="00165A84">
            <w:pPr>
              <w:jc w:val="right"/>
              <w:rPr>
                <w:sz w:val="20"/>
              </w:rPr>
            </w:pPr>
            <w:r w:rsidRPr="00165A84">
              <w:rPr>
                <w:sz w:val="20"/>
              </w:rPr>
              <w:t>3,077,467</w:t>
            </w:r>
          </w:p>
        </w:tc>
        <w:tc>
          <w:tcPr>
            <w:tcW w:w="980" w:type="dxa"/>
            <w:tcBorders>
              <w:top w:val="nil"/>
              <w:left w:val="nil"/>
              <w:bottom w:val="nil"/>
              <w:right w:val="nil"/>
            </w:tcBorders>
            <w:shd w:val="clear" w:color="auto" w:fill="auto"/>
            <w:noWrap/>
            <w:vAlign w:val="bottom"/>
            <w:hideMark/>
          </w:tcPr>
          <w:p w14:paraId="608D3DB5" w14:textId="77777777" w:rsidR="00165A84" w:rsidRPr="00165A84" w:rsidRDefault="00165A84" w:rsidP="00165A84">
            <w:pPr>
              <w:jc w:val="right"/>
              <w:rPr>
                <w:sz w:val="20"/>
              </w:rPr>
            </w:pPr>
            <w:r w:rsidRPr="00165A8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25854536" w14:textId="77777777" w:rsidR="00165A84" w:rsidRPr="00165A84" w:rsidRDefault="00165A84" w:rsidP="00165A84">
            <w:pPr>
              <w:jc w:val="right"/>
              <w:rPr>
                <w:sz w:val="20"/>
              </w:rPr>
            </w:pPr>
            <w:r w:rsidRPr="00165A84">
              <w:rPr>
                <w:sz w:val="20"/>
              </w:rPr>
              <w:t>320,039</w:t>
            </w:r>
          </w:p>
        </w:tc>
        <w:tc>
          <w:tcPr>
            <w:tcW w:w="980" w:type="dxa"/>
            <w:tcBorders>
              <w:top w:val="nil"/>
              <w:left w:val="nil"/>
              <w:bottom w:val="nil"/>
              <w:right w:val="nil"/>
            </w:tcBorders>
            <w:shd w:val="clear" w:color="auto" w:fill="auto"/>
            <w:noWrap/>
            <w:vAlign w:val="bottom"/>
            <w:hideMark/>
          </w:tcPr>
          <w:p w14:paraId="04BCF725" w14:textId="77777777" w:rsidR="00165A84" w:rsidRPr="00165A84" w:rsidRDefault="00165A84" w:rsidP="00165A84">
            <w:pPr>
              <w:jc w:val="right"/>
              <w:rPr>
                <w:sz w:val="20"/>
              </w:rPr>
            </w:pPr>
            <w:r w:rsidRPr="00165A8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606207B4" w14:textId="77777777" w:rsidR="00165A84" w:rsidRPr="00165A84" w:rsidRDefault="00165A84" w:rsidP="00165A84">
            <w:pPr>
              <w:jc w:val="right"/>
              <w:rPr>
                <w:sz w:val="20"/>
              </w:rPr>
            </w:pPr>
            <w:r w:rsidRPr="00165A84">
              <w:rPr>
                <w:sz w:val="20"/>
              </w:rPr>
              <w:t>14,956</w:t>
            </w:r>
          </w:p>
        </w:tc>
        <w:tc>
          <w:tcPr>
            <w:tcW w:w="980" w:type="dxa"/>
            <w:tcBorders>
              <w:top w:val="nil"/>
              <w:left w:val="nil"/>
              <w:bottom w:val="nil"/>
              <w:right w:val="single" w:sz="4" w:space="0" w:color="auto"/>
            </w:tcBorders>
            <w:shd w:val="clear" w:color="auto" w:fill="auto"/>
            <w:noWrap/>
            <w:vAlign w:val="bottom"/>
            <w:hideMark/>
          </w:tcPr>
          <w:p w14:paraId="2BCE6640" w14:textId="77777777" w:rsidR="00165A84" w:rsidRPr="00165A84" w:rsidRDefault="00165A84" w:rsidP="00165A84">
            <w:pPr>
              <w:jc w:val="right"/>
              <w:rPr>
                <w:sz w:val="20"/>
              </w:rPr>
            </w:pPr>
            <w:r w:rsidRPr="00165A84">
              <w:rPr>
                <w:sz w:val="20"/>
              </w:rPr>
              <w:t>30,611</w:t>
            </w:r>
          </w:p>
        </w:tc>
        <w:tc>
          <w:tcPr>
            <w:tcW w:w="980" w:type="dxa"/>
            <w:tcBorders>
              <w:top w:val="nil"/>
              <w:left w:val="nil"/>
              <w:bottom w:val="nil"/>
              <w:right w:val="single" w:sz="4" w:space="0" w:color="auto"/>
            </w:tcBorders>
            <w:shd w:val="clear" w:color="auto" w:fill="auto"/>
            <w:noWrap/>
            <w:vAlign w:val="bottom"/>
            <w:hideMark/>
          </w:tcPr>
          <w:p w14:paraId="28356145" w14:textId="77777777" w:rsidR="00165A84" w:rsidRPr="00165A84" w:rsidRDefault="00165A84" w:rsidP="00165A84">
            <w:pPr>
              <w:jc w:val="right"/>
              <w:rPr>
                <w:sz w:val="20"/>
              </w:rPr>
            </w:pPr>
            <w:r w:rsidRPr="00165A84">
              <w:rPr>
                <w:sz w:val="20"/>
              </w:rPr>
              <w:t>299,579</w:t>
            </w:r>
          </w:p>
        </w:tc>
      </w:tr>
      <w:tr w:rsidR="00165A84" w:rsidRPr="00165A84" w14:paraId="170ADFD4"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A59B073"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1DD2FE5A" w14:textId="77777777" w:rsidR="00165A84" w:rsidRPr="00165A84" w:rsidRDefault="00165A84" w:rsidP="00165A84">
            <w:pPr>
              <w:jc w:val="right"/>
              <w:rPr>
                <w:sz w:val="20"/>
              </w:rPr>
            </w:pPr>
            <w:r w:rsidRPr="00165A84">
              <w:rPr>
                <w:sz w:val="20"/>
              </w:rPr>
              <w:t>0.54%</w:t>
            </w:r>
          </w:p>
        </w:tc>
        <w:tc>
          <w:tcPr>
            <w:tcW w:w="980" w:type="dxa"/>
            <w:tcBorders>
              <w:top w:val="nil"/>
              <w:left w:val="nil"/>
              <w:bottom w:val="nil"/>
              <w:right w:val="single" w:sz="4" w:space="0" w:color="auto"/>
            </w:tcBorders>
            <w:shd w:val="clear" w:color="auto" w:fill="auto"/>
            <w:noWrap/>
            <w:vAlign w:val="bottom"/>
            <w:hideMark/>
          </w:tcPr>
          <w:p w14:paraId="42747C9D" w14:textId="77777777" w:rsidR="00165A84" w:rsidRPr="00165A84" w:rsidRDefault="00165A84" w:rsidP="00165A84">
            <w:pPr>
              <w:jc w:val="right"/>
              <w:rPr>
                <w:sz w:val="20"/>
              </w:rPr>
            </w:pPr>
            <w:r w:rsidRPr="00165A84">
              <w:rPr>
                <w:sz w:val="20"/>
              </w:rPr>
              <w:t>0.47%</w:t>
            </w:r>
          </w:p>
        </w:tc>
        <w:tc>
          <w:tcPr>
            <w:tcW w:w="980" w:type="dxa"/>
            <w:tcBorders>
              <w:top w:val="nil"/>
              <w:left w:val="nil"/>
              <w:bottom w:val="nil"/>
              <w:right w:val="single" w:sz="4" w:space="0" w:color="auto"/>
            </w:tcBorders>
            <w:shd w:val="clear" w:color="auto" w:fill="auto"/>
            <w:noWrap/>
            <w:vAlign w:val="bottom"/>
            <w:hideMark/>
          </w:tcPr>
          <w:p w14:paraId="09DD7C8A" w14:textId="77777777" w:rsidR="00165A84" w:rsidRPr="00165A84" w:rsidRDefault="00165A84" w:rsidP="00165A84">
            <w:pPr>
              <w:jc w:val="right"/>
              <w:rPr>
                <w:sz w:val="20"/>
              </w:rPr>
            </w:pPr>
            <w:r w:rsidRPr="00165A84">
              <w:rPr>
                <w:sz w:val="20"/>
              </w:rPr>
              <w:t>0.47%</w:t>
            </w:r>
          </w:p>
        </w:tc>
        <w:tc>
          <w:tcPr>
            <w:tcW w:w="980" w:type="dxa"/>
            <w:tcBorders>
              <w:top w:val="nil"/>
              <w:left w:val="nil"/>
              <w:bottom w:val="nil"/>
              <w:right w:val="nil"/>
            </w:tcBorders>
            <w:shd w:val="clear" w:color="auto" w:fill="auto"/>
            <w:noWrap/>
            <w:vAlign w:val="bottom"/>
            <w:hideMark/>
          </w:tcPr>
          <w:p w14:paraId="10FF6405" w14:textId="77777777" w:rsidR="00165A84" w:rsidRPr="00165A84" w:rsidRDefault="00165A84" w:rsidP="00165A84">
            <w:pPr>
              <w:jc w:val="right"/>
              <w:rPr>
                <w:sz w:val="20"/>
              </w:rPr>
            </w:pPr>
            <w:r w:rsidRPr="00165A84">
              <w:rPr>
                <w:sz w:val="20"/>
              </w:rPr>
              <w:t>0.47%</w:t>
            </w:r>
          </w:p>
        </w:tc>
        <w:tc>
          <w:tcPr>
            <w:tcW w:w="980" w:type="dxa"/>
            <w:tcBorders>
              <w:top w:val="nil"/>
              <w:left w:val="single" w:sz="4" w:space="0" w:color="auto"/>
              <w:bottom w:val="nil"/>
              <w:right w:val="single" w:sz="4" w:space="0" w:color="auto"/>
            </w:tcBorders>
            <w:shd w:val="clear" w:color="auto" w:fill="auto"/>
            <w:noWrap/>
            <w:vAlign w:val="bottom"/>
            <w:hideMark/>
          </w:tcPr>
          <w:p w14:paraId="30ACDBE6" w14:textId="77777777" w:rsidR="00165A84" w:rsidRPr="00165A84" w:rsidRDefault="00165A84" w:rsidP="00165A84">
            <w:pPr>
              <w:jc w:val="right"/>
              <w:rPr>
                <w:sz w:val="20"/>
              </w:rPr>
            </w:pPr>
            <w:r w:rsidRPr="00165A84">
              <w:rPr>
                <w:sz w:val="20"/>
              </w:rPr>
              <w:t>0.47%</w:t>
            </w:r>
          </w:p>
        </w:tc>
        <w:tc>
          <w:tcPr>
            <w:tcW w:w="980" w:type="dxa"/>
            <w:tcBorders>
              <w:top w:val="nil"/>
              <w:left w:val="nil"/>
              <w:bottom w:val="nil"/>
              <w:right w:val="single" w:sz="4" w:space="0" w:color="auto"/>
            </w:tcBorders>
            <w:shd w:val="clear" w:color="auto" w:fill="auto"/>
            <w:noWrap/>
            <w:vAlign w:val="bottom"/>
            <w:hideMark/>
          </w:tcPr>
          <w:p w14:paraId="727CD65A" w14:textId="77777777" w:rsidR="00165A84" w:rsidRPr="00165A84" w:rsidRDefault="00165A84" w:rsidP="00165A84">
            <w:pPr>
              <w:jc w:val="right"/>
              <w:rPr>
                <w:sz w:val="20"/>
              </w:rPr>
            </w:pPr>
            <w:r w:rsidRPr="00165A84">
              <w:rPr>
                <w:sz w:val="20"/>
              </w:rPr>
              <w:t>0.47%</w:t>
            </w:r>
          </w:p>
        </w:tc>
        <w:tc>
          <w:tcPr>
            <w:tcW w:w="980" w:type="dxa"/>
            <w:tcBorders>
              <w:top w:val="nil"/>
              <w:left w:val="nil"/>
              <w:bottom w:val="nil"/>
              <w:right w:val="single" w:sz="4" w:space="0" w:color="auto"/>
            </w:tcBorders>
            <w:shd w:val="clear" w:color="000000" w:fill="FFD85B"/>
            <w:noWrap/>
            <w:vAlign w:val="bottom"/>
            <w:hideMark/>
          </w:tcPr>
          <w:p w14:paraId="3A3825B2" w14:textId="77777777" w:rsidR="00165A84" w:rsidRPr="00165A84" w:rsidRDefault="00165A84" w:rsidP="00165A84">
            <w:pPr>
              <w:jc w:val="center"/>
              <w:rPr>
                <w:sz w:val="20"/>
              </w:rPr>
            </w:pPr>
            <w:r w:rsidRPr="00165A84">
              <w:rPr>
                <w:sz w:val="20"/>
              </w:rPr>
              <w:t>##</w:t>
            </w:r>
          </w:p>
        </w:tc>
      </w:tr>
      <w:tr w:rsidR="00165A84" w:rsidRPr="00165A84" w14:paraId="310100D7"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7398A68"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57F68B6" w14:textId="232475AB" w:rsidR="00165A84" w:rsidRPr="00165A84" w:rsidRDefault="00165A84" w:rsidP="00165A84">
            <w:pPr>
              <w:rPr>
                <w:sz w:val="20"/>
              </w:rPr>
            </w:pPr>
            <w:r w:rsidRPr="00165A84">
              <w:rPr>
                <w:sz w:val="20"/>
              </w:rPr>
              <w:t>16,694</w:t>
            </w:r>
          </w:p>
        </w:tc>
        <w:tc>
          <w:tcPr>
            <w:tcW w:w="980" w:type="dxa"/>
            <w:tcBorders>
              <w:top w:val="nil"/>
              <w:left w:val="nil"/>
              <w:bottom w:val="single" w:sz="4" w:space="0" w:color="auto"/>
              <w:right w:val="single" w:sz="4" w:space="0" w:color="auto"/>
            </w:tcBorders>
            <w:shd w:val="clear" w:color="auto" w:fill="auto"/>
            <w:noWrap/>
            <w:vAlign w:val="bottom"/>
            <w:hideMark/>
          </w:tcPr>
          <w:p w14:paraId="53E0D90B" w14:textId="0BA31C03" w:rsidR="00165A84" w:rsidRPr="00165A84" w:rsidRDefault="00165A84" w:rsidP="00165A84">
            <w:pPr>
              <w:rPr>
                <w:sz w:val="20"/>
              </w:rPr>
            </w:pPr>
            <w:r w:rsidRPr="00165A84">
              <w:rPr>
                <w:sz w:val="20"/>
              </w:rPr>
              <w:t>2,909</w:t>
            </w:r>
          </w:p>
        </w:tc>
        <w:tc>
          <w:tcPr>
            <w:tcW w:w="980" w:type="dxa"/>
            <w:tcBorders>
              <w:top w:val="nil"/>
              <w:left w:val="nil"/>
              <w:bottom w:val="single" w:sz="4" w:space="0" w:color="auto"/>
              <w:right w:val="single" w:sz="4" w:space="0" w:color="auto"/>
            </w:tcBorders>
            <w:shd w:val="clear" w:color="auto" w:fill="auto"/>
            <w:noWrap/>
            <w:vAlign w:val="bottom"/>
            <w:hideMark/>
          </w:tcPr>
          <w:p w14:paraId="73F36D69" w14:textId="4725F260" w:rsidR="00165A84" w:rsidRPr="00165A84" w:rsidRDefault="00165A84" w:rsidP="00165A84">
            <w:pPr>
              <w:rPr>
                <w:sz w:val="20"/>
              </w:rPr>
            </w:pPr>
            <w:r w:rsidRPr="00165A84">
              <w:rPr>
                <w:sz w:val="20"/>
              </w:rPr>
              <w:t>1,492</w:t>
            </w:r>
          </w:p>
        </w:tc>
        <w:tc>
          <w:tcPr>
            <w:tcW w:w="980" w:type="dxa"/>
            <w:tcBorders>
              <w:top w:val="nil"/>
              <w:left w:val="nil"/>
              <w:bottom w:val="single" w:sz="4" w:space="0" w:color="auto"/>
              <w:right w:val="single" w:sz="4" w:space="0" w:color="auto"/>
            </w:tcBorders>
            <w:shd w:val="clear" w:color="auto" w:fill="auto"/>
            <w:noWrap/>
            <w:vAlign w:val="bottom"/>
            <w:hideMark/>
          </w:tcPr>
          <w:p w14:paraId="5CB93CFE" w14:textId="3F1F9A91" w:rsidR="00165A84" w:rsidRPr="00165A84" w:rsidRDefault="00165A84" w:rsidP="00165A84">
            <w:pPr>
              <w:rPr>
                <w:sz w:val="20"/>
              </w:rPr>
            </w:pPr>
            <w:r w:rsidRPr="00165A84">
              <w:rPr>
                <w:sz w:val="20"/>
              </w:rPr>
              <w:t>1,280</w:t>
            </w:r>
          </w:p>
        </w:tc>
        <w:tc>
          <w:tcPr>
            <w:tcW w:w="980" w:type="dxa"/>
            <w:tcBorders>
              <w:top w:val="nil"/>
              <w:left w:val="nil"/>
              <w:bottom w:val="single" w:sz="4" w:space="0" w:color="auto"/>
              <w:right w:val="single" w:sz="4" w:space="0" w:color="auto"/>
            </w:tcBorders>
            <w:shd w:val="clear" w:color="auto" w:fill="auto"/>
            <w:noWrap/>
            <w:vAlign w:val="bottom"/>
            <w:hideMark/>
          </w:tcPr>
          <w:p w14:paraId="4965D32F" w14:textId="6427B086" w:rsidR="00165A84" w:rsidRPr="00165A84" w:rsidRDefault="00165A84" w:rsidP="00165A84">
            <w:pPr>
              <w:rPr>
                <w:sz w:val="20"/>
              </w:rPr>
            </w:pPr>
            <w:r w:rsidRPr="00165A84">
              <w:rPr>
                <w:sz w:val="20"/>
              </w:rPr>
              <w:t>70</w:t>
            </w:r>
          </w:p>
        </w:tc>
        <w:tc>
          <w:tcPr>
            <w:tcW w:w="980" w:type="dxa"/>
            <w:tcBorders>
              <w:top w:val="nil"/>
              <w:left w:val="nil"/>
              <w:bottom w:val="single" w:sz="4" w:space="0" w:color="auto"/>
              <w:right w:val="single" w:sz="4" w:space="0" w:color="auto"/>
            </w:tcBorders>
            <w:shd w:val="clear" w:color="auto" w:fill="auto"/>
            <w:noWrap/>
            <w:vAlign w:val="bottom"/>
            <w:hideMark/>
          </w:tcPr>
          <w:p w14:paraId="62639607" w14:textId="686145BA" w:rsidR="00165A84" w:rsidRPr="00165A84" w:rsidRDefault="00165A84" w:rsidP="00165A84">
            <w:pPr>
              <w:rPr>
                <w:sz w:val="20"/>
              </w:rPr>
            </w:pPr>
            <w:r w:rsidRPr="00165A84">
              <w:rPr>
                <w:sz w:val="20"/>
              </w:rPr>
              <w:t>143</w:t>
            </w:r>
          </w:p>
        </w:tc>
        <w:tc>
          <w:tcPr>
            <w:tcW w:w="980" w:type="dxa"/>
            <w:tcBorders>
              <w:top w:val="nil"/>
              <w:left w:val="nil"/>
              <w:bottom w:val="single" w:sz="4" w:space="0" w:color="auto"/>
              <w:right w:val="single" w:sz="4" w:space="0" w:color="auto"/>
            </w:tcBorders>
            <w:shd w:val="clear" w:color="000000" w:fill="FFD85B"/>
            <w:noWrap/>
            <w:vAlign w:val="bottom"/>
            <w:hideMark/>
          </w:tcPr>
          <w:p w14:paraId="217F7039" w14:textId="3017B3C9" w:rsidR="00165A84" w:rsidRPr="00165A84" w:rsidRDefault="00165A84" w:rsidP="00165A84">
            <w:pPr>
              <w:rPr>
                <w:sz w:val="20"/>
              </w:rPr>
            </w:pPr>
            <w:r w:rsidRPr="00165A84">
              <w:rPr>
                <w:sz w:val="20"/>
              </w:rPr>
              <w:t>1,416</w:t>
            </w:r>
          </w:p>
        </w:tc>
      </w:tr>
      <w:tr w:rsidR="00165A84" w:rsidRPr="00165A84" w14:paraId="600D6C00"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0E8A128C" w14:textId="77777777" w:rsidR="00165A84" w:rsidRPr="00165A84" w:rsidRDefault="00165A84" w:rsidP="00165A84">
            <w:pPr>
              <w:rPr>
                <w:sz w:val="20"/>
              </w:rPr>
            </w:pPr>
            <w:r w:rsidRPr="00165A8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61F6418D" w14:textId="1858F24D"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3F3D9D02"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9BD26F3" w14:textId="27542401"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88C0E39"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00A614C" w14:textId="61F5FE65"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9436A1D" w14:textId="352D6633"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3A4ABBA5" w14:textId="29B66F85" w:rsidR="00165A84" w:rsidRPr="00165A84" w:rsidRDefault="00165A84" w:rsidP="00165A84">
            <w:pPr>
              <w:rPr>
                <w:sz w:val="20"/>
              </w:rPr>
            </w:pPr>
          </w:p>
        </w:tc>
      </w:tr>
      <w:tr w:rsidR="00165A84" w:rsidRPr="00165A84" w14:paraId="3D07DFF6"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DF52BA4"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1982525" w14:textId="77777777" w:rsidR="00165A84" w:rsidRPr="00165A84" w:rsidRDefault="00165A84" w:rsidP="00165A84">
            <w:pPr>
              <w:jc w:val="right"/>
              <w:rPr>
                <w:sz w:val="20"/>
              </w:rPr>
            </w:pPr>
            <w:r w:rsidRPr="00165A84">
              <w:rPr>
                <w:sz w:val="20"/>
              </w:rPr>
              <w:t>3,561,164</w:t>
            </w:r>
          </w:p>
        </w:tc>
        <w:tc>
          <w:tcPr>
            <w:tcW w:w="980" w:type="dxa"/>
            <w:tcBorders>
              <w:top w:val="nil"/>
              <w:left w:val="nil"/>
              <w:bottom w:val="nil"/>
              <w:right w:val="nil"/>
            </w:tcBorders>
            <w:shd w:val="clear" w:color="auto" w:fill="auto"/>
            <w:noWrap/>
            <w:vAlign w:val="bottom"/>
            <w:hideMark/>
          </w:tcPr>
          <w:p w14:paraId="04D5CBF2" w14:textId="77777777" w:rsidR="00165A84" w:rsidRPr="00165A84" w:rsidRDefault="00165A84" w:rsidP="00165A84">
            <w:pPr>
              <w:jc w:val="right"/>
              <w:rPr>
                <w:sz w:val="20"/>
              </w:rPr>
            </w:pPr>
            <w:r w:rsidRPr="00165A8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18FDABAE" w14:textId="77777777" w:rsidR="00165A84" w:rsidRPr="00165A84" w:rsidRDefault="00165A84" w:rsidP="00165A84">
            <w:pPr>
              <w:jc w:val="right"/>
              <w:rPr>
                <w:sz w:val="20"/>
              </w:rPr>
            </w:pPr>
            <w:r w:rsidRPr="00165A84">
              <w:rPr>
                <w:sz w:val="20"/>
              </w:rPr>
              <w:t>364,829</w:t>
            </w:r>
          </w:p>
        </w:tc>
        <w:tc>
          <w:tcPr>
            <w:tcW w:w="980" w:type="dxa"/>
            <w:tcBorders>
              <w:top w:val="nil"/>
              <w:left w:val="nil"/>
              <w:bottom w:val="nil"/>
              <w:right w:val="nil"/>
            </w:tcBorders>
            <w:shd w:val="clear" w:color="auto" w:fill="auto"/>
            <w:noWrap/>
            <w:vAlign w:val="bottom"/>
            <w:hideMark/>
          </w:tcPr>
          <w:p w14:paraId="56AFDE7E" w14:textId="77777777" w:rsidR="00165A84" w:rsidRPr="00165A84" w:rsidRDefault="00165A84" w:rsidP="00165A84">
            <w:pPr>
              <w:jc w:val="right"/>
              <w:rPr>
                <w:sz w:val="20"/>
              </w:rPr>
            </w:pPr>
            <w:r w:rsidRPr="00165A8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33F76F07" w14:textId="77777777" w:rsidR="00165A84" w:rsidRPr="00165A84" w:rsidRDefault="00165A84" w:rsidP="00165A84">
            <w:pPr>
              <w:jc w:val="right"/>
              <w:rPr>
                <w:sz w:val="20"/>
              </w:rPr>
            </w:pPr>
            <w:r w:rsidRPr="00165A84">
              <w:rPr>
                <w:sz w:val="20"/>
              </w:rPr>
              <w:t>17,221</w:t>
            </w:r>
          </w:p>
        </w:tc>
        <w:tc>
          <w:tcPr>
            <w:tcW w:w="980" w:type="dxa"/>
            <w:tcBorders>
              <w:top w:val="nil"/>
              <w:left w:val="nil"/>
              <w:bottom w:val="nil"/>
              <w:right w:val="single" w:sz="4" w:space="0" w:color="auto"/>
            </w:tcBorders>
            <w:shd w:val="clear" w:color="auto" w:fill="auto"/>
            <w:noWrap/>
            <w:vAlign w:val="bottom"/>
            <w:hideMark/>
          </w:tcPr>
          <w:p w14:paraId="366B1E8F" w14:textId="77777777" w:rsidR="00165A84" w:rsidRPr="00165A84" w:rsidRDefault="00165A84" w:rsidP="00165A84">
            <w:pPr>
              <w:jc w:val="right"/>
              <w:rPr>
                <w:sz w:val="20"/>
              </w:rPr>
            </w:pPr>
            <w:r w:rsidRPr="00165A84">
              <w:rPr>
                <w:sz w:val="20"/>
              </w:rPr>
              <w:t>34,744</w:t>
            </w:r>
          </w:p>
        </w:tc>
        <w:tc>
          <w:tcPr>
            <w:tcW w:w="980" w:type="dxa"/>
            <w:tcBorders>
              <w:top w:val="nil"/>
              <w:left w:val="nil"/>
              <w:bottom w:val="nil"/>
              <w:right w:val="single" w:sz="4" w:space="0" w:color="auto"/>
            </w:tcBorders>
            <w:shd w:val="clear" w:color="auto" w:fill="auto"/>
            <w:noWrap/>
            <w:vAlign w:val="bottom"/>
            <w:hideMark/>
          </w:tcPr>
          <w:p w14:paraId="46802492" w14:textId="77777777" w:rsidR="00165A84" w:rsidRPr="00165A84" w:rsidRDefault="00165A84" w:rsidP="00165A84">
            <w:pPr>
              <w:jc w:val="right"/>
              <w:rPr>
                <w:sz w:val="20"/>
              </w:rPr>
            </w:pPr>
            <w:r w:rsidRPr="00165A84">
              <w:rPr>
                <w:sz w:val="20"/>
              </w:rPr>
              <w:t>337,196</w:t>
            </w:r>
          </w:p>
        </w:tc>
      </w:tr>
      <w:tr w:rsidR="00165A84" w:rsidRPr="00165A84" w14:paraId="766C0FFE"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227C1EC"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7A47679A" w14:textId="77777777" w:rsidR="00165A84" w:rsidRPr="00165A84" w:rsidRDefault="00165A84" w:rsidP="00165A84">
            <w:pPr>
              <w:jc w:val="right"/>
              <w:rPr>
                <w:sz w:val="20"/>
              </w:rPr>
            </w:pPr>
            <w:r w:rsidRPr="00165A84">
              <w:rPr>
                <w:sz w:val="20"/>
              </w:rPr>
              <w:t>0.56%</w:t>
            </w:r>
          </w:p>
        </w:tc>
        <w:tc>
          <w:tcPr>
            <w:tcW w:w="980" w:type="dxa"/>
            <w:tcBorders>
              <w:top w:val="nil"/>
              <w:left w:val="nil"/>
              <w:bottom w:val="nil"/>
              <w:right w:val="single" w:sz="4" w:space="0" w:color="auto"/>
            </w:tcBorders>
            <w:shd w:val="clear" w:color="auto" w:fill="auto"/>
            <w:noWrap/>
            <w:vAlign w:val="bottom"/>
            <w:hideMark/>
          </w:tcPr>
          <w:p w14:paraId="205E7C4D" w14:textId="77777777" w:rsidR="00165A84" w:rsidRPr="00165A84" w:rsidRDefault="00165A84" w:rsidP="00165A84">
            <w:pPr>
              <w:jc w:val="right"/>
              <w:rPr>
                <w:sz w:val="20"/>
              </w:rPr>
            </w:pPr>
            <w:r w:rsidRPr="00165A84">
              <w:rPr>
                <w:sz w:val="20"/>
              </w:rPr>
              <w:t>0.46%</w:t>
            </w:r>
          </w:p>
        </w:tc>
        <w:tc>
          <w:tcPr>
            <w:tcW w:w="980" w:type="dxa"/>
            <w:tcBorders>
              <w:top w:val="nil"/>
              <w:left w:val="nil"/>
              <w:bottom w:val="nil"/>
              <w:right w:val="single" w:sz="4" w:space="0" w:color="auto"/>
            </w:tcBorders>
            <w:shd w:val="clear" w:color="auto" w:fill="auto"/>
            <w:noWrap/>
            <w:vAlign w:val="bottom"/>
            <w:hideMark/>
          </w:tcPr>
          <w:p w14:paraId="63D36B77" w14:textId="77777777" w:rsidR="00165A84" w:rsidRPr="00165A84" w:rsidRDefault="00165A84" w:rsidP="00165A84">
            <w:pPr>
              <w:jc w:val="right"/>
              <w:rPr>
                <w:sz w:val="20"/>
              </w:rPr>
            </w:pPr>
            <w:r w:rsidRPr="00165A84">
              <w:rPr>
                <w:sz w:val="20"/>
              </w:rPr>
              <w:t>0.46%</w:t>
            </w:r>
          </w:p>
        </w:tc>
        <w:tc>
          <w:tcPr>
            <w:tcW w:w="980" w:type="dxa"/>
            <w:tcBorders>
              <w:top w:val="nil"/>
              <w:left w:val="nil"/>
              <w:bottom w:val="nil"/>
              <w:right w:val="nil"/>
            </w:tcBorders>
            <w:shd w:val="clear" w:color="auto" w:fill="auto"/>
            <w:noWrap/>
            <w:vAlign w:val="bottom"/>
            <w:hideMark/>
          </w:tcPr>
          <w:p w14:paraId="40CE97BC" w14:textId="77777777" w:rsidR="00165A84" w:rsidRPr="00165A84" w:rsidRDefault="00165A84" w:rsidP="00165A84">
            <w:pPr>
              <w:jc w:val="right"/>
              <w:rPr>
                <w:sz w:val="20"/>
              </w:rPr>
            </w:pPr>
            <w:r w:rsidRPr="00165A84">
              <w:rPr>
                <w:sz w:val="20"/>
              </w:rPr>
              <w:t>0.46%</w:t>
            </w:r>
          </w:p>
        </w:tc>
        <w:tc>
          <w:tcPr>
            <w:tcW w:w="980" w:type="dxa"/>
            <w:tcBorders>
              <w:top w:val="nil"/>
              <w:left w:val="single" w:sz="4" w:space="0" w:color="auto"/>
              <w:bottom w:val="nil"/>
              <w:right w:val="single" w:sz="4" w:space="0" w:color="auto"/>
            </w:tcBorders>
            <w:shd w:val="clear" w:color="auto" w:fill="auto"/>
            <w:noWrap/>
            <w:vAlign w:val="bottom"/>
            <w:hideMark/>
          </w:tcPr>
          <w:p w14:paraId="509FE987" w14:textId="77777777" w:rsidR="00165A84" w:rsidRPr="00165A84" w:rsidRDefault="00165A84" w:rsidP="00165A84">
            <w:pPr>
              <w:jc w:val="right"/>
              <w:rPr>
                <w:sz w:val="20"/>
              </w:rPr>
            </w:pPr>
            <w:r w:rsidRPr="00165A84">
              <w:rPr>
                <w:sz w:val="20"/>
              </w:rPr>
              <w:t>0.46%</w:t>
            </w:r>
          </w:p>
        </w:tc>
        <w:tc>
          <w:tcPr>
            <w:tcW w:w="980" w:type="dxa"/>
            <w:tcBorders>
              <w:top w:val="nil"/>
              <w:left w:val="nil"/>
              <w:bottom w:val="nil"/>
              <w:right w:val="single" w:sz="4" w:space="0" w:color="auto"/>
            </w:tcBorders>
            <w:shd w:val="clear" w:color="auto" w:fill="auto"/>
            <w:noWrap/>
            <w:vAlign w:val="bottom"/>
            <w:hideMark/>
          </w:tcPr>
          <w:p w14:paraId="21CEBEE8" w14:textId="77777777" w:rsidR="00165A84" w:rsidRPr="00165A84" w:rsidRDefault="00165A84" w:rsidP="00165A84">
            <w:pPr>
              <w:jc w:val="right"/>
              <w:rPr>
                <w:sz w:val="20"/>
              </w:rPr>
            </w:pPr>
            <w:r w:rsidRPr="00165A84">
              <w:rPr>
                <w:sz w:val="20"/>
              </w:rPr>
              <w:t>0.46%</w:t>
            </w:r>
          </w:p>
        </w:tc>
        <w:tc>
          <w:tcPr>
            <w:tcW w:w="980" w:type="dxa"/>
            <w:tcBorders>
              <w:top w:val="nil"/>
              <w:left w:val="nil"/>
              <w:bottom w:val="nil"/>
              <w:right w:val="single" w:sz="4" w:space="0" w:color="auto"/>
            </w:tcBorders>
            <w:shd w:val="clear" w:color="auto" w:fill="auto"/>
            <w:noWrap/>
            <w:vAlign w:val="bottom"/>
            <w:hideMark/>
          </w:tcPr>
          <w:p w14:paraId="137E7C1D" w14:textId="77777777" w:rsidR="00165A84" w:rsidRPr="00165A84" w:rsidRDefault="00165A84" w:rsidP="00165A84">
            <w:pPr>
              <w:jc w:val="right"/>
              <w:rPr>
                <w:sz w:val="20"/>
              </w:rPr>
            </w:pPr>
            <w:r w:rsidRPr="00165A84">
              <w:rPr>
                <w:sz w:val="20"/>
              </w:rPr>
              <w:t>0.46%</w:t>
            </w:r>
          </w:p>
        </w:tc>
      </w:tr>
      <w:tr w:rsidR="00165A84" w:rsidRPr="00165A84" w14:paraId="2B5B930B"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2AAE6A9A"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03C5C02" w14:textId="31B1D710" w:rsidR="00165A84" w:rsidRPr="00165A84" w:rsidRDefault="00165A84" w:rsidP="00165A84">
            <w:pPr>
              <w:rPr>
                <w:sz w:val="20"/>
              </w:rPr>
            </w:pPr>
            <w:r w:rsidRPr="00165A84">
              <w:rPr>
                <w:sz w:val="20"/>
              </w:rPr>
              <w:t>19,847</w:t>
            </w:r>
          </w:p>
        </w:tc>
        <w:tc>
          <w:tcPr>
            <w:tcW w:w="980" w:type="dxa"/>
            <w:tcBorders>
              <w:top w:val="nil"/>
              <w:left w:val="nil"/>
              <w:bottom w:val="single" w:sz="4" w:space="0" w:color="auto"/>
              <w:right w:val="single" w:sz="4" w:space="0" w:color="auto"/>
            </w:tcBorders>
            <w:shd w:val="clear" w:color="auto" w:fill="auto"/>
            <w:noWrap/>
            <w:vAlign w:val="bottom"/>
            <w:hideMark/>
          </w:tcPr>
          <w:p w14:paraId="26A265D6" w14:textId="2D7BBFDF" w:rsidR="00165A84" w:rsidRPr="00165A84" w:rsidRDefault="00165A84" w:rsidP="00165A84">
            <w:pPr>
              <w:rPr>
                <w:sz w:val="20"/>
              </w:rPr>
            </w:pPr>
            <w:r w:rsidRPr="00165A84">
              <w:rPr>
                <w:sz w:val="20"/>
              </w:rPr>
              <w:t>3,221</w:t>
            </w:r>
          </w:p>
        </w:tc>
        <w:tc>
          <w:tcPr>
            <w:tcW w:w="980" w:type="dxa"/>
            <w:tcBorders>
              <w:top w:val="nil"/>
              <w:left w:val="nil"/>
              <w:bottom w:val="single" w:sz="4" w:space="0" w:color="auto"/>
              <w:right w:val="single" w:sz="4" w:space="0" w:color="auto"/>
            </w:tcBorders>
            <w:shd w:val="clear" w:color="auto" w:fill="auto"/>
            <w:noWrap/>
            <w:vAlign w:val="bottom"/>
            <w:hideMark/>
          </w:tcPr>
          <w:p w14:paraId="3F29838F" w14:textId="11287DB9" w:rsidR="00165A84" w:rsidRPr="00165A84" w:rsidRDefault="00165A84" w:rsidP="00165A84">
            <w:pPr>
              <w:rPr>
                <w:sz w:val="20"/>
              </w:rPr>
            </w:pPr>
            <w:r w:rsidRPr="00165A84">
              <w:rPr>
                <w:sz w:val="20"/>
              </w:rPr>
              <w:t>1,666</w:t>
            </w:r>
          </w:p>
        </w:tc>
        <w:tc>
          <w:tcPr>
            <w:tcW w:w="980" w:type="dxa"/>
            <w:tcBorders>
              <w:top w:val="nil"/>
              <w:left w:val="nil"/>
              <w:bottom w:val="single" w:sz="4" w:space="0" w:color="auto"/>
              <w:right w:val="single" w:sz="4" w:space="0" w:color="auto"/>
            </w:tcBorders>
            <w:shd w:val="clear" w:color="auto" w:fill="auto"/>
            <w:noWrap/>
            <w:vAlign w:val="bottom"/>
            <w:hideMark/>
          </w:tcPr>
          <w:p w14:paraId="36A8CB62" w14:textId="3A664CD7" w:rsidR="00165A84" w:rsidRPr="00165A84" w:rsidRDefault="00165A84" w:rsidP="00165A84">
            <w:pPr>
              <w:rPr>
                <w:sz w:val="20"/>
              </w:rPr>
            </w:pPr>
            <w:r w:rsidRPr="00165A84">
              <w:rPr>
                <w:sz w:val="20"/>
              </w:rPr>
              <w:t>1,429</w:t>
            </w:r>
          </w:p>
        </w:tc>
        <w:tc>
          <w:tcPr>
            <w:tcW w:w="980" w:type="dxa"/>
            <w:tcBorders>
              <w:top w:val="nil"/>
              <w:left w:val="nil"/>
              <w:bottom w:val="single" w:sz="4" w:space="0" w:color="auto"/>
              <w:right w:val="single" w:sz="4" w:space="0" w:color="auto"/>
            </w:tcBorders>
            <w:shd w:val="clear" w:color="auto" w:fill="auto"/>
            <w:noWrap/>
            <w:vAlign w:val="bottom"/>
            <w:hideMark/>
          </w:tcPr>
          <w:p w14:paraId="048F3E8E" w14:textId="60FEA62F" w:rsidR="00165A84" w:rsidRPr="00165A84" w:rsidRDefault="00165A84" w:rsidP="00165A84">
            <w:pPr>
              <w:rPr>
                <w:sz w:val="20"/>
              </w:rPr>
            </w:pPr>
            <w:r w:rsidRPr="00165A84">
              <w:rPr>
                <w:sz w:val="20"/>
              </w:rPr>
              <w:t>79</w:t>
            </w:r>
          </w:p>
        </w:tc>
        <w:tc>
          <w:tcPr>
            <w:tcW w:w="980" w:type="dxa"/>
            <w:tcBorders>
              <w:top w:val="nil"/>
              <w:left w:val="nil"/>
              <w:bottom w:val="single" w:sz="4" w:space="0" w:color="auto"/>
              <w:right w:val="single" w:sz="4" w:space="0" w:color="auto"/>
            </w:tcBorders>
            <w:shd w:val="clear" w:color="auto" w:fill="auto"/>
            <w:noWrap/>
            <w:vAlign w:val="bottom"/>
            <w:hideMark/>
          </w:tcPr>
          <w:p w14:paraId="065F79CC" w14:textId="7A4AE207" w:rsidR="00165A84" w:rsidRPr="00165A84" w:rsidRDefault="00165A84" w:rsidP="00165A84">
            <w:pPr>
              <w:rPr>
                <w:sz w:val="20"/>
              </w:rPr>
            </w:pPr>
            <w:r w:rsidRPr="00165A84">
              <w:rPr>
                <w:sz w:val="20"/>
              </w:rPr>
              <w:t>159</w:t>
            </w:r>
          </w:p>
        </w:tc>
        <w:tc>
          <w:tcPr>
            <w:tcW w:w="980" w:type="dxa"/>
            <w:tcBorders>
              <w:top w:val="nil"/>
              <w:left w:val="nil"/>
              <w:bottom w:val="single" w:sz="4" w:space="0" w:color="auto"/>
              <w:right w:val="single" w:sz="4" w:space="0" w:color="auto"/>
            </w:tcBorders>
            <w:shd w:val="clear" w:color="auto" w:fill="auto"/>
            <w:noWrap/>
            <w:vAlign w:val="bottom"/>
            <w:hideMark/>
          </w:tcPr>
          <w:p w14:paraId="17D04108" w14:textId="483D340E" w:rsidR="00165A84" w:rsidRPr="00165A84" w:rsidRDefault="00165A84" w:rsidP="00165A84">
            <w:pPr>
              <w:rPr>
                <w:sz w:val="20"/>
              </w:rPr>
            </w:pPr>
            <w:r w:rsidRPr="00165A84">
              <w:rPr>
                <w:sz w:val="20"/>
              </w:rPr>
              <w:t>1,555</w:t>
            </w:r>
          </w:p>
        </w:tc>
      </w:tr>
      <w:tr w:rsidR="00165A84" w:rsidRPr="00165A84" w14:paraId="684881F7" w14:textId="77777777" w:rsidTr="00BF315B">
        <w:trPr>
          <w:trHeight w:val="2015"/>
        </w:trPr>
        <w:tc>
          <w:tcPr>
            <w:tcW w:w="8980" w:type="dxa"/>
            <w:gridSpan w:val="8"/>
            <w:tcBorders>
              <w:top w:val="single" w:sz="4" w:space="0" w:color="auto"/>
              <w:left w:val="nil"/>
              <w:bottom w:val="nil"/>
              <w:right w:val="nil"/>
            </w:tcBorders>
            <w:shd w:val="clear" w:color="auto" w:fill="auto"/>
            <w:vAlign w:val="bottom"/>
            <w:hideMark/>
          </w:tcPr>
          <w:p w14:paraId="55E1E7C9" w14:textId="77777777" w:rsidR="00BF315B" w:rsidRDefault="00165A84" w:rsidP="00BF315B">
            <w:pPr>
              <w:rPr>
                <w:sz w:val="18"/>
                <w:szCs w:val="18"/>
              </w:rPr>
            </w:pPr>
            <w:r w:rsidRPr="00165A84">
              <w:rPr>
                <w:b/>
                <w:bCs/>
                <w:sz w:val="18"/>
                <w:szCs w:val="18"/>
              </w:rPr>
              <w:t xml:space="preserve">Notes: * </w:t>
            </w:r>
            <w:r w:rsidRPr="00165A84">
              <w:rPr>
                <w:sz w:val="18"/>
                <w:szCs w:val="18"/>
              </w:rPr>
              <w:t>Prevalence rates are estimated by the National Survey of Drug Use and Health, 2016-2018. Parish population sizes are estimated by U.S. Census for July 1, 2019.</w:t>
            </w:r>
            <w:r w:rsidRPr="00165A84">
              <w:rPr>
                <w:sz w:val="18"/>
                <w:szCs w:val="18"/>
              </w:rPr>
              <w:br/>
              <w:t>*** NSDUH did not estimate the prevalence rate for Greater New Orleans; therefore, the number of prevalent individuals cannot be estimated for the planning sub-areas either.</w:t>
            </w:r>
            <w:r w:rsidRPr="00165A84">
              <w:rPr>
                <w:sz w:val="18"/>
                <w:szCs w:val="18"/>
              </w:rPr>
              <w:br/>
              <w:t xml:space="preserve">## NSDUH did not estimate the </w:t>
            </w:r>
            <w:proofErr w:type="gramStart"/>
            <w:r w:rsidRPr="00165A84">
              <w:rPr>
                <w:sz w:val="18"/>
                <w:szCs w:val="18"/>
              </w:rPr>
              <w:t>prevalence  rate</w:t>
            </w:r>
            <w:proofErr w:type="gramEnd"/>
            <w:r w:rsidRPr="00165A84">
              <w:rPr>
                <w:sz w:val="18"/>
                <w:szCs w:val="18"/>
              </w:rPr>
              <w:t xml:space="preserve"> </w:t>
            </w:r>
            <w:r w:rsidR="00BF315B">
              <w:rPr>
                <w:sz w:val="18"/>
                <w:szCs w:val="18"/>
              </w:rPr>
              <w:t xml:space="preserve">for Jefferson </w:t>
            </w:r>
            <w:r w:rsidRPr="00165A84">
              <w:rPr>
                <w:sz w:val="18"/>
                <w:szCs w:val="18"/>
              </w:rPr>
              <w:t>Parish; therefore the number of prevalent individuals for Jefferson Parish is estimated by  subtracting the Metropolitan prevalence number for the Greater New Orleans prevalence number.</w:t>
            </w:r>
          </w:p>
          <w:p w14:paraId="7324DD3E" w14:textId="4F017F21" w:rsidR="00165A84" w:rsidRPr="00165A8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3619E388" w14:textId="1A3A9B3F" w:rsidR="00165A84" w:rsidRDefault="00165A84" w:rsidP="001549F4"/>
    <w:p w14:paraId="55627443" w14:textId="3D1306E8" w:rsidR="00165A84" w:rsidRDefault="00165A84">
      <w:r>
        <w:br w:type="page"/>
      </w:r>
    </w:p>
    <w:p w14:paraId="1DFCC095" w14:textId="3EEB2FD5" w:rsidR="00165A84" w:rsidRDefault="00165A84" w:rsidP="00130E39">
      <w:pPr>
        <w:pStyle w:val="ListParagraph"/>
        <w:numPr>
          <w:ilvl w:val="0"/>
          <w:numId w:val="7"/>
        </w:numPr>
      </w:pPr>
      <w:bookmarkStart w:id="12" w:name="_Hlk58488583"/>
      <w:r w:rsidRPr="00165A84">
        <w:lastRenderedPageBreak/>
        <w:t xml:space="preserve">Heroin Use in the </w:t>
      </w:r>
      <w:r w:rsidRPr="00130E39">
        <w:rPr>
          <w:i/>
          <w:iCs/>
        </w:rPr>
        <w:t>Past Year</w:t>
      </w:r>
    </w:p>
    <w:bookmarkEnd w:id="12"/>
    <w:p w14:paraId="13C9010E" w14:textId="213A30FB" w:rsidR="00165A84" w:rsidRDefault="00165A8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165A84" w:rsidRPr="00165A84" w14:paraId="02607E91" w14:textId="77777777" w:rsidTr="00165A8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9F04A56" w14:textId="77777777" w:rsidR="00165A84" w:rsidRPr="00165A84" w:rsidRDefault="00165A84" w:rsidP="00165A84">
            <w:pPr>
              <w:jc w:val="center"/>
              <w:rPr>
                <w:b/>
                <w:bCs/>
                <w:sz w:val="20"/>
              </w:rPr>
            </w:pPr>
            <w:r w:rsidRPr="00165A84">
              <w:rPr>
                <w:b/>
                <w:bCs/>
                <w:sz w:val="20"/>
              </w:rPr>
              <w:t xml:space="preserve">Heroin Use in the </w:t>
            </w:r>
            <w:r w:rsidRPr="00165A84">
              <w:rPr>
                <w:b/>
                <w:bCs/>
                <w:i/>
                <w:iCs/>
                <w:sz w:val="20"/>
                <w:u w:val="single"/>
              </w:rPr>
              <w:t>Past Year</w:t>
            </w:r>
            <w:r w:rsidRPr="00165A84">
              <w:rPr>
                <w:b/>
                <w:bCs/>
                <w:sz w:val="20"/>
              </w:rPr>
              <w:t xml:space="preserve"> by Age Group Among Residents of</w:t>
            </w:r>
            <w:r w:rsidRPr="00165A84">
              <w:rPr>
                <w:b/>
                <w:bCs/>
                <w:sz w:val="20"/>
              </w:rPr>
              <w:br/>
              <w:t>Greater New Orleans Parishes and Statewide, 2019*</w:t>
            </w:r>
          </w:p>
        </w:tc>
      </w:tr>
      <w:tr w:rsidR="00165A84" w:rsidRPr="00165A84" w14:paraId="79E26FFB" w14:textId="77777777" w:rsidTr="00165A8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AE440D0" w14:textId="77777777" w:rsidR="00165A84" w:rsidRPr="00165A84" w:rsidRDefault="00165A84" w:rsidP="00165A84">
            <w:pPr>
              <w:jc w:val="center"/>
              <w:rPr>
                <w:sz w:val="20"/>
              </w:rPr>
            </w:pPr>
            <w:r w:rsidRPr="00165A8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319757FD" w14:textId="680F91F3" w:rsidR="00165A84" w:rsidRPr="00165A84" w:rsidRDefault="00165A84" w:rsidP="00165A84">
            <w:pPr>
              <w:jc w:val="center"/>
              <w:rPr>
                <w:sz w:val="20"/>
              </w:rPr>
            </w:pPr>
            <w:r w:rsidRPr="00165A8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16174906" w14:textId="77777777" w:rsidR="00165A84" w:rsidRPr="00165A84" w:rsidRDefault="00165A84" w:rsidP="00165A84">
            <w:pPr>
              <w:jc w:val="center"/>
              <w:rPr>
                <w:sz w:val="20"/>
              </w:rPr>
            </w:pPr>
            <w:r w:rsidRPr="00165A8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165922EE" w14:textId="77777777" w:rsidR="00165A84" w:rsidRPr="00165A84" w:rsidRDefault="00165A84" w:rsidP="00165A84">
            <w:pPr>
              <w:jc w:val="center"/>
              <w:rPr>
                <w:sz w:val="20"/>
              </w:rPr>
            </w:pPr>
            <w:r w:rsidRPr="00165A84">
              <w:rPr>
                <w:sz w:val="20"/>
              </w:rPr>
              <w:t>Metro-</w:t>
            </w:r>
            <w:proofErr w:type="spellStart"/>
            <w:r w:rsidRPr="00165A84">
              <w:rPr>
                <w:sz w:val="20"/>
              </w:rPr>
              <w:t>politan</w:t>
            </w:r>
            <w:proofErr w:type="spellEnd"/>
            <w:r w:rsidRPr="00165A8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749DBD54" w14:textId="77777777" w:rsidR="00165A84" w:rsidRPr="00165A84" w:rsidRDefault="00165A84" w:rsidP="00165A84">
            <w:pPr>
              <w:jc w:val="center"/>
              <w:rPr>
                <w:sz w:val="20"/>
              </w:rPr>
            </w:pPr>
            <w:r w:rsidRPr="00165A8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62753A8C" w14:textId="77777777" w:rsidR="00165A84" w:rsidRPr="00165A84" w:rsidRDefault="00165A84" w:rsidP="00165A84">
            <w:pPr>
              <w:jc w:val="center"/>
              <w:rPr>
                <w:sz w:val="20"/>
              </w:rPr>
            </w:pPr>
            <w:r w:rsidRPr="00165A8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4653F097" w14:textId="77777777" w:rsidR="00165A84" w:rsidRPr="00165A84" w:rsidRDefault="00165A84" w:rsidP="00165A84">
            <w:pPr>
              <w:jc w:val="center"/>
              <w:rPr>
                <w:sz w:val="20"/>
              </w:rPr>
            </w:pPr>
            <w:r w:rsidRPr="00165A8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1D41A1A1" w14:textId="77777777" w:rsidR="00165A84" w:rsidRPr="00165A84" w:rsidRDefault="00165A84" w:rsidP="00165A84">
            <w:pPr>
              <w:jc w:val="center"/>
              <w:rPr>
                <w:sz w:val="20"/>
              </w:rPr>
            </w:pPr>
            <w:r w:rsidRPr="00165A84">
              <w:rPr>
                <w:sz w:val="20"/>
              </w:rPr>
              <w:t>Jefferson Parish HSA</w:t>
            </w:r>
          </w:p>
        </w:tc>
      </w:tr>
      <w:tr w:rsidR="00165A84" w:rsidRPr="00165A84" w14:paraId="3D18F242"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7EEEEFDC" w14:textId="77777777" w:rsidR="00165A84" w:rsidRPr="00165A84" w:rsidRDefault="00165A84" w:rsidP="00165A84">
            <w:pPr>
              <w:rPr>
                <w:sz w:val="20"/>
              </w:rPr>
            </w:pPr>
            <w:r w:rsidRPr="00165A8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2F74B88B" w14:textId="6F02E59C"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BD87C72" w14:textId="5D2F85E2"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B2AF3FD" w14:textId="033024D1"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9DEEAD5" w14:textId="6901271C"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7E3B083" w14:textId="6C465E6C"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24F78834" w14:textId="62A152BD"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730FAF9" w14:textId="61F00017" w:rsidR="00165A84" w:rsidRPr="00165A84" w:rsidRDefault="00165A84" w:rsidP="00165A84">
            <w:pPr>
              <w:rPr>
                <w:sz w:val="20"/>
              </w:rPr>
            </w:pPr>
          </w:p>
        </w:tc>
      </w:tr>
      <w:tr w:rsidR="00165A84" w:rsidRPr="00165A84" w14:paraId="55739AC4"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0112929D"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08F5332" w14:textId="77777777" w:rsidR="00165A84" w:rsidRPr="00165A84" w:rsidRDefault="00165A84" w:rsidP="00165A84">
            <w:pPr>
              <w:jc w:val="right"/>
              <w:rPr>
                <w:sz w:val="20"/>
              </w:rPr>
            </w:pPr>
            <w:r w:rsidRPr="00165A84">
              <w:rPr>
                <w:sz w:val="20"/>
              </w:rPr>
              <w:t>360,774</w:t>
            </w:r>
          </w:p>
        </w:tc>
        <w:tc>
          <w:tcPr>
            <w:tcW w:w="980" w:type="dxa"/>
            <w:tcBorders>
              <w:top w:val="nil"/>
              <w:left w:val="nil"/>
              <w:bottom w:val="nil"/>
              <w:right w:val="nil"/>
            </w:tcBorders>
            <w:shd w:val="clear" w:color="auto" w:fill="auto"/>
            <w:noWrap/>
            <w:vAlign w:val="bottom"/>
            <w:hideMark/>
          </w:tcPr>
          <w:p w14:paraId="55778DEA" w14:textId="77777777" w:rsidR="00165A84" w:rsidRPr="00165A84" w:rsidRDefault="00165A84" w:rsidP="00165A84">
            <w:pPr>
              <w:jc w:val="right"/>
              <w:rPr>
                <w:sz w:val="20"/>
              </w:rPr>
            </w:pPr>
            <w:r w:rsidRPr="00165A8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668C2CC3" w14:textId="77777777" w:rsidR="00165A84" w:rsidRPr="00165A84" w:rsidRDefault="00165A84" w:rsidP="00165A84">
            <w:pPr>
              <w:jc w:val="right"/>
              <w:rPr>
                <w:sz w:val="20"/>
              </w:rPr>
            </w:pPr>
            <w:r w:rsidRPr="00165A84">
              <w:rPr>
                <w:sz w:val="20"/>
              </w:rPr>
              <w:t>30,822</w:t>
            </w:r>
          </w:p>
        </w:tc>
        <w:tc>
          <w:tcPr>
            <w:tcW w:w="980" w:type="dxa"/>
            <w:tcBorders>
              <w:top w:val="nil"/>
              <w:left w:val="nil"/>
              <w:bottom w:val="nil"/>
              <w:right w:val="nil"/>
            </w:tcBorders>
            <w:shd w:val="clear" w:color="auto" w:fill="auto"/>
            <w:noWrap/>
            <w:vAlign w:val="bottom"/>
            <w:hideMark/>
          </w:tcPr>
          <w:p w14:paraId="2A9E1E1E" w14:textId="77777777" w:rsidR="00165A84" w:rsidRPr="00165A84" w:rsidRDefault="00165A84" w:rsidP="00165A84">
            <w:pPr>
              <w:jc w:val="right"/>
              <w:rPr>
                <w:sz w:val="20"/>
              </w:rPr>
            </w:pPr>
            <w:r w:rsidRPr="00165A8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0EF6203F" w14:textId="77777777" w:rsidR="00165A84" w:rsidRPr="00165A84" w:rsidRDefault="00165A84" w:rsidP="00165A84">
            <w:pPr>
              <w:jc w:val="right"/>
              <w:rPr>
                <w:sz w:val="20"/>
              </w:rPr>
            </w:pPr>
            <w:r w:rsidRPr="00165A84">
              <w:rPr>
                <w:sz w:val="20"/>
              </w:rPr>
              <w:t>2,081</w:t>
            </w:r>
          </w:p>
        </w:tc>
        <w:tc>
          <w:tcPr>
            <w:tcW w:w="980" w:type="dxa"/>
            <w:tcBorders>
              <w:top w:val="nil"/>
              <w:left w:val="nil"/>
              <w:bottom w:val="nil"/>
              <w:right w:val="single" w:sz="4" w:space="0" w:color="auto"/>
            </w:tcBorders>
            <w:shd w:val="clear" w:color="auto" w:fill="auto"/>
            <w:noWrap/>
            <w:vAlign w:val="bottom"/>
            <w:hideMark/>
          </w:tcPr>
          <w:p w14:paraId="133FBEF8" w14:textId="77777777" w:rsidR="00165A84" w:rsidRPr="00165A84" w:rsidRDefault="00165A84" w:rsidP="00165A84">
            <w:pPr>
              <w:jc w:val="right"/>
              <w:rPr>
                <w:sz w:val="20"/>
              </w:rPr>
            </w:pPr>
            <w:r w:rsidRPr="00165A84">
              <w:rPr>
                <w:sz w:val="20"/>
              </w:rPr>
              <w:t>4,044</w:t>
            </w:r>
          </w:p>
        </w:tc>
        <w:tc>
          <w:tcPr>
            <w:tcW w:w="980" w:type="dxa"/>
            <w:tcBorders>
              <w:top w:val="nil"/>
              <w:left w:val="nil"/>
              <w:bottom w:val="nil"/>
              <w:right w:val="single" w:sz="4" w:space="0" w:color="auto"/>
            </w:tcBorders>
            <w:shd w:val="clear" w:color="auto" w:fill="auto"/>
            <w:noWrap/>
            <w:vAlign w:val="bottom"/>
            <w:hideMark/>
          </w:tcPr>
          <w:p w14:paraId="0F8DFEC6" w14:textId="77777777" w:rsidR="00165A84" w:rsidRPr="00165A84" w:rsidRDefault="00165A84" w:rsidP="00165A84">
            <w:pPr>
              <w:jc w:val="right"/>
              <w:rPr>
                <w:sz w:val="20"/>
              </w:rPr>
            </w:pPr>
            <w:r w:rsidRPr="00165A84">
              <w:rPr>
                <w:sz w:val="20"/>
              </w:rPr>
              <w:t>30,385</w:t>
            </w:r>
          </w:p>
        </w:tc>
      </w:tr>
      <w:tr w:rsidR="00165A84" w:rsidRPr="00165A84" w14:paraId="7F586CF2"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F052AD1" w14:textId="6DE8EB8E" w:rsidR="00165A84" w:rsidRPr="00165A84" w:rsidRDefault="00165A84" w:rsidP="00165A84">
            <w:pPr>
              <w:rPr>
                <w:sz w:val="20"/>
              </w:rPr>
            </w:pPr>
            <w:r w:rsidRPr="00165A8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1448770F" w14:textId="77777777" w:rsidR="00165A84" w:rsidRPr="00165A84" w:rsidRDefault="00165A84" w:rsidP="00165A84">
            <w:pPr>
              <w:jc w:val="right"/>
              <w:rPr>
                <w:sz w:val="20"/>
              </w:rPr>
            </w:pPr>
            <w:r w:rsidRPr="00165A84">
              <w:rPr>
                <w:sz w:val="20"/>
              </w:rPr>
              <w:t>0.04%</w:t>
            </w:r>
          </w:p>
        </w:tc>
        <w:tc>
          <w:tcPr>
            <w:tcW w:w="980" w:type="dxa"/>
            <w:tcBorders>
              <w:top w:val="nil"/>
              <w:left w:val="nil"/>
              <w:bottom w:val="nil"/>
              <w:right w:val="single" w:sz="4" w:space="0" w:color="auto"/>
            </w:tcBorders>
            <w:shd w:val="clear" w:color="000000" w:fill="FFD85B"/>
            <w:noWrap/>
            <w:vAlign w:val="bottom"/>
            <w:hideMark/>
          </w:tcPr>
          <w:p w14:paraId="3B0C39D7"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5F13BA35"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12DB5993"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04081979"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45C5EBDB"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54F6138A" w14:textId="77777777" w:rsidR="00165A84" w:rsidRPr="00165A84" w:rsidRDefault="00165A84" w:rsidP="00165A84">
            <w:pPr>
              <w:jc w:val="center"/>
              <w:rPr>
                <w:sz w:val="20"/>
              </w:rPr>
            </w:pPr>
            <w:r w:rsidRPr="00165A84">
              <w:rPr>
                <w:sz w:val="20"/>
              </w:rPr>
              <w:t>***</w:t>
            </w:r>
          </w:p>
        </w:tc>
      </w:tr>
      <w:tr w:rsidR="00165A84" w:rsidRPr="00165A84" w14:paraId="4C993880"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E587B9E"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38B5868" w14:textId="16068C56" w:rsidR="00165A84" w:rsidRPr="00165A84" w:rsidRDefault="00165A84" w:rsidP="00165A84">
            <w:pPr>
              <w:rPr>
                <w:sz w:val="20"/>
              </w:rPr>
            </w:pPr>
            <w:r w:rsidRPr="00165A84">
              <w:rPr>
                <w:sz w:val="20"/>
              </w:rPr>
              <w:t>153</w:t>
            </w:r>
          </w:p>
        </w:tc>
        <w:tc>
          <w:tcPr>
            <w:tcW w:w="980" w:type="dxa"/>
            <w:tcBorders>
              <w:top w:val="nil"/>
              <w:left w:val="nil"/>
              <w:bottom w:val="nil"/>
              <w:right w:val="single" w:sz="4" w:space="0" w:color="auto"/>
            </w:tcBorders>
            <w:shd w:val="clear" w:color="000000" w:fill="FFD85B"/>
            <w:noWrap/>
            <w:vAlign w:val="bottom"/>
            <w:hideMark/>
          </w:tcPr>
          <w:p w14:paraId="33CB58EF"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1B1FA9C9"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8C13925"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17BA11F7"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584FFC2F"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0F8A6D8B" w14:textId="77777777" w:rsidR="00165A84" w:rsidRPr="00165A84" w:rsidRDefault="00165A84" w:rsidP="00165A84">
            <w:pPr>
              <w:jc w:val="center"/>
              <w:rPr>
                <w:sz w:val="20"/>
              </w:rPr>
            </w:pPr>
            <w:r w:rsidRPr="00165A84">
              <w:rPr>
                <w:sz w:val="20"/>
              </w:rPr>
              <w:t>***</w:t>
            </w:r>
          </w:p>
        </w:tc>
      </w:tr>
      <w:tr w:rsidR="00165A84" w:rsidRPr="00165A84" w14:paraId="1283138A"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2D195986" w14:textId="77777777" w:rsidR="00165A84" w:rsidRPr="00165A84" w:rsidRDefault="00165A84" w:rsidP="00165A84">
            <w:pPr>
              <w:rPr>
                <w:sz w:val="20"/>
              </w:rPr>
            </w:pPr>
            <w:r w:rsidRPr="00165A8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408C270C" w14:textId="14428441"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5BC2C821"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A8492D9" w14:textId="56D87041"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B026826"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6624110" w14:textId="485741C2"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5266D2AF" w14:textId="568288A4"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4DAD758A" w14:textId="68C0DB42" w:rsidR="00165A84" w:rsidRPr="00165A84" w:rsidRDefault="00165A84" w:rsidP="00165A84">
            <w:pPr>
              <w:rPr>
                <w:sz w:val="20"/>
              </w:rPr>
            </w:pPr>
          </w:p>
        </w:tc>
      </w:tr>
      <w:tr w:rsidR="00165A84" w:rsidRPr="00165A84" w14:paraId="307D0113"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99157E5"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67E5BFF6" w14:textId="77777777" w:rsidR="00165A84" w:rsidRPr="00165A84" w:rsidRDefault="00165A84" w:rsidP="00165A84">
            <w:pPr>
              <w:jc w:val="right"/>
              <w:rPr>
                <w:sz w:val="20"/>
              </w:rPr>
            </w:pPr>
            <w:r w:rsidRPr="00165A84">
              <w:rPr>
                <w:sz w:val="20"/>
              </w:rPr>
              <w:t>483,697</w:t>
            </w:r>
          </w:p>
        </w:tc>
        <w:tc>
          <w:tcPr>
            <w:tcW w:w="980" w:type="dxa"/>
            <w:tcBorders>
              <w:top w:val="nil"/>
              <w:left w:val="nil"/>
              <w:bottom w:val="nil"/>
              <w:right w:val="nil"/>
            </w:tcBorders>
            <w:shd w:val="clear" w:color="auto" w:fill="auto"/>
            <w:noWrap/>
            <w:vAlign w:val="bottom"/>
            <w:hideMark/>
          </w:tcPr>
          <w:p w14:paraId="74021D0D" w14:textId="77777777" w:rsidR="00165A84" w:rsidRPr="00165A84" w:rsidRDefault="00165A84" w:rsidP="00165A84">
            <w:pPr>
              <w:jc w:val="right"/>
              <w:rPr>
                <w:sz w:val="20"/>
              </w:rPr>
            </w:pPr>
            <w:r w:rsidRPr="00165A8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10217004" w14:textId="77777777" w:rsidR="00165A84" w:rsidRPr="00165A84" w:rsidRDefault="00165A84" w:rsidP="00165A84">
            <w:pPr>
              <w:jc w:val="right"/>
              <w:rPr>
                <w:sz w:val="20"/>
              </w:rPr>
            </w:pPr>
            <w:r w:rsidRPr="00165A84">
              <w:rPr>
                <w:sz w:val="20"/>
              </w:rPr>
              <w:t>44,790</w:t>
            </w:r>
          </w:p>
        </w:tc>
        <w:tc>
          <w:tcPr>
            <w:tcW w:w="980" w:type="dxa"/>
            <w:tcBorders>
              <w:top w:val="nil"/>
              <w:left w:val="nil"/>
              <w:bottom w:val="nil"/>
              <w:right w:val="nil"/>
            </w:tcBorders>
            <w:shd w:val="clear" w:color="auto" w:fill="auto"/>
            <w:noWrap/>
            <w:vAlign w:val="bottom"/>
            <w:hideMark/>
          </w:tcPr>
          <w:p w14:paraId="6DD2F954" w14:textId="77777777" w:rsidR="00165A84" w:rsidRPr="00165A84" w:rsidRDefault="00165A84" w:rsidP="00165A84">
            <w:pPr>
              <w:jc w:val="right"/>
              <w:rPr>
                <w:sz w:val="20"/>
              </w:rPr>
            </w:pPr>
            <w:r w:rsidRPr="00165A8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51B40E57" w14:textId="77777777" w:rsidR="00165A84" w:rsidRPr="00165A84" w:rsidRDefault="00165A84" w:rsidP="00165A84">
            <w:pPr>
              <w:jc w:val="right"/>
              <w:rPr>
                <w:sz w:val="20"/>
              </w:rPr>
            </w:pPr>
            <w:r w:rsidRPr="00165A84">
              <w:rPr>
                <w:sz w:val="20"/>
              </w:rPr>
              <w:t>2,265</w:t>
            </w:r>
          </w:p>
        </w:tc>
        <w:tc>
          <w:tcPr>
            <w:tcW w:w="980" w:type="dxa"/>
            <w:tcBorders>
              <w:top w:val="nil"/>
              <w:left w:val="nil"/>
              <w:bottom w:val="nil"/>
              <w:right w:val="single" w:sz="4" w:space="0" w:color="auto"/>
            </w:tcBorders>
            <w:shd w:val="clear" w:color="auto" w:fill="auto"/>
            <w:noWrap/>
            <w:vAlign w:val="bottom"/>
            <w:hideMark/>
          </w:tcPr>
          <w:p w14:paraId="0396FF25" w14:textId="77777777" w:rsidR="00165A84" w:rsidRPr="00165A84" w:rsidRDefault="00165A84" w:rsidP="00165A84">
            <w:pPr>
              <w:jc w:val="right"/>
              <w:rPr>
                <w:sz w:val="20"/>
              </w:rPr>
            </w:pPr>
            <w:r w:rsidRPr="00165A84">
              <w:rPr>
                <w:sz w:val="20"/>
              </w:rPr>
              <w:t>4,133</w:t>
            </w:r>
          </w:p>
        </w:tc>
        <w:tc>
          <w:tcPr>
            <w:tcW w:w="980" w:type="dxa"/>
            <w:tcBorders>
              <w:top w:val="nil"/>
              <w:left w:val="nil"/>
              <w:bottom w:val="nil"/>
              <w:right w:val="single" w:sz="4" w:space="0" w:color="auto"/>
            </w:tcBorders>
            <w:shd w:val="clear" w:color="auto" w:fill="auto"/>
            <w:noWrap/>
            <w:vAlign w:val="bottom"/>
            <w:hideMark/>
          </w:tcPr>
          <w:p w14:paraId="52C6D242" w14:textId="77777777" w:rsidR="00165A84" w:rsidRPr="00165A84" w:rsidRDefault="00165A84" w:rsidP="00165A84">
            <w:pPr>
              <w:jc w:val="right"/>
              <w:rPr>
                <w:sz w:val="20"/>
              </w:rPr>
            </w:pPr>
            <w:r w:rsidRPr="00165A84">
              <w:rPr>
                <w:sz w:val="20"/>
              </w:rPr>
              <w:t>37,617</w:t>
            </w:r>
          </w:p>
        </w:tc>
      </w:tr>
      <w:tr w:rsidR="00165A84" w:rsidRPr="00165A84" w14:paraId="268AC4D5"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69EFA3D"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BF2C2CF" w14:textId="77777777" w:rsidR="00165A84" w:rsidRPr="00165A84" w:rsidRDefault="00165A84" w:rsidP="00165A84">
            <w:pPr>
              <w:jc w:val="right"/>
              <w:rPr>
                <w:sz w:val="20"/>
              </w:rPr>
            </w:pPr>
            <w:r w:rsidRPr="00165A84">
              <w:rPr>
                <w:sz w:val="20"/>
              </w:rPr>
              <w:t>0.34%</w:t>
            </w:r>
          </w:p>
        </w:tc>
        <w:tc>
          <w:tcPr>
            <w:tcW w:w="980" w:type="dxa"/>
            <w:tcBorders>
              <w:top w:val="nil"/>
              <w:left w:val="nil"/>
              <w:bottom w:val="nil"/>
              <w:right w:val="single" w:sz="4" w:space="0" w:color="auto"/>
            </w:tcBorders>
            <w:shd w:val="clear" w:color="000000" w:fill="FFD85B"/>
            <w:noWrap/>
            <w:vAlign w:val="bottom"/>
            <w:hideMark/>
          </w:tcPr>
          <w:p w14:paraId="0B287870"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AA1101E"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7FF427E9"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54AC0DC1"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798858B"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1481CEE" w14:textId="77777777" w:rsidR="00165A84" w:rsidRPr="00165A84" w:rsidRDefault="00165A84" w:rsidP="00165A84">
            <w:pPr>
              <w:jc w:val="center"/>
              <w:rPr>
                <w:sz w:val="20"/>
              </w:rPr>
            </w:pPr>
            <w:r w:rsidRPr="00165A84">
              <w:rPr>
                <w:sz w:val="20"/>
              </w:rPr>
              <w:t>***</w:t>
            </w:r>
          </w:p>
        </w:tc>
      </w:tr>
      <w:tr w:rsidR="00165A84" w:rsidRPr="00165A84" w14:paraId="2BD3FC8A"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4ADE836"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EB22860" w14:textId="672124B3" w:rsidR="00165A84" w:rsidRPr="00165A84" w:rsidRDefault="00165A84" w:rsidP="00165A84">
            <w:pPr>
              <w:rPr>
                <w:sz w:val="20"/>
              </w:rPr>
            </w:pPr>
            <w:r w:rsidRPr="00165A84">
              <w:rPr>
                <w:sz w:val="20"/>
              </w:rPr>
              <w:t>1,630</w:t>
            </w:r>
          </w:p>
        </w:tc>
        <w:tc>
          <w:tcPr>
            <w:tcW w:w="980" w:type="dxa"/>
            <w:tcBorders>
              <w:top w:val="nil"/>
              <w:left w:val="nil"/>
              <w:bottom w:val="nil"/>
              <w:right w:val="single" w:sz="4" w:space="0" w:color="auto"/>
            </w:tcBorders>
            <w:shd w:val="clear" w:color="000000" w:fill="FFD85B"/>
            <w:noWrap/>
            <w:vAlign w:val="bottom"/>
            <w:hideMark/>
          </w:tcPr>
          <w:p w14:paraId="63C3ACA9"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4C3BBAA"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440354A8"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4ED37A16"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21FF7BA8" w14:textId="77777777" w:rsidR="00165A84" w:rsidRPr="00165A84" w:rsidRDefault="00165A84" w:rsidP="00165A84">
            <w:pPr>
              <w:jc w:val="center"/>
              <w:rPr>
                <w:sz w:val="20"/>
              </w:rPr>
            </w:pPr>
            <w:r w:rsidRPr="00165A84">
              <w:rPr>
                <w:sz w:val="20"/>
              </w:rPr>
              <w:t>***</w:t>
            </w:r>
          </w:p>
        </w:tc>
        <w:tc>
          <w:tcPr>
            <w:tcW w:w="980" w:type="dxa"/>
            <w:tcBorders>
              <w:top w:val="nil"/>
              <w:left w:val="nil"/>
              <w:bottom w:val="nil"/>
              <w:right w:val="single" w:sz="4" w:space="0" w:color="auto"/>
            </w:tcBorders>
            <w:shd w:val="clear" w:color="000000" w:fill="FFD85B"/>
            <w:noWrap/>
            <w:vAlign w:val="bottom"/>
            <w:hideMark/>
          </w:tcPr>
          <w:p w14:paraId="61379174" w14:textId="77777777" w:rsidR="00165A84" w:rsidRPr="00165A84" w:rsidRDefault="00165A84" w:rsidP="00165A84">
            <w:pPr>
              <w:jc w:val="center"/>
              <w:rPr>
                <w:sz w:val="20"/>
              </w:rPr>
            </w:pPr>
            <w:r w:rsidRPr="00165A84">
              <w:rPr>
                <w:sz w:val="20"/>
              </w:rPr>
              <w:t>***</w:t>
            </w:r>
          </w:p>
        </w:tc>
      </w:tr>
      <w:tr w:rsidR="00165A84" w:rsidRPr="00165A84" w14:paraId="0E3617A1" w14:textId="77777777" w:rsidTr="00165A8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7E8BF519" w14:textId="01B150E3" w:rsidR="00165A84" w:rsidRPr="00165A84" w:rsidRDefault="00165A84" w:rsidP="00165A84">
            <w:pPr>
              <w:rPr>
                <w:sz w:val="20"/>
              </w:rPr>
            </w:pPr>
            <w:r w:rsidRPr="00165A84">
              <w:rPr>
                <w:sz w:val="20"/>
              </w:rPr>
              <w:t xml:space="preserve">Older Adults </w:t>
            </w:r>
            <w:r w:rsidR="00240C80">
              <w:rPr>
                <w:sz w:val="20"/>
              </w:rPr>
              <w:t>26+</w:t>
            </w:r>
            <w:r w:rsidRPr="00165A8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5A46BE69" w14:textId="7D89D505" w:rsidR="00165A84" w:rsidRPr="00165A84" w:rsidRDefault="00165A84" w:rsidP="00165A84">
            <w:pPr>
              <w:rPr>
                <w:sz w:val="20"/>
              </w:rPr>
            </w:pPr>
          </w:p>
        </w:tc>
        <w:tc>
          <w:tcPr>
            <w:tcW w:w="980" w:type="dxa"/>
            <w:tcBorders>
              <w:top w:val="single" w:sz="4" w:space="0" w:color="auto"/>
              <w:left w:val="nil"/>
              <w:bottom w:val="nil"/>
              <w:right w:val="nil"/>
            </w:tcBorders>
            <w:shd w:val="clear" w:color="auto" w:fill="auto"/>
            <w:noWrap/>
            <w:vAlign w:val="bottom"/>
            <w:hideMark/>
          </w:tcPr>
          <w:p w14:paraId="6703A593" w14:textId="2BBE1388" w:rsidR="00165A84" w:rsidRPr="00165A84" w:rsidRDefault="00165A84" w:rsidP="00165A84">
            <w:pPr>
              <w:rPr>
                <w:sz w:val="2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14:paraId="11F3D3AB" w14:textId="360025D8" w:rsidR="00165A84" w:rsidRPr="00165A84" w:rsidRDefault="00165A84" w:rsidP="00165A84">
            <w:pPr>
              <w:rPr>
                <w:sz w:val="20"/>
              </w:rPr>
            </w:pPr>
          </w:p>
        </w:tc>
        <w:tc>
          <w:tcPr>
            <w:tcW w:w="980" w:type="dxa"/>
            <w:tcBorders>
              <w:top w:val="single" w:sz="4" w:space="0" w:color="auto"/>
              <w:left w:val="nil"/>
              <w:bottom w:val="nil"/>
              <w:right w:val="nil"/>
            </w:tcBorders>
            <w:shd w:val="clear" w:color="auto" w:fill="auto"/>
            <w:noWrap/>
            <w:vAlign w:val="bottom"/>
            <w:hideMark/>
          </w:tcPr>
          <w:p w14:paraId="520C03BD" w14:textId="3EB8965A" w:rsidR="00165A84" w:rsidRPr="00165A84" w:rsidRDefault="00165A84" w:rsidP="00165A84">
            <w:pPr>
              <w:rPr>
                <w:sz w:val="2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14:paraId="31F8417A" w14:textId="4A6CCE17" w:rsidR="00165A84" w:rsidRPr="00165A84" w:rsidRDefault="00165A84" w:rsidP="00165A84">
            <w:pPr>
              <w:rPr>
                <w:sz w:val="20"/>
              </w:rPr>
            </w:pPr>
          </w:p>
        </w:tc>
        <w:tc>
          <w:tcPr>
            <w:tcW w:w="980" w:type="dxa"/>
            <w:tcBorders>
              <w:top w:val="single" w:sz="4" w:space="0" w:color="auto"/>
              <w:left w:val="nil"/>
              <w:bottom w:val="nil"/>
              <w:right w:val="single" w:sz="4" w:space="0" w:color="auto"/>
            </w:tcBorders>
            <w:shd w:val="clear" w:color="auto" w:fill="auto"/>
            <w:noWrap/>
            <w:vAlign w:val="bottom"/>
            <w:hideMark/>
          </w:tcPr>
          <w:p w14:paraId="1BF4BAAB" w14:textId="4B2B2890" w:rsidR="00165A84" w:rsidRPr="00165A84" w:rsidRDefault="00165A84" w:rsidP="00165A84">
            <w:pPr>
              <w:rPr>
                <w:sz w:val="20"/>
              </w:rPr>
            </w:pPr>
          </w:p>
        </w:tc>
        <w:tc>
          <w:tcPr>
            <w:tcW w:w="980" w:type="dxa"/>
            <w:tcBorders>
              <w:top w:val="single" w:sz="4" w:space="0" w:color="auto"/>
              <w:left w:val="nil"/>
              <w:bottom w:val="nil"/>
              <w:right w:val="single" w:sz="4" w:space="0" w:color="auto"/>
            </w:tcBorders>
            <w:shd w:val="clear" w:color="auto" w:fill="auto"/>
            <w:noWrap/>
            <w:vAlign w:val="bottom"/>
            <w:hideMark/>
          </w:tcPr>
          <w:p w14:paraId="16A9E154" w14:textId="51BFFED8" w:rsidR="00165A84" w:rsidRPr="00165A84" w:rsidRDefault="00165A84" w:rsidP="00165A84">
            <w:pPr>
              <w:rPr>
                <w:sz w:val="20"/>
              </w:rPr>
            </w:pPr>
          </w:p>
        </w:tc>
      </w:tr>
      <w:tr w:rsidR="00165A84" w:rsidRPr="00165A84" w14:paraId="64ABE050"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4C35333C"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FFB6408" w14:textId="77777777" w:rsidR="00165A84" w:rsidRPr="00165A84" w:rsidRDefault="00165A84" w:rsidP="00165A84">
            <w:pPr>
              <w:jc w:val="right"/>
              <w:rPr>
                <w:sz w:val="20"/>
              </w:rPr>
            </w:pPr>
            <w:r w:rsidRPr="00165A84">
              <w:rPr>
                <w:sz w:val="20"/>
              </w:rPr>
              <w:t>3,077,467</w:t>
            </w:r>
          </w:p>
        </w:tc>
        <w:tc>
          <w:tcPr>
            <w:tcW w:w="980" w:type="dxa"/>
            <w:tcBorders>
              <w:top w:val="nil"/>
              <w:left w:val="nil"/>
              <w:bottom w:val="nil"/>
              <w:right w:val="nil"/>
            </w:tcBorders>
            <w:shd w:val="clear" w:color="auto" w:fill="auto"/>
            <w:noWrap/>
            <w:vAlign w:val="bottom"/>
            <w:hideMark/>
          </w:tcPr>
          <w:p w14:paraId="5A395B93" w14:textId="77777777" w:rsidR="00165A84" w:rsidRPr="00165A84" w:rsidRDefault="00165A84" w:rsidP="00165A84">
            <w:pPr>
              <w:jc w:val="right"/>
              <w:rPr>
                <w:sz w:val="20"/>
              </w:rPr>
            </w:pPr>
            <w:r w:rsidRPr="00165A8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657AF9FB" w14:textId="77777777" w:rsidR="00165A84" w:rsidRPr="00165A84" w:rsidRDefault="00165A84" w:rsidP="00165A84">
            <w:pPr>
              <w:jc w:val="right"/>
              <w:rPr>
                <w:sz w:val="20"/>
              </w:rPr>
            </w:pPr>
            <w:r w:rsidRPr="00165A84">
              <w:rPr>
                <w:sz w:val="20"/>
              </w:rPr>
              <w:t>320,039</w:t>
            </w:r>
          </w:p>
        </w:tc>
        <w:tc>
          <w:tcPr>
            <w:tcW w:w="980" w:type="dxa"/>
            <w:tcBorders>
              <w:top w:val="nil"/>
              <w:left w:val="nil"/>
              <w:bottom w:val="nil"/>
              <w:right w:val="nil"/>
            </w:tcBorders>
            <w:shd w:val="clear" w:color="auto" w:fill="auto"/>
            <w:noWrap/>
            <w:vAlign w:val="bottom"/>
            <w:hideMark/>
          </w:tcPr>
          <w:p w14:paraId="39D4FB62" w14:textId="77777777" w:rsidR="00165A84" w:rsidRPr="00165A84" w:rsidRDefault="00165A84" w:rsidP="00165A84">
            <w:pPr>
              <w:jc w:val="right"/>
              <w:rPr>
                <w:sz w:val="20"/>
              </w:rPr>
            </w:pPr>
            <w:r w:rsidRPr="00165A8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3ABCB957" w14:textId="77777777" w:rsidR="00165A84" w:rsidRPr="00165A84" w:rsidRDefault="00165A84" w:rsidP="00165A84">
            <w:pPr>
              <w:jc w:val="right"/>
              <w:rPr>
                <w:sz w:val="20"/>
              </w:rPr>
            </w:pPr>
            <w:r w:rsidRPr="00165A84">
              <w:rPr>
                <w:sz w:val="20"/>
              </w:rPr>
              <w:t>14,956</w:t>
            </w:r>
          </w:p>
        </w:tc>
        <w:tc>
          <w:tcPr>
            <w:tcW w:w="980" w:type="dxa"/>
            <w:tcBorders>
              <w:top w:val="nil"/>
              <w:left w:val="nil"/>
              <w:bottom w:val="nil"/>
              <w:right w:val="single" w:sz="4" w:space="0" w:color="auto"/>
            </w:tcBorders>
            <w:shd w:val="clear" w:color="auto" w:fill="auto"/>
            <w:noWrap/>
            <w:vAlign w:val="bottom"/>
            <w:hideMark/>
          </w:tcPr>
          <w:p w14:paraId="751F172B" w14:textId="77777777" w:rsidR="00165A84" w:rsidRPr="00165A84" w:rsidRDefault="00165A84" w:rsidP="00165A84">
            <w:pPr>
              <w:jc w:val="right"/>
              <w:rPr>
                <w:sz w:val="20"/>
              </w:rPr>
            </w:pPr>
            <w:r w:rsidRPr="00165A84">
              <w:rPr>
                <w:sz w:val="20"/>
              </w:rPr>
              <w:t>30,611</w:t>
            </w:r>
          </w:p>
        </w:tc>
        <w:tc>
          <w:tcPr>
            <w:tcW w:w="980" w:type="dxa"/>
            <w:tcBorders>
              <w:top w:val="nil"/>
              <w:left w:val="nil"/>
              <w:bottom w:val="nil"/>
              <w:right w:val="single" w:sz="4" w:space="0" w:color="auto"/>
            </w:tcBorders>
            <w:shd w:val="clear" w:color="auto" w:fill="auto"/>
            <w:noWrap/>
            <w:vAlign w:val="bottom"/>
            <w:hideMark/>
          </w:tcPr>
          <w:p w14:paraId="44C8C149" w14:textId="77777777" w:rsidR="00165A84" w:rsidRPr="00165A84" w:rsidRDefault="00165A84" w:rsidP="00165A84">
            <w:pPr>
              <w:jc w:val="right"/>
              <w:rPr>
                <w:sz w:val="20"/>
              </w:rPr>
            </w:pPr>
            <w:r w:rsidRPr="00165A84">
              <w:rPr>
                <w:sz w:val="20"/>
              </w:rPr>
              <w:t>299,579</w:t>
            </w:r>
          </w:p>
        </w:tc>
      </w:tr>
      <w:tr w:rsidR="00165A84" w:rsidRPr="00165A84" w14:paraId="2EB197A7"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0C95240" w14:textId="77777777" w:rsidR="00165A84" w:rsidRPr="00165A84" w:rsidRDefault="00165A84" w:rsidP="00165A84">
            <w:pPr>
              <w:rPr>
                <w:sz w:val="20"/>
              </w:rPr>
            </w:pPr>
            <w:r w:rsidRPr="00165A84">
              <w:rPr>
                <w:sz w:val="20"/>
              </w:rPr>
              <w:t xml:space="preserve">    Rate (%) </w:t>
            </w:r>
            <w:r w:rsidRPr="00165A84">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36653E63" w14:textId="77777777" w:rsidR="00165A84" w:rsidRPr="00165A84" w:rsidRDefault="00165A84" w:rsidP="00165A84">
            <w:pPr>
              <w:jc w:val="right"/>
              <w:rPr>
                <w:sz w:val="20"/>
              </w:rPr>
            </w:pPr>
            <w:r w:rsidRPr="00165A84">
              <w:rPr>
                <w:sz w:val="20"/>
              </w:rPr>
              <w:t>0.18%</w:t>
            </w:r>
          </w:p>
        </w:tc>
        <w:tc>
          <w:tcPr>
            <w:tcW w:w="980" w:type="dxa"/>
            <w:tcBorders>
              <w:top w:val="nil"/>
              <w:left w:val="nil"/>
              <w:bottom w:val="nil"/>
              <w:right w:val="single" w:sz="4" w:space="0" w:color="auto"/>
            </w:tcBorders>
            <w:shd w:val="clear" w:color="auto" w:fill="auto"/>
            <w:noWrap/>
            <w:vAlign w:val="bottom"/>
            <w:hideMark/>
          </w:tcPr>
          <w:p w14:paraId="65172D56" w14:textId="77777777" w:rsidR="00165A84" w:rsidRPr="00165A84" w:rsidRDefault="00165A84" w:rsidP="00165A84">
            <w:pPr>
              <w:jc w:val="right"/>
              <w:rPr>
                <w:sz w:val="20"/>
              </w:rPr>
            </w:pPr>
            <w:r w:rsidRPr="00165A84">
              <w:rPr>
                <w:sz w:val="20"/>
              </w:rPr>
              <w:t>0.23%</w:t>
            </w:r>
          </w:p>
        </w:tc>
        <w:tc>
          <w:tcPr>
            <w:tcW w:w="980" w:type="dxa"/>
            <w:tcBorders>
              <w:top w:val="nil"/>
              <w:left w:val="nil"/>
              <w:bottom w:val="nil"/>
              <w:right w:val="single" w:sz="4" w:space="0" w:color="auto"/>
            </w:tcBorders>
            <w:shd w:val="clear" w:color="000000" w:fill="FFD85B"/>
            <w:noWrap/>
            <w:vAlign w:val="bottom"/>
            <w:hideMark/>
          </w:tcPr>
          <w:p w14:paraId="4533201F" w14:textId="77777777" w:rsidR="00165A84" w:rsidRPr="00165A84" w:rsidRDefault="00165A84" w:rsidP="00165A84">
            <w:pPr>
              <w:jc w:val="right"/>
              <w:rPr>
                <w:sz w:val="20"/>
              </w:rPr>
            </w:pPr>
            <w:r w:rsidRPr="00165A84">
              <w:rPr>
                <w:sz w:val="20"/>
              </w:rPr>
              <w:t>0.23%</w:t>
            </w:r>
          </w:p>
        </w:tc>
        <w:tc>
          <w:tcPr>
            <w:tcW w:w="980" w:type="dxa"/>
            <w:tcBorders>
              <w:top w:val="nil"/>
              <w:left w:val="nil"/>
              <w:bottom w:val="nil"/>
              <w:right w:val="nil"/>
            </w:tcBorders>
            <w:shd w:val="clear" w:color="000000" w:fill="FFD85B"/>
            <w:noWrap/>
            <w:vAlign w:val="bottom"/>
            <w:hideMark/>
          </w:tcPr>
          <w:p w14:paraId="556423F8" w14:textId="77777777" w:rsidR="00165A84" w:rsidRPr="00165A84" w:rsidRDefault="00165A84" w:rsidP="00165A84">
            <w:pPr>
              <w:jc w:val="right"/>
              <w:rPr>
                <w:sz w:val="20"/>
              </w:rPr>
            </w:pPr>
            <w:r w:rsidRPr="00165A84">
              <w:rPr>
                <w:sz w:val="20"/>
              </w:rPr>
              <w:t>0.23%</w:t>
            </w:r>
          </w:p>
        </w:tc>
        <w:tc>
          <w:tcPr>
            <w:tcW w:w="980" w:type="dxa"/>
            <w:tcBorders>
              <w:top w:val="nil"/>
              <w:left w:val="single" w:sz="4" w:space="0" w:color="auto"/>
              <w:bottom w:val="nil"/>
              <w:right w:val="single" w:sz="4" w:space="0" w:color="auto"/>
            </w:tcBorders>
            <w:shd w:val="clear" w:color="000000" w:fill="FFD85B"/>
            <w:noWrap/>
            <w:vAlign w:val="bottom"/>
            <w:hideMark/>
          </w:tcPr>
          <w:p w14:paraId="7DC4D1B5" w14:textId="77777777" w:rsidR="00165A84" w:rsidRPr="00165A84" w:rsidRDefault="00165A84" w:rsidP="00165A84">
            <w:pPr>
              <w:jc w:val="right"/>
              <w:rPr>
                <w:sz w:val="20"/>
              </w:rPr>
            </w:pPr>
            <w:r w:rsidRPr="00165A84">
              <w:rPr>
                <w:sz w:val="20"/>
              </w:rPr>
              <w:t>0.23%</w:t>
            </w:r>
          </w:p>
        </w:tc>
        <w:tc>
          <w:tcPr>
            <w:tcW w:w="980" w:type="dxa"/>
            <w:tcBorders>
              <w:top w:val="nil"/>
              <w:left w:val="nil"/>
              <w:bottom w:val="nil"/>
              <w:right w:val="single" w:sz="4" w:space="0" w:color="auto"/>
            </w:tcBorders>
            <w:shd w:val="clear" w:color="000000" w:fill="FFD85B"/>
            <w:noWrap/>
            <w:vAlign w:val="bottom"/>
            <w:hideMark/>
          </w:tcPr>
          <w:p w14:paraId="02AE0D2F" w14:textId="77777777" w:rsidR="00165A84" w:rsidRPr="00165A84" w:rsidRDefault="00165A84" w:rsidP="00165A84">
            <w:pPr>
              <w:jc w:val="right"/>
              <w:rPr>
                <w:sz w:val="20"/>
              </w:rPr>
            </w:pPr>
            <w:r w:rsidRPr="00165A84">
              <w:rPr>
                <w:sz w:val="20"/>
              </w:rPr>
              <w:t>0.23%</w:t>
            </w:r>
          </w:p>
        </w:tc>
        <w:tc>
          <w:tcPr>
            <w:tcW w:w="980" w:type="dxa"/>
            <w:tcBorders>
              <w:top w:val="nil"/>
              <w:left w:val="nil"/>
              <w:bottom w:val="nil"/>
              <w:right w:val="single" w:sz="4" w:space="0" w:color="auto"/>
            </w:tcBorders>
            <w:shd w:val="clear" w:color="000000" w:fill="FFD85B"/>
            <w:noWrap/>
            <w:vAlign w:val="bottom"/>
            <w:hideMark/>
          </w:tcPr>
          <w:p w14:paraId="6A3C846F" w14:textId="77777777" w:rsidR="00165A84" w:rsidRPr="00165A84" w:rsidRDefault="00165A84" w:rsidP="00165A84">
            <w:pPr>
              <w:jc w:val="right"/>
              <w:rPr>
                <w:sz w:val="20"/>
              </w:rPr>
            </w:pPr>
            <w:r w:rsidRPr="00165A84">
              <w:rPr>
                <w:sz w:val="20"/>
              </w:rPr>
              <w:t>0.23%</w:t>
            </w:r>
          </w:p>
        </w:tc>
      </w:tr>
      <w:tr w:rsidR="00165A84" w:rsidRPr="00165A84" w14:paraId="249F4BD1"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E13BFC7"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6B11488" w14:textId="6AD214C8" w:rsidR="00165A84" w:rsidRPr="00165A84" w:rsidRDefault="00165A84" w:rsidP="00165A84">
            <w:pPr>
              <w:rPr>
                <w:sz w:val="20"/>
              </w:rPr>
            </w:pPr>
            <w:r w:rsidRPr="00165A84">
              <w:rPr>
                <w:sz w:val="20"/>
              </w:rPr>
              <w:t>5,623</w:t>
            </w:r>
          </w:p>
        </w:tc>
        <w:tc>
          <w:tcPr>
            <w:tcW w:w="980" w:type="dxa"/>
            <w:tcBorders>
              <w:top w:val="nil"/>
              <w:left w:val="nil"/>
              <w:bottom w:val="single" w:sz="4" w:space="0" w:color="auto"/>
              <w:right w:val="single" w:sz="4" w:space="0" w:color="auto"/>
            </w:tcBorders>
            <w:shd w:val="clear" w:color="auto" w:fill="auto"/>
            <w:noWrap/>
            <w:vAlign w:val="bottom"/>
            <w:hideMark/>
          </w:tcPr>
          <w:p w14:paraId="526D53C9" w14:textId="5ACE34D1" w:rsidR="00165A84" w:rsidRPr="00165A84" w:rsidRDefault="00165A84" w:rsidP="00165A84">
            <w:pPr>
              <w:rPr>
                <w:sz w:val="20"/>
              </w:rPr>
            </w:pPr>
            <w:r w:rsidRPr="00165A84">
              <w:rPr>
                <w:sz w:val="20"/>
              </w:rPr>
              <w:t>1,421</w:t>
            </w:r>
          </w:p>
        </w:tc>
        <w:tc>
          <w:tcPr>
            <w:tcW w:w="980" w:type="dxa"/>
            <w:tcBorders>
              <w:top w:val="nil"/>
              <w:left w:val="nil"/>
              <w:bottom w:val="single" w:sz="4" w:space="0" w:color="auto"/>
              <w:right w:val="single" w:sz="4" w:space="0" w:color="auto"/>
            </w:tcBorders>
            <w:shd w:val="clear" w:color="000000" w:fill="FFD85B"/>
            <w:noWrap/>
            <w:vAlign w:val="bottom"/>
            <w:hideMark/>
          </w:tcPr>
          <w:p w14:paraId="47343091" w14:textId="41FB40C5" w:rsidR="00165A84" w:rsidRPr="00165A84" w:rsidRDefault="00165A84" w:rsidP="00165A84">
            <w:pPr>
              <w:rPr>
                <w:sz w:val="20"/>
              </w:rPr>
            </w:pPr>
            <w:r w:rsidRPr="00165A84">
              <w:rPr>
                <w:sz w:val="20"/>
              </w:rPr>
              <w:t>734</w:t>
            </w:r>
          </w:p>
        </w:tc>
        <w:tc>
          <w:tcPr>
            <w:tcW w:w="980" w:type="dxa"/>
            <w:tcBorders>
              <w:top w:val="nil"/>
              <w:left w:val="nil"/>
              <w:bottom w:val="single" w:sz="4" w:space="0" w:color="auto"/>
              <w:right w:val="single" w:sz="4" w:space="0" w:color="auto"/>
            </w:tcBorders>
            <w:shd w:val="clear" w:color="000000" w:fill="FFD85B"/>
            <w:noWrap/>
            <w:vAlign w:val="bottom"/>
            <w:hideMark/>
          </w:tcPr>
          <w:p w14:paraId="38380FC1" w14:textId="3E84FB2F" w:rsidR="00165A84" w:rsidRPr="00165A84" w:rsidRDefault="00165A84" w:rsidP="00165A84">
            <w:pPr>
              <w:rPr>
                <w:sz w:val="20"/>
              </w:rPr>
            </w:pPr>
            <w:r w:rsidRPr="00165A84">
              <w:rPr>
                <w:sz w:val="20"/>
              </w:rPr>
              <w:t>630</w:t>
            </w:r>
          </w:p>
        </w:tc>
        <w:tc>
          <w:tcPr>
            <w:tcW w:w="980" w:type="dxa"/>
            <w:tcBorders>
              <w:top w:val="nil"/>
              <w:left w:val="nil"/>
              <w:bottom w:val="single" w:sz="4" w:space="0" w:color="auto"/>
              <w:right w:val="single" w:sz="4" w:space="0" w:color="auto"/>
            </w:tcBorders>
            <w:shd w:val="clear" w:color="000000" w:fill="FFD85B"/>
            <w:noWrap/>
            <w:vAlign w:val="bottom"/>
            <w:hideMark/>
          </w:tcPr>
          <w:p w14:paraId="59C13A3A" w14:textId="087EF504" w:rsidR="00165A84" w:rsidRPr="00165A84" w:rsidRDefault="00165A84" w:rsidP="00165A84">
            <w:pPr>
              <w:rPr>
                <w:sz w:val="20"/>
              </w:rPr>
            </w:pPr>
            <w:r w:rsidRPr="00165A84">
              <w:rPr>
                <w:sz w:val="20"/>
              </w:rPr>
              <w:t>34</w:t>
            </w:r>
          </w:p>
        </w:tc>
        <w:tc>
          <w:tcPr>
            <w:tcW w:w="980" w:type="dxa"/>
            <w:tcBorders>
              <w:top w:val="nil"/>
              <w:left w:val="nil"/>
              <w:bottom w:val="single" w:sz="4" w:space="0" w:color="auto"/>
              <w:right w:val="single" w:sz="4" w:space="0" w:color="auto"/>
            </w:tcBorders>
            <w:shd w:val="clear" w:color="000000" w:fill="FFD85B"/>
            <w:noWrap/>
            <w:vAlign w:val="bottom"/>
            <w:hideMark/>
          </w:tcPr>
          <w:p w14:paraId="64E3981D" w14:textId="702D4212" w:rsidR="00165A84" w:rsidRPr="00165A84" w:rsidRDefault="00165A84" w:rsidP="00165A84">
            <w:pPr>
              <w:rPr>
                <w:sz w:val="20"/>
              </w:rPr>
            </w:pPr>
            <w:r w:rsidRPr="00165A84">
              <w:rPr>
                <w:sz w:val="20"/>
              </w:rPr>
              <w:t>70</w:t>
            </w:r>
          </w:p>
        </w:tc>
        <w:tc>
          <w:tcPr>
            <w:tcW w:w="980" w:type="dxa"/>
            <w:tcBorders>
              <w:top w:val="nil"/>
              <w:left w:val="nil"/>
              <w:bottom w:val="single" w:sz="4" w:space="0" w:color="auto"/>
              <w:right w:val="single" w:sz="4" w:space="0" w:color="auto"/>
            </w:tcBorders>
            <w:shd w:val="clear" w:color="000000" w:fill="FFD85B"/>
            <w:noWrap/>
            <w:vAlign w:val="bottom"/>
            <w:hideMark/>
          </w:tcPr>
          <w:p w14:paraId="0A4F7099" w14:textId="159D6FCE" w:rsidR="00165A84" w:rsidRPr="00165A84" w:rsidRDefault="00165A84" w:rsidP="00165A84">
            <w:pPr>
              <w:rPr>
                <w:sz w:val="20"/>
              </w:rPr>
            </w:pPr>
            <w:r w:rsidRPr="00165A84">
              <w:rPr>
                <w:sz w:val="20"/>
              </w:rPr>
              <w:t>687</w:t>
            </w:r>
          </w:p>
        </w:tc>
      </w:tr>
      <w:tr w:rsidR="00165A84" w:rsidRPr="00165A84" w14:paraId="77D4E7CB"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0E2C472D" w14:textId="77777777" w:rsidR="00165A84" w:rsidRPr="00165A84" w:rsidRDefault="00165A84" w:rsidP="00165A84">
            <w:pPr>
              <w:rPr>
                <w:sz w:val="20"/>
              </w:rPr>
            </w:pPr>
            <w:r w:rsidRPr="00165A8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53B3504E" w14:textId="53D6F306"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211C9AB4"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167A11D" w14:textId="78360811" w:rsidR="00165A84" w:rsidRPr="00165A84" w:rsidRDefault="00165A84" w:rsidP="00165A84">
            <w:pPr>
              <w:rPr>
                <w:sz w:val="20"/>
              </w:rPr>
            </w:pPr>
          </w:p>
        </w:tc>
        <w:tc>
          <w:tcPr>
            <w:tcW w:w="980" w:type="dxa"/>
            <w:tcBorders>
              <w:top w:val="nil"/>
              <w:left w:val="nil"/>
              <w:bottom w:val="nil"/>
              <w:right w:val="nil"/>
            </w:tcBorders>
            <w:shd w:val="clear" w:color="auto" w:fill="auto"/>
            <w:noWrap/>
            <w:vAlign w:val="bottom"/>
            <w:hideMark/>
          </w:tcPr>
          <w:p w14:paraId="5F9CB870" w14:textId="77777777" w:rsidR="00165A84" w:rsidRPr="00165A84" w:rsidRDefault="00165A84" w:rsidP="00165A8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A5C97E7" w14:textId="4BE05AAD"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6D3C2C04" w14:textId="79038B44" w:rsidR="00165A84" w:rsidRPr="00165A84" w:rsidRDefault="00165A84" w:rsidP="00165A84">
            <w:pPr>
              <w:rPr>
                <w:sz w:val="20"/>
              </w:rPr>
            </w:pPr>
          </w:p>
        </w:tc>
        <w:tc>
          <w:tcPr>
            <w:tcW w:w="980" w:type="dxa"/>
            <w:tcBorders>
              <w:top w:val="nil"/>
              <w:left w:val="nil"/>
              <w:bottom w:val="nil"/>
              <w:right w:val="single" w:sz="4" w:space="0" w:color="auto"/>
            </w:tcBorders>
            <w:shd w:val="clear" w:color="auto" w:fill="auto"/>
            <w:noWrap/>
            <w:vAlign w:val="bottom"/>
            <w:hideMark/>
          </w:tcPr>
          <w:p w14:paraId="38719103" w14:textId="1802A98A" w:rsidR="00165A84" w:rsidRPr="00165A84" w:rsidRDefault="00165A84" w:rsidP="00165A84">
            <w:pPr>
              <w:rPr>
                <w:sz w:val="20"/>
              </w:rPr>
            </w:pPr>
          </w:p>
        </w:tc>
      </w:tr>
      <w:tr w:rsidR="00165A84" w:rsidRPr="00165A84" w14:paraId="6D7462D6"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3DCD506E" w14:textId="77777777" w:rsidR="00165A84" w:rsidRPr="00165A84" w:rsidRDefault="00165A84" w:rsidP="00165A84">
            <w:pPr>
              <w:rPr>
                <w:sz w:val="20"/>
              </w:rPr>
            </w:pPr>
            <w:r w:rsidRPr="00165A8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8936534" w14:textId="77777777" w:rsidR="00165A84" w:rsidRPr="00165A84" w:rsidRDefault="00165A84" w:rsidP="00165A84">
            <w:pPr>
              <w:jc w:val="right"/>
              <w:rPr>
                <w:sz w:val="20"/>
              </w:rPr>
            </w:pPr>
            <w:r w:rsidRPr="00165A84">
              <w:rPr>
                <w:sz w:val="20"/>
              </w:rPr>
              <w:t>3,561,164</w:t>
            </w:r>
          </w:p>
        </w:tc>
        <w:tc>
          <w:tcPr>
            <w:tcW w:w="980" w:type="dxa"/>
            <w:tcBorders>
              <w:top w:val="nil"/>
              <w:left w:val="nil"/>
              <w:bottom w:val="nil"/>
              <w:right w:val="nil"/>
            </w:tcBorders>
            <w:shd w:val="clear" w:color="auto" w:fill="auto"/>
            <w:noWrap/>
            <w:vAlign w:val="bottom"/>
            <w:hideMark/>
          </w:tcPr>
          <w:p w14:paraId="199E3C2F" w14:textId="77777777" w:rsidR="00165A84" w:rsidRPr="00165A84" w:rsidRDefault="00165A84" w:rsidP="00165A84">
            <w:pPr>
              <w:jc w:val="right"/>
              <w:rPr>
                <w:sz w:val="20"/>
              </w:rPr>
            </w:pPr>
            <w:r w:rsidRPr="00165A8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667784B4" w14:textId="77777777" w:rsidR="00165A84" w:rsidRPr="00165A84" w:rsidRDefault="00165A84" w:rsidP="00165A84">
            <w:pPr>
              <w:jc w:val="right"/>
              <w:rPr>
                <w:sz w:val="20"/>
              </w:rPr>
            </w:pPr>
            <w:r w:rsidRPr="00165A84">
              <w:rPr>
                <w:sz w:val="20"/>
              </w:rPr>
              <w:t>364,829</w:t>
            </w:r>
          </w:p>
        </w:tc>
        <w:tc>
          <w:tcPr>
            <w:tcW w:w="980" w:type="dxa"/>
            <w:tcBorders>
              <w:top w:val="nil"/>
              <w:left w:val="nil"/>
              <w:bottom w:val="nil"/>
              <w:right w:val="nil"/>
            </w:tcBorders>
            <w:shd w:val="clear" w:color="auto" w:fill="auto"/>
            <w:noWrap/>
            <w:vAlign w:val="bottom"/>
            <w:hideMark/>
          </w:tcPr>
          <w:p w14:paraId="122ADEFC" w14:textId="77777777" w:rsidR="00165A84" w:rsidRPr="00165A84" w:rsidRDefault="00165A84" w:rsidP="00165A84">
            <w:pPr>
              <w:jc w:val="right"/>
              <w:rPr>
                <w:sz w:val="20"/>
              </w:rPr>
            </w:pPr>
            <w:r w:rsidRPr="00165A8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11B92B1D" w14:textId="77777777" w:rsidR="00165A84" w:rsidRPr="00165A84" w:rsidRDefault="00165A84" w:rsidP="00165A84">
            <w:pPr>
              <w:jc w:val="right"/>
              <w:rPr>
                <w:sz w:val="20"/>
              </w:rPr>
            </w:pPr>
            <w:r w:rsidRPr="00165A84">
              <w:rPr>
                <w:sz w:val="20"/>
              </w:rPr>
              <w:t>17,221</w:t>
            </w:r>
          </w:p>
        </w:tc>
        <w:tc>
          <w:tcPr>
            <w:tcW w:w="980" w:type="dxa"/>
            <w:tcBorders>
              <w:top w:val="nil"/>
              <w:left w:val="nil"/>
              <w:bottom w:val="nil"/>
              <w:right w:val="single" w:sz="4" w:space="0" w:color="auto"/>
            </w:tcBorders>
            <w:shd w:val="clear" w:color="auto" w:fill="auto"/>
            <w:noWrap/>
            <w:vAlign w:val="bottom"/>
            <w:hideMark/>
          </w:tcPr>
          <w:p w14:paraId="07B7A88B" w14:textId="77777777" w:rsidR="00165A84" w:rsidRPr="00165A84" w:rsidRDefault="00165A84" w:rsidP="00165A84">
            <w:pPr>
              <w:jc w:val="right"/>
              <w:rPr>
                <w:sz w:val="20"/>
              </w:rPr>
            </w:pPr>
            <w:r w:rsidRPr="00165A84">
              <w:rPr>
                <w:sz w:val="20"/>
              </w:rPr>
              <w:t>34,744</w:t>
            </w:r>
          </w:p>
        </w:tc>
        <w:tc>
          <w:tcPr>
            <w:tcW w:w="980" w:type="dxa"/>
            <w:tcBorders>
              <w:top w:val="nil"/>
              <w:left w:val="nil"/>
              <w:bottom w:val="nil"/>
              <w:right w:val="single" w:sz="4" w:space="0" w:color="auto"/>
            </w:tcBorders>
            <w:shd w:val="clear" w:color="auto" w:fill="auto"/>
            <w:noWrap/>
            <w:vAlign w:val="bottom"/>
            <w:hideMark/>
          </w:tcPr>
          <w:p w14:paraId="2BC98808" w14:textId="77777777" w:rsidR="00165A84" w:rsidRPr="00165A84" w:rsidRDefault="00165A84" w:rsidP="00165A84">
            <w:pPr>
              <w:jc w:val="right"/>
              <w:rPr>
                <w:sz w:val="20"/>
              </w:rPr>
            </w:pPr>
            <w:r w:rsidRPr="00165A84">
              <w:rPr>
                <w:sz w:val="20"/>
              </w:rPr>
              <w:t>337,196</w:t>
            </w:r>
          </w:p>
        </w:tc>
      </w:tr>
      <w:tr w:rsidR="00165A84" w:rsidRPr="00165A84" w14:paraId="1EE6CF13" w14:textId="77777777" w:rsidTr="00165A84">
        <w:trPr>
          <w:trHeight w:val="255"/>
        </w:trPr>
        <w:tc>
          <w:tcPr>
            <w:tcW w:w="1960" w:type="dxa"/>
            <w:tcBorders>
              <w:top w:val="nil"/>
              <w:left w:val="single" w:sz="4" w:space="0" w:color="auto"/>
              <w:bottom w:val="nil"/>
              <w:right w:val="nil"/>
            </w:tcBorders>
            <w:shd w:val="clear" w:color="auto" w:fill="auto"/>
            <w:noWrap/>
            <w:vAlign w:val="bottom"/>
            <w:hideMark/>
          </w:tcPr>
          <w:p w14:paraId="250093F8" w14:textId="77777777" w:rsidR="00165A84" w:rsidRPr="00165A84" w:rsidRDefault="00165A84" w:rsidP="00165A84">
            <w:pPr>
              <w:rPr>
                <w:sz w:val="20"/>
              </w:rPr>
            </w:pPr>
            <w:r w:rsidRPr="00165A8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22395E0C" w14:textId="77777777" w:rsidR="00165A84" w:rsidRPr="00165A84" w:rsidRDefault="00165A84" w:rsidP="00165A84">
            <w:pPr>
              <w:jc w:val="right"/>
              <w:rPr>
                <w:sz w:val="20"/>
              </w:rPr>
            </w:pPr>
            <w:r w:rsidRPr="00165A84">
              <w:rPr>
                <w:sz w:val="20"/>
              </w:rPr>
              <w:t>0.20%</w:t>
            </w:r>
          </w:p>
        </w:tc>
        <w:tc>
          <w:tcPr>
            <w:tcW w:w="980" w:type="dxa"/>
            <w:tcBorders>
              <w:top w:val="nil"/>
              <w:left w:val="nil"/>
              <w:bottom w:val="nil"/>
              <w:right w:val="single" w:sz="4" w:space="0" w:color="auto"/>
            </w:tcBorders>
            <w:shd w:val="clear" w:color="auto" w:fill="auto"/>
            <w:noWrap/>
            <w:vAlign w:val="bottom"/>
            <w:hideMark/>
          </w:tcPr>
          <w:p w14:paraId="0DD9BABE" w14:textId="77777777" w:rsidR="00165A84" w:rsidRPr="00165A84" w:rsidRDefault="00165A84" w:rsidP="00165A84">
            <w:pPr>
              <w:jc w:val="right"/>
              <w:rPr>
                <w:sz w:val="20"/>
              </w:rPr>
            </w:pPr>
            <w:r w:rsidRPr="00165A84">
              <w:rPr>
                <w:sz w:val="20"/>
              </w:rPr>
              <w:t>0.24%</w:t>
            </w:r>
          </w:p>
        </w:tc>
        <w:tc>
          <w:tcPr>
            <w:tcW w:w="980" w:type="dxa"/>
            <w:tcBorders>
              <w:top w:val="nil"/>
              <w:left w:val="nil"/>
              <w:bottom w:val="nil"/>
              <w:right w:val="single" w:sz="4" w:space="0" w:color="auto"/>
            </w:tcBorders>
            <w:shd w:val="clear" w:color="auto" w:fill="auto"/>
            <w:noWrap/>
            <w:vAlign w:val="bottom"/>
            <w:hideMark/>
          </w:tcPr>
          <w:p w14:paraId="74DDD054" w14:textId="77777777" w:rsidR="00165A84" w:rsidRPr="00165A84" w:rsidRDefault="00165A84" w:rsidP="00165A84">
            <w:pPr>
              <w:jc w:val="right"/>
              <w:rPr>
                <w:sz w:val="20"/>
              </w:rPr>
            </w:pPr>
            <w:r w:rsidRPr="00165A84">
              <w:rPr>
                <w:sz w:val="20"/>
              </w:rPr>
              <w:t>0.30%</w:t>
            </w:r>
          </w:p>
        </w:tc>
        <w:tc>
          <w:tcPr>
            <w:tcW w:w="980" w:type="dxa"/>
            <w:tcBorders>
              <w:top w:val="nil"/>
              <w:left w:val="nil"/>
              <w:bottom w:val="nil"/>
              <w:right w:val="nil"/>
            </w:tcBorders>
            <w:shd w:val="clear" w:color="auto" w:fill="auto"/>
            <w:noWrap/>
            <w:vAlign w:val="bottom"/>
            <w:hideMark/>
          </w:tcPr>
          <w:p w14:paraId="7C8E2764" w14:textId="77777777" w:rsidR="00165A84" w:rsidRPr="00165A84" w:rsidRDefault="00165A84" w:rsidP="00165A84">
            <w:pPr>
              <w:jc w:val="right"/>
              <w:rPr>
                <w:sz w:val="20"/>
              </w:rPr>
            </w:pPr>
            <w:r w:rsidRPr="00165A84">
              <w:rPr>
                <w:sz w:val="20"/>
              </w:rPr>
              <w:t>0.30%</w:t>
            </w:r>
          </w:p>
        </w:tc>
        <w:tc>
          <w:tcPr>
            <w:tcW w:w="980" w:type="dxa"/>
            <w:tcBorders>
              <w:top w:val="nil"/>
              <w:left w:val="single" w:sz="4" w:space="0" w:color="auto"/>
              <w:bottom w:val="nil"/>
              <w:right w:val="single" w:sz="4" w:space="0" w:color="auto"/>
            </w:tcBorders>
            <w:shd w:val="clear" w:color="auto" w:fill="auto"/>
            <w:noWrap/>
            <w:vAlign w:val="bottom"/>
            <w:hideMark/>
          </w:tcPr>
          <w:p w14:paraId="748A1159" w14:textId="77777777" w:rsidR="00165A84" w:rsidRPr="00165A84" w:rsidRDefault="00165A84" w:rsidP="00165A84">
            <w:pPr>
              <w:jc w:val="right"/>
              <w:rPr>
                <w:sz w:val="20"/>
              </w:rPr>
            </w:pPr>
            <w:r w:rsidRPr="00165A84">
              <w:rPr>
                <w:sz w:val="20"/>
              </w:rPr>
              <w:t>0.30%</w:t>
            </w:r>
          </w:p>
        </w:tc>
        <w:tc>
          <w:tcPr>
            <w:tcW w:w="980" w:type="dxa"/>
            <w:tcBorders>
              <w:top w:val="nil"/>
              <w:left w:val="nil"/>
              <w:bottom w:val="nil"/>
              <w:right w:val="single" w:sz="4" w:space="0" w:color="auto"/>
            </w:tcBorders>
            <w:shd w:val="clear" w:color="auto" w:fill="auto"/>
            <w:noWrap/>
            <w:vAlign w:val="bottom"/>
            <w:hideMark/>
          </w:tcPr>
          <w:p w14:paraId="6FC8846E" w14:textId="77777777" w:rsidR="00165A84" w:rsidRPr="00165A84" w:rsidRDefault="00165A84" w:rsidP="00165A84">
            <w:pPr>
              <w:jc w:val="right"/>
              <w:rPr>
                <w:sz w:val="20"/>
              </w:rPr>
            </w:pPr>
            <w:r w:rsidRPr="00165A84">
              <w:rPr>
                <w:sz w:val="20"/>
              </w:rPr>
              <w:t>0.30%</w:t>
            </w:r>
          </w:p>
        </w:tc>
        <w:tc>
          <w:tcPr>
            <w:tcW w:w="980" w:type="dxa"/>
            <w:tcBorders>
              <w:top w:val="nil"/>
              <w:left w:val="nil"/>
              <w:bottom w:val="nil"/>
              <w:right w:val="single" w:sz="4" w:space="0" w:color="auto"/>
            </w:tcBorders>
            <w:shd w:val="clear" w:color="000000" w:fill="FFD85B"/>
            <w:noWrap/>
            <w:vAlign w:val="bottom"/>
            <w:hideMark/>
          </w:tcPr>
          <w:p w14:paraId="7A8D6EF6" w14:textId="77777777" w:rsidR="00165A84" w:rsidRPr="00165A84" w:rsidRDefault="00165A84" w:rsidP="00165A84">
            <w:pPr>
              <w:jc w:val="center"/>
              <w:rPr>
                <w:sz w:val="20"/>
              </w:rPr>
            </w:pPr>
            <w:r w:rsidRPr="00165A84">
              <w:rPr>
                <w:sz w:val="20"/>
              </w:rPr>
              <w:t>##</w:t>
            </w:r>
          </w:p>
        </w:tc>
      </w:tr>
      <w:tr w:rsidR="00165A84" w:rsidRPr="00165A84" w14:paraId="4A142C1C" w14:textId="77777777" w:rsidTr="00165A8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7A2E18C" w14:textId="77777777" w:rsidR="00165A84" w:rsidRPr="00165A84" w:rsidRDefault="00165A84" w:rsidP="00165A84">
            <w:pPr>
              <w:rPr>
                <w:sz w:val="20"/>
              </w:rPr>
            </w:pPr>
            <w:r w:rsidRPr="00165A8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EB382F0" w14:textId="6281ACDC" w:rsidR="00165A84" w:rsidRPr="00165A84" w:rsidRDefault="00165A84" w:rsidP="00165A84">
            <w:pPr>
              <w:rPr>
                <w:sz w:val="20"/>
              </w:rPr>
            </w:pPr>
            <w:r w:rsidRPr="00165A84">
              <w:rPr>
                <w:sz w:val="20"/>
              </w:rPr>
              <w:t>7,276</w:t>
            </w:r>
          </w:p>
        </w:tc>
        <w:tc>
          <w:tcPr>
            <w:tcW w:w="980" w:type="dxa"/>
            <w:tcBorders>
              <w:top w:val="nil"/>
              <w:left w:val="nil"/>
              <w:bottom w:val="single" w:sz="4" w:space="0" w:color="auto"/>
              <w:right w:val="single" w:sz="4" w:space="0" w:color="auto"/>
            </w:tcBorders>
            <w:shd w:val="clear" w:color="auto" w:fill="auto"/>
            <w:noWrap/>
            <w:vAlign w:val="bottom"/>
            <w:hideMark/>
          </w:tcPr>
          <w:p w14:paraId="27B30B2E" w14:textId="7A42A8B9" w:rsidR="00165A84" w:rsidRPr="00165A84" w:rsidRDefault="00165A84" w:rsidP="00165A84">
            <w:pPr>
              <w:rPr>
                <w:sz w:val="20"/>
              </w:rPr>
            </w:pPr>
            <w:r w:rsidRPr="00165A84">
              <w:rPr>
                <w:sz w:val="20"/>
              </w:rPr>
              <w:t>1,673</w:t>
            </w:r>
          </w:p>
        </w:tc>
        <w:tc>
          <w:tcPr>
            <w:tcW w:w="980" w:type="dxa"/>
            <w:tcBorders>
              <w:top w:val="nil"/>
              <w:left w:val="nil"/>
              <w:bottom w:val="single" w:sz="4" w:space="0" w:color="auto"/>
              <w:right w:val="single" w:sz="4" w:space="0" w:color="auto"/>
            </w:tcBorders>
            <w:shd w:val="clear" w:color="auto" w:fill="auto"/>
            <w:noWrap/>
            <w:vAlign w:val="bottom"/>
            <w:hideMark/>
          </w:tcPr>
          <w:p w14:paraId="1AC09CF5" w14:textId="41B0B4EE" w:rsidR="00165A84" w:rsidRPr="00165A84" w:rsidRDefault="00165A84" w:rsidP="00165A84">
            <w:pPr>
              <w:rPr>
                <w:sz w:val="20"/>
              </w:rPr>
            </w:pPr>
            <w:r w:rsidRPr="00165A84">
              <w:rPr>
                <w:sz w:val="20"/>
              </w:rPr>
              <w:t>1,085</w:t>
            </w:r>
          </w:p>
        </w:tc>
        <w:tc>
          <w:tcPr>
            <w:tcW w:w="980" w:type="dxa"/>
            <w:tcBorders>
              <w:top w:val="nil"/>
              <w:left w:val="nil"/>
              <w:bottom w:val="single" w:sz="4" w:space="0" w:color="auto"/>
              <w:right w:val="single" w:sz="4" w:space="0" w:color="auto"/>
            </w:tcBorders>
            <w:shd w:val="clear" w:color="auto" w:fill="auto"/>
            <w:noWrap/>
            <w:vAlign w:val="bottom"/>
            <w:hideMark/>
          </w:tcPr>
          <w:p w14:paraId="6A523426" w14:textId="0E719CE9" w:rsidR="00165A84" w:rsidRPr="00165A84" w:rsidRDefault="00165A84" w:rsidP="00165A84">
            <w:pPr>
              <w:rPr>
                <w:sz w:val="20"/>
              </w:rPr>
            </w:pPr>
            <w:r w:rsidRPr="00165A84">
              <w:rPr>
                <w:sz w:val="20"/>
              </w:rPr>
              <w:t>930</w:t>
            </w:r>
          </w:p>
        </w:tc>
        <w:tc>
          <w:tcPr>
            <w:tcW w:w="980" w:type="dxa"/>
            <w:tcBorders>
              <w:top w:val="nil"/>
              <w:left w:val="nil"/>
              <w:bottom w:val="single" w:sz="4" w:space="0" w:color="auto"/>
              <w:right w:val="single" w:sz="4" w:space="0" w:color="auto"/>
            </w:tcBorders>
            <w:shd w:val="clear" w:color="auto" w:fill="auto"/>
            <w:noWrap/>
            <w:vAlign w:val="bottom"/>
            <w:hideMark/>
          </w:tcPr>
          <w:p w14:paraId="6EA78B24" w14:textId="56C022A4" w:rsidR="00165A84" w:rsidRPr="00165A84" w:rsidRDefault="00165A84" w:rsidP="00165A84">
            <w:pPr>
              <w:rPr>
                <w:sz w:val="20"/>
              </w:rPr>
            </w:pPr>
            <w:r w:rsidRPr="00165A84">
              <w:rPr>
                <w:sz w:val="20"/>
              </w:rPr>
              <w:t>51</w:t>
            </w:r>
          </w:p>
        </w:tc>
        <w:tc>
          <w:tcPr>
            <w:tcW w:w="980" w:type="dxa"/>
            <w:tcBorders>
              <w:top w:val="nil"/>
              <w:left w:val="nil"/>
              <w:bottom w:val="single" w:sz="4" w:space="0" w:color="auto"/>
              <w:right w:val="single" w:sz="4" w:space="0" w:color="auto"/>
            </w:tcBorders>
            <w:shd w:val="clear" w:color="auto" w:fill="auto"/>
            <w:noWrap/>
            <w:vAlign w:val="bottom"/>
            <w:hideMark/>
          </w:tcPr>
          <w:p w14:paraId="2C91CF27" w14:textId="38687703" w:rsidR="00165A84" w:rsidRPr="00165A84" w:rsidRDefault="00165A84" w:rsidP="00165A84">
            <w:pPr>
              <w:rPr>
                <w:sz w:val="20"/>
              </w:rPr>
            </w:pPr>
            <w:r w:rsidRPr="00165A84">
              <w:rPr>
                <w:sz w:val="20"/>
              </w:rPr>
              <w:t>103</w:t>
            </w:r>
          </w:p>
        </w:tc>
        <w:tc>
          <w:tcPr>
            <w:tcW w:w="980" w:type="dxa"/>
            <w:tcBorders>
              <w:top w:val="nil"/>
              <w:left w:val="nil"/>
              <w:bottom w:val="single" w:sz="4" w:space="0" w:color="auto"/>
              <w:right w:val="single" w:sz="4" w:space="0" w:color="auto"/>
            </w:tcBorders>
            <w:shd w:val="clear" w:color="000000" w:fill="FFD85B"/>
            <w:noWrap/>
            <w:vAlign w:val="bottom"/>
            <w:hideMark/>
          </w:tcPr>
          <w:p w14:paraId="70C4D45F" w14:textId="4FE330C2" w:rsidR="00165A84" w:rsidRPr="00165A84" w:rsidRDefault="00165A84" w:rsidP="00165A84">
            <w:pPr>
              <w:rPr>
                <w:sz w:val="20"/>
              </w:rPr>
            </w:pPr>
            <w:r w:rsidRPr="00165A84">
              <w:rPr>
                <w:sz w:val="20"/>
              </w:rPr>
              <w:t>588</w:t>
            </w:r>
          </w:p>
        </w:tc>
      </w:tr>
      <w:tr w:rsidR="00165A84" w:rsidRPr="00165A84" w14:paraId="5967B7A0" w14:textId="77777777" w:rsidTr="00BF315B">
        <w:trPr>
          <w:trHeight w:val="2375"/>
        </w:trPr>
        <w:tc>
          <w:tcPr>
            <w:tcW w:w="8980" w:type="dxa"/>
            <w:gridSpan w:val="8"/>
            <w:tcBorders>
              <w:top w:val="single" w:sz="4" w:space="0" w:color="auto"/>
              <w:left w:val="nil"/>
              <w:bottom w:val="nil"/>
              <w:right w:val="nil"/>
            </w:tcBorders>
            <w:shd w:val="clear" w:color="auto" w:fill="auto"/>
            <w:vAlign w:val="bottom"/>
            <w:hideMark/>
          </w:tcPr>
          <w:p w14:paraId="70A51938" w14:textId="77777777" w:rsidR="00BF315B" w:rsidRDefault="00165A84" w:rsidP="00BF315B">
            <w:pPr>
              <w:rPr>
                <w:sz w:val="18"/>
                <w:szCs w:val="18"/>
              </w:rPr>
            </w:pPr>
            <w:r w:rsidRPr="00165A84">
              <w:rPr>
                <w:b/>
                <w:bCs/>
                <w:sz w:val="18"/>
                <w:szCs w:val="18"/>
              </w:rPr>
              <w:t xml:space="preserve">Notes: * </w:t>
            </w:r>
            <w:r w:rsidRPr="00165A84">
              <w:rPr>
                <w:sz w:val="18"/>
                <w:szCs w:val="18"/>
              </w:rPr>
              <w:t>Prevalence rates are estimated by the National Survey of Drug Use and Health, 2016-2018. Parish population sizes are estimated by U.S. Census for July 1, 2019.</w:t>
            </w:r>
            <w:r w:rsidRPr="00165A84">
              <w:rPr>
                <w:sz w:val="18"/>
                <w:szCs w:val="18"/>
              </w:rPr>
              <w:br/>
            </w:r>
            <w:r w:rsidRPr="00165A84">
              <w:rPr>
                <w:b/>
                <w:bCs/>
                <w:sz w:val="18"/>
                <w:szCs w:val="18"/>
              </w:rPr>
              <w:t>**</w:t>
            </w:r>
            <w:r w:rsidRPr="00165A84">
              <w:rPr>
                <w:sz w:val="18"/>
                <w:szCs w:val="18"/>
              </w:rPr>
              <w:t xml:space="preserve"> NSDUH did not </w:t>
            </w:r>
            <w:r w:rsidR="00BF315B">
              <w:rPr>
                <w:sz w:val="18"/>
                <w:szCs w:val="18"/>
              </w:rPr>
              <w:t>estimate rates</w:t>
            </w:r>
            <w:r w:rsidRPr="00165A84">
              <w:rPr>
                <w:sz w:val="18"/>
                <w:szCs w:val="18"/>
              </w:rPr>
              <w:t xml:space="preserve"> </w:t>
            </w:r>
            <w:r w:rsidR="00BF315B">
              <w:rPr>
                <w:sz w:val="18"/>
                <w:szCs w:val="18"/>
              </w:rPr>
              <w:t xml:space="preserve">for Jefferson </w:t>
            </w:r>
            <w:r w:rsidRPr="00165A84">
              <w:rPr>
                <w:sz w:val="18"/>
                <w:szCs w:val="18"/>
              </w:rPr>
              <w:t xml:space="preserve">Parish and the Metropolitan District; therefore, the rate for Greater New Orleans is applied to both Jefferson Parish and the Metropolitan District and its constituent parishes. </w:t>
            </w:r>
            <w:r w:rsidRPr="00165A84">
              <w:rPr>
                <w:sz w:val="18"/>
                <w:szCs w:val="18"/>
              </w:rPr>
              <w:br/>
              <w:t>*** NSDUH did not estimate the prevalence rate for Greater New Orleans; therefore, the number of prevalent individuals cannot be estimated for the planning sub-areas either.</w:t>
            </w:r>
            <w:r w:rsidRPr="00165A84">
              <w:rPr>
                <w:sz w:val="18"/>
                <w:szCs w:val="18"/>
              </w:rPr>
              <w:br/>
              <w:t xml:space="preserve">## NSDUH did not estimate the </w:t>
            </w:r>
            <w:proofErr w:type="gramStart"/>
            <w:r w:rsidRPr="00165A84">
              <w:rPr>
                <w:sz w:val="18"/>
                <w:szCs w:val="18"/>
              </w:rPr>
              <w:t>prevalence  rate</w:t>
            </w:r>
            <w:proofErr w:type="gramEnd"/>
            <w:r w:rsidRPr="00165A84">
              <w:rPr>
                <w:sz w:val="18"/>
                <w:szCs w:val="18"/>
              </w:rPr>
              <w:t xml:space="preserve"> </w:t>
            </w:r>
            <w:r w:rsidR="00BF315B">
              <w:rPr>
                <w:sz w:val="18"/>
                <w:szCs w:val="18"/>
              </w:rPr>
              <w:t xml:space="preserve">for Jefferson </w:t>
            </w:r>
            <w:r w:rsidRPr="00165A84">
              <w:rPr>
                <w:sz w:val="18"/>
                <w:szCs w:val="18"/>
              </w:rPr>
              <w:t>Parish; therefore the number of prevalent individuals for Jefferson Parish is estimated by  subtracting the Metropolitan prevalence number for the Greater New Orleans prevalence number.</w:t>
            </w:r>
          </w:p>
          <w:p w14:paraId="02ED01B9" w14:textId="77593C55" w:rsidR="00165A84" w:rsidRPr="00165A8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5075DE2E" w14:textId="54D9721C" w:rsidR="00165A84" w:rsidRDefault="00165A84" w:rsidP="001549F4"/>
    <w:p w14:paraId="34FB8F7D" w14:textId="31BC76CB" w:rsidR="00165A84" w:rsidRDefault="00165A84">
      <w:r>
        <w:br w:type="page"/>
      </w:r>
    </w:p>
    <w:p w14:paraId="26260F0F" w14:textId="3A946C5C" w:rsidR="00165A84" w:rsidRDefault="00EC5CD4" w:rsidP="00130E39">
      <w:pPr>
        <w:pStyle w:val="ListParagraph"/>
        <w:numPr>
          <w:ilvl w:val="0"/>
          <w:numId w:val="7"/>
        </w:numPr>
      </w:pPr>
      <w:r w:rsidRPr="00EC5CD4">
        <w:lastRenderedPageBreak/>
        <w:t xml:space="preserve">Pain Reliever Misuse in the </w:t>
      </w:r>
      <w:r w:rsidRPr="00130E39">
        <w:rPr>
          <w:i/>
          <w:iCs/>
        </w:rPr>
        <w:t>Past Year</w:t>
      </w:r>
    </w:p>
    <w:p w14:paraId="6598E59B" w14:textId="35AD45F9" w:rsidR="00165A84" w:rsidRDefault="00165A8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33CBB402"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A199DE9" w14:textId="77777777" w:rsidR="00EC5CD4" w:rsidRPr="00EC5CD4" w:rsidRDefault="00EC5CD4" w:rsidP="00EC5CD4">
            <w:pPr>
              <w:jc w:val="center"/>
              <w:rPr>
                <w:b/>
                <w:bCs/>
                <w:sz w:val="20"/>
              </w:rPr>
            </w:pPr>
            <w:bookmarkStart w:id="13" w:name="_Hlk58486725"/>
            <w:r w:rsidRPr="00EC5CD4">
              <w:rPr>
                <w:b/>
                <w:bCs/>
                <w:sz w:val="20"/>
              </w:rPr>
              <w:t xml:space="preserve">Pain Reliever Misuse in the </w:t>
            </w:r>
            <w:r w:rsidRPr="00EC5CD4">
              <w:rPr>
                <w:b/>
                <w:bCs/>
                <w:i/>
                <w:iCs/>
                <w:sz w:val="20"/>
                <w:u w:val="single"/>
              </w:rPr>
              <w:t>Past Year</w:t>
            </w:r>
            <w:r w:rsidRPr="00EC5CD4">
              <w:rPr>
                <w:b/>
                <w:bCs/>
                <w:sz w:val="20"/>
              </w:rPr>
              <w:t xml:space="preserve"> </w:t>
            </w:r>
            <w:bookmarkEnd w:id="13"/>
            <w:r w:rsidRPr="00EC5CD4">
              <w:rPr>
                <w:b/>
                <w:bCs/>
                <w:sz w:val="20"/>
              </w:rPr>
              <w:t>by Age Group Among Residents of</w:t>
            </w:r>
            <w:r w:rsidRPr="00EC5CD4">
              <w:rPr>
                <w:b/>
                <w:bCs/>
                <w:sz w:val="20"/>
              </w:rPr>
              <w:br/>
              <w:t>Greater New Orleans Parishes and Statewide, 2019*</w:t>
            </w:r>
          </w:p>
        </w:tc>
      </w:tr>
      <w:tr w:rsidR="00EC5CD4" w:rsidRPr="00EC5CD4" w14:paraId="56550258"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8C58BB1"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3D8CCC69" w14:textId="2E63116A"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5D8A9A14"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2945EB7A"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7A67649C"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6B8BA4D6"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673FA2CC"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0F554C19" w14:textId="77777777" w:rsidR="00EC5CD4" w:rsidRPr="00EC5CD4" w:rsidRDefault="00EC5CD4" w:rsidP="00EC5CD4">
            <w:pPr>
              <w:jc w:val="center"/>
              <w:rPr>
                <w:sz w:val="20"/>
              </w:rPr>
            </w:pPr>
            <w:r w:rsidRPr="00EC5CD4">
              <w:rPr>
                <w:sz w:val="20"/>
              </w:rPr>
              <w:t>Jefferson Parish HSA</w:t>
            </w:r>
          </w:p>
        </w:tc>
      </w:tr>
      <w:tr w:rsidR="00EC5CD4" w:rsidRPr="00EC5CD4" w14:paraId="63BD270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647CAB4"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5B3821F9" w14:textId="59D25A24"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137C2B58" w14:textId="75D904D8"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D97994D" w14:textId="219BD6A5"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5BE0D9A4" w14:textId="72863B4D"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C0A4B08" w14:textId="229DDE21"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11ED65AC" w14:textId="1D5F53DC"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5B62434F" w14:textId="6D20D76A" w:rsidR="00EC5CD4" w:rsidRPr="00EC5CD4" w:rsidRDefault="00EC5CD4" w:rsidP="00EC5CD4">
            <w:pPr>
              <w:rPr>
                <w:sz w:val="20"/>
              </w:rPr>
            </w:pPr>
          </w:p>
        </w:tc>
      </w:tr>
      <w:tr w:rsidR="00EC5CD4" w:rsidRPr="00EC5CD4" w14:paraId="1534D4A0"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A8E547C"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14C144D"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0EB3C676"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21D15358"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76770C77"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50262598"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627D1581"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73AED52B" w14:textId="77777777" w:rsidR="00EC5CD4" w:rsidRPr="00EC5CD4" w:rsidRDefault="00EC5CD4" w:rsidP="00EC5CD4">
            <w:pPr>
              <w:jc w:val="right"/>
              <w:rPr>
                <w:sz w:val="20"/>
              </w:rPr>
            </w:pPr>
            <w:r w:rsidRPr="00EC5CD4">
              <w:rPr>
                <w:sz w:val="20"/>
              </w:rPr>
              <w:t>30,385</w:t>
            </w:r>
          </w:p>
        </w:tc>
      </w:tr>
      <w:tr w:rsidR="00EC5CD4" w:rsidRPr="00EC5CD4" w14:paraId="5FEC72B1"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6CDB74C" w14:textId="23A523D7" w:rsidR="00EC5CD4" w:rsidRPr="00EC5CD4" w:rsidRDefault="00EC5CD4" w:rsidP="00EC5CD4">
            <w:pPr>
              <w:rPr>
                <w:sz w:val="20"/>
              </w:rPr>
            </w:pPr>
            <w:r w:rsidRPr="00EC5CD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3CFDA8CA" w14:textId="77777777" w:rsidR="00EC5CD4" w:rsidRPr="00EC5CD4" w:rsidRDefault="00EC5CD4" w:rsidP="00EC5CD4">
            <w:pPr>
              <w:jc w:val="right"/>
              <w:rPr>
                <w:sz w:val="20"/>
              </w:rPr>
            </w:pPr>
            <w:r w:rsidRPr="00EC5CD4">
              <w:rPr>
                <w:sz w:val="20"/>
              </w:rPr>
              <w:t>2.99%</w:t>
            </w:r>
          </w:p>
        </w:tc>
        <w:tc>
          <w:tcPr>
            <w:tcW w:w="980" w:type="dxa"/>
            <w:tcBorders>
              <w:top w:val="nil"/>
              <w:left w:val="nil"/>
              <w:bottom w:val="nil"/>
              <w:right w:val="single" w:sz="4" w:space="0" w:color="auto"/>
            </w:tcBorders>
            <w:shd w:val="clear" w:color="auto" w:fill="auto"/>
            <w:noWrap/>
            <w:vAlign w:val="bottom"/>
            <w:hideMark/>
          </w:tcPr>
          <w:p w14:paraId="6A41207A" w14:textId="77777777" w:rsidR="00EC5CD4" w:rsidRPr="00EC5CD4" w:rsidRDefault="00EC5CD4" w:rsidP="00EC5CD4">
            <w:pPr>
              <w:jc w:val="right"/>
              <w:rPr>
                <w:sz w:val="20"/>
              </w:rPr>
            </w:pPr>
            <w:r w:rsidRPr="00EC5CD4">
              <w:rPr>
                <w:sz w:val="20"/>
              </w:rPr>
              <w:t>3.08%</w:t>
            </w:r>
          </w:p>
        </w:tc>
        <w:tc>
          <w:tcPr>
            <w:tcW w:w="980" w:type="dxa"/>
            <w:tcBorders>
              <w:top w:val="nil"/>
              <w:left w:val="nil"/>
              <w:bottom w:val="nil"/>
              <w:right w:val="single" w:sz="4" w:space="0" w:color="auto"/>
            </w:tcBorders>
            <w:shd w:val="clear" w:color="auto" w:fill="auto"/>
            <w:noWrap/>
            <w:vAlign w:val="bottom"/>
            <w:hideMark/>
          </w:tcPr>
          <w:p w14:paraId="5F87D304" w14:textId="77777777" w:rsidR="00EC5CD4" w:rsidRPr="00EC5CD4" w:rsidRDefault="00EC5CD4" w:rsidP="00EC5CD4">
            <w:pPr>
              <w:jc w:val="right"/>
              <w:rPr>
                <w:sz w:val="20"/>
              </w:rPr>
            </w:pPr>
            <w:r w:rsidRPr="00EC5CD4">
              <w:rPr>
                <w:sz w:val="20"/>
              </w:rPr>
              <w:t>3.14%</w:t>
            </w:r>
          </w:p>
        </w:tc>
        <w:tc>
          <w:tcPr>
            <w:tcW w:w="980" w:type="dxa"/>
            <w:tcBorders>
              <w:top w:val="nil"/>
              <w:left w:val="nil"/>
              <w:bottom w:val="nil"/>
              <w:right w:val="nil"/>
            </w:tcBorders>
            <w:shd w:val="clear" w:color="auto" w:fill="auto"/>
            <w:noWrap/>
            <w:vAlign w:val="bottom"/>
            <w:hideMark/>
          </w:tcPr>
          <w:p w14:paraId="78B73377" w14:textId="77777777" w:rsidR="00EC5CD4" w:rsidRPr="00EC5CD4" w:rsidRDefault="00EC5CD4" w:rsidP="00EC5CD4">
            <w:pPr>
              <w:jc w:val="right"/>
              <w:rPr>
                <w:sz w:val="20"/>
              </w:rPr>
            </w:pPr>
            <w:r w:rsidRPr="00EC5CD4">
              <w:rPr>
                <w:sz w:val="20"/>
              </w:rPr>
              <w:t>3.14%</w:t>
            </w:r>
          </w:p>
        </w:tc>
        <w:tc>
          <w:tcPr>
            <w:tcW w:w="980" w:type="dxa"/>
            <w:tcBorders>
              <w:top w:val="nil"/>
              <w:left w:val="single" w:sz="4" w:space="0" w:color="auto"/>
              <w:bottom w:val="nil"/>
              <w:right w:val="single" w:sz="4" w:space="0" w:color="auto"/>
            </w:tcBorders>
            <w:shd w:val="clear" w:color="auto" w:fill="auto"/>
            <w:noWrap/>
            <w:vAlign w:val="bottom"/>
            <w:hideMark/>
          </w:tcPr>
          <w:p w14:paraId="273E5577" w14:textId="77777777" w:rsidR="00EC5CD4" w:rsidRPr="00EC5CD4" w:rsidRDefault="00EC5CD4" w:rsidP="00EC5CD4">
            <w:pPr>
              <w:jc w:val="right"/>
              <w:rPr>
                <w:sz w:val="20"/>
              </w:rPr>
            </w:pPr>
            <w:r w:rsidRPr="00EC5CD4">
              <w:rPr>
                <w:sz w:val="20"/>
              </w:rPr>
              <w:t>3.14%</w:t>
            </w:r>
          </w:p>
        </w:tc>
        <w:tc>
          <w:tcPr>
            <w:tcW w:w="980" w:type="dxa"/>
            <w:tcBorders>
              <w:top w:val="nil"/>
              <w:left w:val="nil"/>
              <w:bottom w:val="nil"/>
              <w:right w:val="single" w:sz="4" w:space="0" w:color="auto"/>
            </w:tcBorders>
            <w:shd w:val="clear" w:color="auto" w:fill="auto"/>
            <w:noWrap/>
            <w:vAlign w:val="bottom"/>
            <w:hideMark/>
          </w:tcPr>
          <w:p w14:paraId="1D618C2D" w14:textId="77777777" w:rsidR="00EC5CD4" w:rsidRPr="00EC5CD4" w:rsidRDefault="00EC5CD4" w:rsidP="00EC5CD4">
            <w:pPr>
              <w:jc w:val="right"/>
              <w:rPr>
                <w:sz w:val="20"/>
              </w:rPr>
            </w:pPr>
            <w:r w:rsidRPr="00EC5CD4">
              <w:rPr>
                <w:sz w:val="20"/>
              </w:rPr>
              <w:t>3.14%</w:t>
            </w:r>
          </w:p>
        </w:tc>
        <w:tc>
          <w:tcPr>
            <w:tcW w:w="980" w:type="dxa"/>
            <w:tcBorders>
              <w:top w:val="nil"/>
              <w:left w:val="nil"/>
              <w:bottom w:val="nil"/>
              <w:right w:val="single" w:sz="4" w:space="0" w:color="auto"/>
            </w:tcBorders>
            <w:shd w:val="clear" w:color="auto" w:fill="auto"/>
            <w:noWrap/>
            <w:vAlign w:val="bottom"/>
            <w:hideMark/>
          </w:tcPr>
          <w:p w14:paraId="424B5AF0" w14:textId="77777777" w:rsidR="00EC5CD4" w:rsidRPr="00EC5CD4" w:rsidRDefault="00EC5CD4" w:rsidP="00EC5CD4">
            <w:pPr>
              <w:jc w:val="right"/>
              <w:rPr>
                <w:sz w:val="20"/>
              </w:rPr>
            </w:pPr>
            <w:r w:rsidRPr="00EC5CD4">
              <w:rPr>
                <w:sz w:val="20"/>
              </w:rPr>
              <w:t>3.02%</w:t>
            </w:r>
          </w:p>
        </w:tc>
      </w:tr>
      <w:tr w:rsidR="00EC5CD4" w:rsidRPr="00EC5CD4" w14:paraId="04A0AD02"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0CF8D169"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866C35" w14:textId="15917CAF" w:rsidR="00EC5CD4" w:rsidRPr="00EC5CD4" w:rsidRDefault="00EC5CD4" w:rsidP="00EC5CD4">
            <w:pPr>
              <w:rPr>
                <w:sz w:val="20"/>
              </w:rPr>
            </w:pPr>
            <w:r w:rsidRPr="00EC5CD4">
              <w:rPr>
                <w:sz w:val="20"/>
              </w:rPr>
              <w:t>10,796</w:t>
            </w:r>
          </w:p>
        </w:tc>
        <w:tc>
          <w:tcPr>
            <w:tcW w:w="980" w:type="dxa"/>
            <w:tcBorders>
              <w:top w:val="nil"/>
              <w:left w:val="nil"/>
              <w:bottom w:val="single" w:sz="4" w:space="0" w:color="auto"/>
              <w:right w:val="single" w:sz="4" w:space="0" w:color="auto"/>
            </w:tcBorders>
            <w:shd w:val="clear" w:color="auto" w:fill="auto"/>
            <w:noWrap/>
            <w:vAlign w:val="bottom"/>
            <w:hideMark/>
          </w:tcPr>
          <w:p w14:paraId="7FF1F688" w14:textId="7DC9E413" w:rsidR="00EC5CD4" w:rsidRPr="00EC5CD4" w:rsidRDefault="00EC5CD4" w:rsidP="00EC5CD4">
            <w:pPr>
              <w:rPr>
                <w:sz w:val="20"/>
              </w:rPr>
            </w:pPr>
            <w:r w:rsidRPr="00EC5CD4">
              <w:rPr>
                <w:sz w:val="20"/>
              </w:rPr>
              <w:t>1,887</w:t>
            </w:r>
          </w:p>
        </w:tc>
        <w:tc>
          <w:tcPr>
            <w:tcW w:w="980" w:type="dxa"/>
            <w:tcBorders>
              <w:top w:val="nil"/>
              <w:left w:val="nil"/>
              <w:bottom w:val="single" w:sz="4" w:space="0" w:color="auto"/>
              <w:right w:val="single" w:sz="4" w:space="0" w:color="auto"/>
            </w:tcBorders>
            <w:shd w:val="clear" w:color="auto" w:fill="auto"/>
            <w:noWrap/>
            <w:vAlign w:val="bottom"/>
            <w:hideMark/>
          </w:tcPr>
          <w:p w14:paraId="008BB1FA" w14:textId="11223A3F" w:rsidR="00EC5CD4" w:rsidRPr="00EC5CD4" w:rsidRDefault="00EC5CD4" w:rsidP="00EC5CD4">
            <w:pPr>
              <w:rPr>
                <w:sz w:val="20"/>
              </w:rPr>
            </w:pPr>
            <w:r w:rsidRPr="00EC5CD4">
              <w:rPr>
                <w:sz w:val="20"/>
              </w:rPr>
              <w:t>967</w:t>
            </w:r>
          </w:p>
        </w:tc>
        <w:tc>
          <w:tcPr>
            <w:tcW w:w="980" w:type="dxa"/>
            <w:tcBorders>
              <w:top w:val="nil"/>
              <w:left w:val="nil"/>
              <w:bottom w:val="single" w:sz="4" w:space="0" w:color="auto"/>
              <w:right w:val="single" w:sz="4" w:space="0" w:color="auto"/>
            </w:tcBorders>
            <w:shd w:val="clear" w:color="auto" w:fill="auto"/>
            <w:noWrap/>
            <w:vAlign w:val="bottom"/>
            <w:hideMark/>
          </w:tcPr>
          <w:p w14:paraId="0A376CF6" w14:textId="23084DFA" w:rsidR="00EC5CD4" w:rsidRPr="00EC5CD4" w:rsidRDefault="00EC5CD4" w:rsidP="00EC5CD4">
            <w:pPr>
              <w:rPr>
                <w:sz w:val="20"/>
              </w:rPr>
            </w:pPr>
            <w:r w:rsidRPr="00EC5CD4">
              <w:rPr>
                <w:sz w:val="20"/>
              </w:rPr>
              <w:t>775</w:t>
            </w:r>
          </w:p>
        </w:tc>
        <w:tc>
          <w:tcPr>
            <w:tcW w:w="980" w:type="dxa"/>
            <w:tcBorders>
              <w:top w:val="nil"/>
              <w:left w:val="nil"/>
              <w:bottom w:val="single" w:sz="4" w:space="0" w:color="auto"/>
              <w:right w:val="single" w:sz="4" w:space="0" w:color="auto"/>
            </w:tcBorders>
            <w:shd w:val="clear" w:color="auto" w:fill="auto"/>
            <w:noWrap/>
            <w:vAlign w:val="bottom"/>
            <w:hideMark/>
          </w:tcPr>
          <w:p w14:paraId="0B5BC222" w14:textId="3174F7C8" w:rsidR="00EC5CD4" w:rsidRPr="00EC5CD4" w:rsidRDefault="00EC5CD4" w:rsidP="00EC5CD4">
            <w:pPr>
              <w:rPr>
                <w:sz w:val="20"/>
              </w:rPr>
            </w:pPr>
            <w:r w:rsidRPr="00EC5CD4">
              <w:rPr>
                <w:sz w:val="20"/>
              </w:rPr>
              <w:t>65</w:t>
            </w:r>
          </w:p>
        </w:tc>
        <w:tc>
          <w:tcPr>
            <w:tcW w:w="980" w:type="dxa"/>
            <w:tcBorders>
              <w:top w:val="nil"/>
              <w:left w:val="nil"/>
              <w:bottom w:val="single" w:sz="4" w:space="0" w:color="auto"/>
              <w:right w:val="single" w:sz="4" w:space="0" w:color="auto"/>
            </w:tcBorders>
            <w:shd w:val="clear" w:color="auto" w:fill="auto"/>
            <w:noWrap/>
            <w:vAlign w:val="bottom"/>
            <w:hideMark/>
          </w:tcPr>
          <w:p w14:paraId="5A334A22" w14:textId="35FE6A98" w:rsidR="00EC5CD4" w:rsidRPr="00EC5CD4" w:rsidRDefault="00EC5CD4" w:rsidP="00EC5CD4">
            <w:pPr>
              <w:rPr>
                <w:sz w:val="20"/>
              </w:rPr>
            </w:pPr>
            <w:r w:rsidRPr="00EC5CD4">
              <w:rPr>
                <w:sz w:val="20"/>
              </w:rPr>
              <w:t>127</w:t>
            </w:r>
          </w:p>
        </w:tc>
        <w:tc>
          <w:tcPr>
            <w:tcW w:w="980" w:type="dxa"/>
            <w:tcBorders>
              <w:top w:val="nil"/>
              <w:left w:val="nil"/>
              <w:bottom w:val="single" w:sz="4" w:space="0" w:color="auto"/>
              <w:right w:val="single" w:sz="4" w:space="0" w:color="auto"/>
            </w:tcBorders>
            <w:shd w:val="clear" w:color="auto" w:fill="auto"/>
            <w:noWrap/>
            <w:vAlign w:val="bottom"/>
            <w:hideMark/>
          </w:tcPr>
          <w:p w14:paraId="7CAFF03F" w14:textId="6B243E41" w:rsidR="00EC5CD4" w:rsidRPr="00EC5CD4" w:rsidRDefault="00EC5CD4" w:rsidP="00EC5CD4">
            <w:pPr>
              <w:rPr>
                <w:sz w:val="20"/>
              </w:rPr>
            </w:pPr>
            <w:r w:rsidRPr="00EC5CD4">
              <w:rPr>
                <w:sz w:val="20"/>
              </w:rPr>
              <w:t>919</w:t>
            </w:r>
          </w:p>
        </w:tc>
      </w:tr>
      <w:tr w:rsidR="00EC5CD4" w:rsidRPr="00EC5CD4" w14:paraId="4F64D66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319CC9E"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2FCB874A" w14:textId="68753FEB"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2E11FD12"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326778E" w14:textId="75220165"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75C53828"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A0851DE" w14:textId="349C7687"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1C397B75" w14:textId="717BF62D"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6441E7C1" w14:textId="3BA01415" w:rsidR="00EC5CD4" w:rsidRPr="00EC5CD4" w:rsidRDefault="00EC5CD4" w:rsidP="00EC5CD4">
            <w:pPr>
              <w:rPr>
                <w:sz w:val="20"/>
              </w:rPr>
            </w:pPr>
          </w:p>
        </w:tc>
      </w:tr>
      <w:tr w:rsidR="00EC5CD4" w:rsidRPr="00EC5CD4" w14:paraId="586A4348"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A8291A6"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E1A71C9"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478BF5C0"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5F5F9666"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7119A41D"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7FB9DD4C"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186BBB0D"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77F3A0BC" w14:textId="77777777" w:rsidR="00EC5CD4" w:rsidRPr="00EC5CD4" w:rsidRDefault="00EC5CD4" w:rsidP="00EC5CD4">
            <w:pPr>
              <w:jc w:val="right"/>
              <w:rPr>
                <w:sz w:val="20"/>
              </w:rPr>
            </w:pPr>
            <w:r w:rsidRPr="00EC5CD4">
              <w:rPr>
                <w:sz w:val="20"/>
              </w:rPr>
              <w:t>37,617</w:t>
            </w:r>
          </w:p>
        </w:tc>
      </w:tr>
      <w:tr w:rsidR="00EC5CD4" w:rsidRPr="00EC5CD4" w14:paraId="5C7FF10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FA40C13"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3703CD2" w14:textId="77777777" w:rsidR="00EC5CD4" w:rsidRPr="00EC5CD4" w:rsidRDefault="00EC5CD4" w:rsidP="00EC5CD4">
            <w:pPr>
              <w:jc w:val="right"/>
              <w:rPr>
                <w:sz w:val="20"/>
              </w:rPr>
            </w:pPr>
            <w:r w:rsidRPr="00EC5CD4">
              <w:rPr>
                <w:sz w:val="20"/>
              </w:rPr>
              <w:t>6.33%</w:t>
            </w:r>
          </w:p>
        </w:tc>
        <w:tc>
          <w:tcPr>
            <w:tcW w:w="980" w:type="dxa"/>
            <w:tcBorders>
              <w:top w:val="nil"/>
              <w:left w:val="nil"/>
              <w:bottom w:val="nil"/>
              <w:right w:val="single" w:sz="4" w:space="0" w:color="auto"/>
            </w:tcBorders>
            <w:shd w:val="clear" w:color="auto" w:fill="auto"/>
            <w:noWrap/>
            <w:vAlign w:val="bottom"/>
            <w:hideMark/>
          </w:tcPr>
          <w:p w14:paraId="13DA3150" w14:textId="77777777" w:rsidR="00EC5CD4" w:rsidRPr="00EC5CD4" w:rsidRDefault="00EC5CD4" w:rsidP="00EC5CD4">
            <w:pPr>
              <w:jc w:val="right"/>
              <w:rPr>
                <w:sz w:val="20"/>
              </w:rPr>
            </w:pPr>
            <w:r w:rsidRPr="00EC5CD4">
              <w:rPr>
                <w:sz w:val="20"/>
              </w:rPr>
              <w:t>6.62%</w:t>
            </w:r>
          </w:p>
        </w:tc>
        <w:tc>
          <w:tcPr>
            <w:tcW w:w="980" w:type="dxa"/>
            <w:tcBorders>
              <w:top w:val="nil"/>
              <w:left w:val="nil"/>
              <w:bottom w:val="nil"/>
              <w:right w:val="single" w:sz="4" w:space="0" w:color="auto"/>
            </w:tcBorders>
            <w:shd w:val="clear" w:color="auto" w:fill="auto"/>
            <w:noWrap/>
            <w:vAlign w:val="bottom"/>
            <w:hideMark/>
          </w:tcPr>
          <w:p w14:paraId="34A2888E" w14:textId="77777777" w:rsidR="00EC5CD4" w:rsidRPr="00EC5CD4" w:rsidRDefault="00EC5CD4" w:rsidP="00EC5CD4">
            <w:pPr>
              <w:jc w:val="right"/>
              <w:rPr>
                <w:sz w:val="20"/>
              </w:rPr>
            </w:pPr>
            <w:r w:rsidRPr="00EC5CD4">
              <w:rPr>
                <w:sz w:val="20"/>
              </w:rPr>
              <w:t>6.80%</w:t>
            </w:r>
          </w:p>
        </w:tc>
        <w:tc>
          <w:tcPr>
            <w:tcW w:w="980" w:type="dxa"/>
            <w:tcBorders>
              <w:top w:val="nil"/>
              <w:left w:val="nil"/>
              <w:bottom w:val="nil"/>
              <w:right w:val="nil"/>
            </w:tcBorders>
            <w:shd w:val="clear" w:color="auto" w:fill="auto"/>
            <w:noWrap/>
            <w:vAlign w:val="bottom"/>
            <w:hideMark/>
          </w:tcPr>
          <w:p w14:paraId="5A5D75CB" w14:textId="77777777" w:rsidR="00EC5CD4" w:rsidRPr="00EC5CD4" w:rsidRDefault="00EC5CD4" w:rsidP="00EC5CD4">
            <w:pPr>
              <w:jc w:val="right"/>
              <w:rPr>
                <w:sz w:val="20"/>
              </w:rPr>
            </w:pPr>
            <w:r w:rsidRPr="00EC5CD4">
              <w:rPr>
                <w:sz w:val="20"/>
              </w:rPr>
              <w:t>6.80%</w:t>
            </w:r>
          </w:p>
        </w:tc>
        <w:tc>
          <w:tcPr>
            <w:tcW w:w="980" w:type="dxa"/>
            <w:tcBorders>
              <w:top w:val="nil"/>
              <w:left w:val="single" w:sz="4" w:space="0" w:color="auto"/>
              <w:bottom w:val="nil"/>
              <w:right w:val="single" w:sz="4" w:space="0" w:color="auto"/>
            </w:tcBorders>
            <w:shd w:val="clear" w:color="auto" w:fill="auto"/>
            <w:noWrap/>
            <w:vAlign w:val="bottom"/>
            <w:hideMark/>
          </w:tcPr>
          <w:p w14:paraId="4E7CCE27" w14:textId="77777777" w:rsidR="00EC5CD4" w:rsidRPr="00EC5CD4" w:rsidRDefault="00EC5CD4" w:rsidP="00EC5CD4">
            <w:pPr>
              <w:jc w:val="right"/>
              <w:rPr>
                <w:sz w:val="20"/>
              </w:rPr>
            </w:pPr>
            <w:r w:rsidRPr="00EC5CD4">
              <w:rPr>
                <w:sz w:val="20"/>
              </w:rPr>
              <w:t>6.80%</w:t>
            </w:r>
          </w:p>
        </w:tc>
        <w:tc>
          <w:tcPr>
            <w:tcW w:w="980" w:type="dxa"/>
            <w:tcBorders>
              <w:top w:val="nil"/>
              <w:left w:val="nil"/>
              <w:bottom w:val="nil"/>
              <w:right w:val="single" w:sz="4" w:space="0" w:color="auto"/>
            </w:tcBorders>
            <w:shd w:val="clear" w:color="auto" w:fill="auto"/>
            <w:noWrap/>
            <w:vAlign w:val="bottom"/>
            <w:hideMark/>
          </w:tcPr>
          <w:p w14:paraId="24FD8D1B" w14:textId="77777777" w:rsidR="00EC5CD4" w:rsidRPr="00EC5CD4" w:rsidRDefault="00EC5CD4" w:rsidP="00EC5CD4">
            <w:pPr>
              <w:jc w:val="right"/>
              <w:rPr>
                <w:sz w:val="20"/>
              </w:rPr>
            </w:pPr>
            <w:r w:rsidRPr="00EC5CD4">
              <w:rPr>
                <w:sz w:val="20"/>
              </w:rPr>
              <w:t>6.80%</w:t>
            </w:r>
          </w:p>
        </w:tc>
        <w:tc>
          <w:tcPr>
            <w:tcW w:w="980" w:type="dxa"/>
            <w:tcBorders>
              <w:top w:val="nil"/>
              <w:left w:val="nil"/>
              <w:bottom w:val="nil"/>
              <w:right w:val="single" w:sz="4" w:space="0" w:color="auto"/>
            </w:tcBorders>
            <w:shd w:val="clear" w:color="auto" w:fill="auto"/>
            <w:noWrap/>
            <w:vAlign w:val="bottom"/>
            <w:hideMark/>
          </w:tcPr>
          <w:p w14:paraId="2E1AFD9B" w14:textId="77777777" w:rsidR="00EC5CD4" w:rsidRPr="00EC5CD4" w:rsidRDefault="00EC5CD4" w:rsidP="00EC5CD4">
            <w:pPr>
              <w:jc w:val="right"/>
              <w:rPr>
                <w:sz w:val="20"/>
              </w:rPr>
            </w:pPr>
            <w:r w:rsidRPr="00EC5CD4">
              <w:rPr>
                <w:sz w:val="20"/>
              </w:rPr>
              <w:t>6.37%</w:t>
            </w:r>
          </w:p>
        </w:tc>
      </w:tr>
      <w:tr w:rsidR="00EC5CD4" w:rsidRPr="00EC5CD4" w14:paraId="5F96F295"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34DC16E"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9025B6C" w14:textId="370BB4A8" w:rsidR="00EC5CD4" w:rsidRPr="00EC5CD4" w:rsidRDefault="00EC5CD4" w:rsidP="00EC5CD4">
            <w:pPr>
              <w:rPr>
                <w:sz w:val="20"/>
              </w:rPr>
            </w:pPr>
            <w:r w:rsidRPr="00EC5CD4">
              <w:rPr>
                <w:sz w:val="20"/>
              </w:rPr>
              <w:t>30,621</w:t>
            </w:r>
          </w:p>
        </w:tc>
        <w:tc>
          <w:tcPr>
            <w:tcW w:w="980" w:type="dxa"/>
            <w:tcBorders>
              <w:top w:val="nil"/>
              <w:left w:val="nil"/>
              <w:bottom w:val="single" w:sz="4" w:space="0" w:color="auto"/>
              <w:right w:val="single" w:sz="4" w:space="0" w:color="auto"/>
            </w:tcBorders>
            <w:shd w:val="clear" w:color="auto" w:fill="auto"/>
            <w:noWrap/>
            <w:vAlign w:val="bottom"/>
            <w:hideMark/>
          </w:tcPr>
          <w:p w14:paraId="7A7A1C7E" w14:textId="7354A2F1" w:rsidR="00EC5CD4" w:rsidRPr="00EC5CD4" w:rsidRDefault="00EC5CD4" w:rsidP="00EC5CD4">
            <w:pPr>
              <w:rPr>
                <w:sz w:val="20"/>
              </w:rPr>
            </w:pPr>
            <w:r w:rsidRPr="00EC5CD4">
              <w:rPr>
                <w:sz w:val="20"/>
              </w:rPr>
              <w:t>5,458</w:t>
            </w:r>
          </w:p>
        </w:tc>
        <w:tc>
          <w:tcPr>
            <w:tcW w:w="980" w:type="dxa"/>
            <w:tcBorders>
              <w:top w:val="nil"/>
              <w:left w:val="nil"/>
              <w:bottom w:val="single" w:sz="4" w:space="0" w:color="auto"/>
              <w:right w:val="single" w:sz="4" w:space="0" w:color="auto"/>
            </w:tcBorders>
            <w:shd w:val="clear" w:color="auto" w:fill="auto"/>
            <w:noWrap/>
            <w:vAlign w:val="bottom"/>
            <w:hideMark/>
          </w:tcPr>
          <w:p w14:paraId="39A3FAF2" w14:textId="224167D2" w:rsidR="00EC5CD4" w:rsidRPr="00EC5CD4" w:rsidRDefault="00EC5CD4" w:rsidP="00EC5CD4">
            <w:pPr>
              <w:rPr>
                <w:sz w:val="20"/>
              </w:rPr>
            </w:pPr>
            <w:r w:rsidRPr="00EC5CD4">
              <w:rPr>
                <w:sz w:val="20"/>
              </w:rPr>
              <w:t>3,045</w:t>
            </w:r>
          </w:p>
        </w:tc>
        <w:tc>
          <w:tcPr>
            <w:tcW w:w="980" w:type="dxa"/>
            <w:tcBorders>
              <w:top w:val="nil"/>
              <w:left w:val="nil"/>
              <w:bottom w:val="single" w:sz="4" w:space="0" w:color="auto"/>
              <w:right w:val="single" w:sz="4" w:space="0" w:color="auto"/>
            </w:tcBorders>
            <w:shd w:val="clear" w:color="auto" w:fill="auto"/>
            <w:noWrap/>
            <w:vAlign w:val="bottom"/>
            <w:hideMark/>
          </w:tcPr>
          <w:p w14:paraId="62DEE26A" w14:textId="6F17D4EF" w:rsidR="00EC5CD4" w:rsidRPr="00EC5CD4" w:rsidRDefault="00EC5CD4" w:rsidP="00EC5CD4">
            <w:pPr>
              <w:rPr>
                <w:sz w:val="20"/>
              </w:rPr>
            </w:pPr>
            <w:r w:rsidRPr="00EC5CD4">
              <w:rPr>
                <w:sz w:val="20"/>
              </w:rPr>
              <w:t>2,610</w:t>
            </w:r>
          </w:p>
        </w:tc>
        <w:tc>
          <w:tcPr>
            <w:tcW w:w="980" w:type="dxa"/>
            <w:tcBorders>
              <w:top w:val="nil"/>
              <w:left w:val="nil"/>
              <w:bottom w:val="single" w:sz="4" w:space="0" w:color="auto"/>
              <w:right w:val="single" w:sz="4" w:space="0" w:color="auto"/>
            </w:tcBorders>
            <w:shd w:val="clear" w:color="auto" w:fill="auto"/>
            <w:noWrap/>
            <w:vAlign w:val="bottom"/>
            <w:hideMark/>
          </w:tcPr>
          <w:p w14:paraId="1BA0E7CF" w14:textId="64E1880D" w:rsidR="00EC5CD4" w:rsidRPr="00EC5CD4" w:rsidRDefault="00EC5CD4" w:rsidP="00EC5CD4">
            <w:pPr>
              <w:rPr>
                <w:sz w:val="20"/>
              </w:rPr>
            </w:pPr>
            <w:r w:rsidRPr="00EC5CD4">
              <w:rPr>
                <w:sz w:val="20"/>
              </w:rPr>
              <w:t>154</w:t>
            </w:r>
          </w:p>
        </w:tc>
        <w:tc>
          <w:tcPr>
            <w:tcW w:w="980" w:type="dxa"/>
            <w:tcBorders>
              <w:top w:val="nil"/>
              <w:left w:val="nil"/>
              <w:bottom w:val="single" w:sz="4" w:space="0" w:color="auto"/>
              <w:right w:val="single" w:sz="4" w:space="0" w:color="auto"/>
            </w:tcBorders>
            <w:shd w:val="clear" w:color="auto" w:fill="auto"/>
            <w:noWrap/>
            <w:vAlign w:val="bottom"/>
            <w:hideMark/>
          </w:tcPr>
          <w:p w14:paraId="06E9A7E0" w14:textId="7D67DAB6" w:rsidR="00EC5CD4" w:rsidRPr="00EC5CD4" w:rsidRDefault="00EC5CD4" w:rsidP="00EC5CD4">
            <w:pPr>
              <w:rPr>
                <w:sz w:val="20"/>
              </w:rPr>
            </w:pPr>
            <w:r w:rsidRPr="00EC5CD4">
              <w:rPr>
                <w:sz w:val="20"/>
              </w:rPr>
              <w:t>281</w:t>
            </w:r>
          </w:p>
        </w:tc>
        <w:tc>
          <w:tcPr>
            <w:tcW w:w="980" w:type="dxa"/>
            <w:tcBorders>
              <w:top w:val="nil"/>
              <w:left w:val="nil"/>
              <w:bottom w:val="single" w:sz="4" w:space="0" w:color="auto"/>
              <w:right w:val="single" w:sz="4" w:space="0" w:color="auto"/>
            </w:tcBorders>
            <w:shd w:val="clear" w:color="auto" w:fill="auto"/>
            <w:noWrap/>
            <w:vAlign w:val="bottom"/>
            <w:hideMark/>
          </w:tcPr>
          <w:p w14:paraId="4CD9EE47" w14:textId="02C527F4" w:rsidR="00EC5CD4" w:rsidRPr="00EC5CD4" w:rsidRDefault="00EC5CD4" w:rsidP="00EC5CD4">
            <w:pPr>
              <w:rPr>
                <w:sz w:val="20"/>
              </w:rPr>
            </w:pPr>
            <w:r w:rsidRPr="00EC5CD4">
              <w:rPr>
                <w:sz w:val="20"/>
              </w:rPr>
              <w:t>2,398</w:t>
            </w:r>
          </w:p>
        </w:tc>
      </w:tr>
      <w:tr w:rsidR="00EC5CD4" w:rsidRPr="00EC5CD4" w14:paraId="3732B62A"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3CE52156" w14:textId="5889AF7A" w:rsidR="00EC5CD4" w:rsidRPr="00EC5CD4" w:rsidRDefault="00EC5CD4" w:rsidP="00EC5CD4">
            <w:pPr>
              <w:rPr>
                <w:sz w:val="20"/>
              </w:rPr>
            </w:pPr>
            <w:r w:rsidRPr="00EC5CD4">
              <w:rPr>
                <w:sz w:val="20"/>
              </w:rPr>
              <w:t xml:space="preserve">Older Adults </w:t>
            </w:r>
            <w:r w:rsidR="00240C80">
              <w:rPr>
                <w:sz w:val="20"/>
              </w:rPr>
              <w:t>26+</w:t>
            </w:r>
            <w:r w:rsidRPr="00EC5CD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3D3CA69A" w14:textId="609A7F13"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5AD02AED" w14:textId="2209E80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F0B9CC9" w14:textId="71172324"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7B8AD14A" w14:textId="1FAC0AAD"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78BF0E8" w14:textId="26224639"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6EA5B2D8" w14:textId="0BECB51A"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65CAFC02" w14:textId="12EC695C" w:rsidR="00EC5CD4" w:rsidRPr="00EC5CD4" w:rsidRDefault="00EC5CD4" w:rsidP="00EC5CD4">
            <w:pPr>
              <w:rPr>
                <w:sz w:val="20"/>
              </w:rPr>
            </w:pPr>
          </w:p>
        </w:tc>
      </w:tr>
      <w:tr w:rsidR="00EC5CD4" w:rsidRPr="00EC5CD4" w14:paraId="455D5E30"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F833024"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6DAA879"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1D7E0A2B"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0758CFCB"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75284CC0"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26154FD2"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1AA3FEB0"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206E5FC9" w14:textId="77777777" w:rsidR="00EC5CD4" w:rsidRPr="00EC5CD4" w:rsidRDefault="00EC5CD4" w:rsidP="00EC5CD4">
            <w:pPr>
              <w:jc w:val="right"/>
              <w:rPr>
                <w:sz w:val="20"/>
              </w:rPr>
            </w:pPr>
            <w:r w:rsidRPr="00EC5CD4">
              <w:rPr>
                <w:sz w:val="20"/>
              </w:rPr>
              <w:t>299,579</w:t>
            </w:r>
          </w:p>
        </w:tc>
      </w:tr>
      <w:tr w:rsidR="00EC5CD4" w:rsidRPr="00EC5CD4" w14:paraId="49C222E9"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9F32BCF"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70E46BE7" w14:textId="77777777" w:rsidR="00EC5CD4" w:rsidRPr="00EC5CD4" w:rsidRDefault="00EC5CD4" w:rsidP="00EC5CD4">
            <w:pPr>
              <w:jc w:val="right"/>
              <w:rPr>
                <w:sz w:val="20"/>
              </w:rPr>
            </w:pPr>
            <w:r w:rsidRPr="00EC5CD4">
              <w:rPr>
                <w:sz w:val="20"/>
              </w:rPr>
              <w:t>3.85%</w:t>
            </w:r>
          </w:p>
        </w:tc>
        <w:tc>
          <w:tcPr>
            <w:tcW w:w="980" w:type="dxa"/>
            <w:tcBorders>
              <w:top w:val="nil"/>
              <w:left w:val="nil"/>
              <w:bottom w:val="nil"/>
              <w:right w:val="single" w:sz="4" w:space="0" w:color="auto"/>
            </w:tcBorders>
            <w:shd w:val="clear" w:color="auto" w:fill="auto"/>
            <w:noWrap/>
            <w:vAlign w:val="bottom"/>
            <w:hideMark/>
          </w:tcPr>
          <w:p w14:paraId="060C769B" w14:textId="77777777" w:rsidR="00EC5CD4" w:rsidRPr="00EC5CD4" w:rsidRDefault="00EC5CD4" w:rsidP="00EC5CD4">
            <w:pPr>
              <w:jc w:val="right"/>
              <w:rPr>
                <w:sz w:val="20"/>
              </w:rPr>
            </w:pPr>
            <w:r w:rsidRPr="00EC5CD4">
              <w:rPr>
                <w:sz w:val="20"/>
              </w:rPr>
              <w:t>3.96%</w:t>
            </w:r>
          </w:p>
        </w:tc>
        <w:tc>
          <w:tcPr>
            <w:tcW w:w="980" w:type="dxa"/>
            <w:tcBorders>
              <w:top w:val="nil"/>
              <w:left w:val="nil"/>
              <w:bottom w:val="nil"/>
              <w:right w:val="single" w:sz="4" w:space="0" w:color="auto"/>
            </w:tcBorders>
            <w:shd w:val="clear" w:color="auto" w:fill="auto"/>
            <w:noWrap/>
            <w:vAlign w:val="bottom"/>
            <w:hideMark/>
          </w:tcPr>
          <w:p w14:paraId="272ECB30" w14:textId="77777777" w:rsidR="00EC5CD4" w:rsidRPr="00EC5CD4" w:rsidRDefault="00EC5CD4" w:rsidP="00EC5CD4">
            <w:pPr>
              <w:jc w:val="right"/>
              <w:rPr>
                <w:sz w:val="20"/>
              </w:rPr>
            </w:pPr>
            <w:r w:rsidRPr="00EC5CD4">
              <w:rPr>
                <w:sz w:val="20"/>
              </w:rPr>
              <w:t>3.99%</w:t>
            </w:r>
          </w:p>
        </w:tc>
        <w:tc>
          <w:tcPr>
            <w:tcW w:w="980" w:type="dxa"/>
            <w:tcBorders>
              <w:top w:val="nil"/>
              <w:left w:val="nil"/>
              <w:bottom w:val="nil"/>
              <w:right w:val="nil"/>
            </w:tcBorders>
            <w:shd w:val="clear" w:color="auto" w:fill="auto"/>
            <w:noWrap/>
            <w:vAlign w:val="bottom"/>
            <w:hideMark/>
          </w:tcPr>
          <w:p w14:paraId="4935B0BA" w14:textId="77777777" w:rsidR="00EC5CD4" w:rsidRPr="00EC5CD4" w:rsidRDefault="00EC5CD4" w:rsidP="00EC5CD4">
            <w:pPr>
              <w:jc w:val="right"/>
              <w:rPr>
                <w:sz w:val="20"/>
              </w:rPr>
            </w:pPr>
            <w:r w:rsidRPr="00EC5CD4">
              <w:rPr>
                <w:sz w:val="20"/>
              </w:rPr>
              <w:t>3.99%</w:t>
            </w:r>
          </w:p>
        </w:tc>
        <w:tc>
          <w:tcPr>
            <w:tcW w:w="980" w:type="dxa"/>
            <w:tcBorders>
              <w:top w:val="nil"/>
              <w:left w:val="single" w:sz="4" w:space="0" w:color="auto"/>
              <w:bottom w:val="nil"/>
              <w:right w:val="single" w:sz="4" w:space="0" w:color="auto"/>
            </w:tcBorders>
            <w:shd w:val="clear" w:color="auto" w:fill="auto"/>
            <w:noWrap/>
            <w:vAlign w:val="bottom"/>
            <w:hideMark/>
          </w:tcPr>
          <w:p w14:paraId="2BC9A391" w14:textId="77777777" w:rsidR="00EC5CD4" w:rsidRPr="00EC5CD4" w:rsidRDefault="00EC5CD4" w:rsidP="00EC5CD4">
            <w:pPr>
              <w:jc w:val="right"/>
              <w:rPr>
                <w:sz w:val="20"/>
              </w:rPr>
            </w:pPr>
            <w:r w:rsidRPr="00EC5CD4">
              <w:rPr>
                <w:sz w:val="20"/>
              </w:rPr>
              <w:t>3.99%</w:t>
            </w:r>
          </w:p>
        </w:tc>
        <w:tc>
          <w:tcPr>
            <w:tcW w:w="980" w:type="dxa"/>
            <w:tcBorders>
              <w:top w:val="nil"/>
              <w:left w:val="nil"/>
              <w:bottom w:val="nil"/>
              <w:right w:val="single" w:sz="4" w:space="0" w:color="auto"/>
            </w:tcBorders>
            <w:shd w:val="clear" w:color="auto" w:fill="auto"/>
            <w:noWrap/>
            <w:vAlign w:val="bottom"/>
            <w:hideMark/>
          </w:tcPr>
          <w:p w14:paraId="7194BCE7" w14:textId="77777777" w:rsidR="00EC5CD4" w:rsidRPr="00EC5CD4" w:rsidRDefault="00EC5CD4" w:rsidP="00EC5CD4">
            <w:pPr>
              <w:jc w:val="right"/>
              <w:rPr>
                <w:sz w:val="20"/>
              </w:rPr>
            </w:pPr>
            <w:r w:rsidRPr="00EC5CD4">
              <w:rPr>
                <w:sz w:val="20"/>
              </w:rPr>
              <w:t>3.99%</w:t>
            </w:r>
          </w:p>
        </w:tc>
        <w:tc>
          <w:tcPr>
            <w:tcW w:w="980" w:type="dxa"/>
            <w:tcBorders>
              <w:top w:val="nil"/>
              <w:left w:val="nil"/>
              <w:bottom w:val="nil"/>
              <w:right w:val="single" w:sz="4" w:space="0" w:color="auto"/>
            </w:tcBorders>
            <w:shd w:val="clear" w:color="auto" w:fill="auto"/>
            <w:noWrap/>
            <w:vAlign w:val="bottom"/>
            <w:hideMark/>
          </w:tcPr>
          <w:p w14:paraId="721FD1D7" w14:textId="77777777" w:rsidR="00EC5CD4" w:rsidRPr="00EC5CD4" w:rsidRDefault="00EC5CD4" w:rsidP="00EC5CD4">
            <w:pPr>
              <w:jc w:val="right"/>
              <w:rPr>
                <w:sz w:val="20"/>
              </w:rPr>
            </w:pPr>
            <w:r w:rsidRPr="00EC5CD4">
              <w:rPr>
                <w:sz w:val="20"/>
              </w:rPr>
              <w:t>3.94%</w:t>
            </w:r>
          </w:p>
        </w:tc>
      </w:tr>
      <w:tr w:rsidR="00EC5CD4" w:rsidRPr="00EC5CD4" w14:paraId="4199CAD6"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7C21D96"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CF5CE46" w14:textId="1C63AFC6" w:rsidR="00EC5CD4" w:rsidRPr="00EC5CD4" w:rsidRDefault="00EC5CD4" w:rsidP="00EC5CD4">
            <w:pPr>
              <w:rPr>
                <w:sz w:val="20"/>
              </w:rPr>
            </w:pPr>
            <w:r w:rsidRPr="00EC5CD4">
              <w:rPr>
                <w:sz w:val="20"/>
              </w:rPr>
              <w:t>118,556</w:t>
            </w:r>
          </w:p>
        </w:tc>
        <w:tc>
          <w:tcPr>
            <w:tcW w:w="980" w:type="dxa"/>
            <w:tcBorders>
              <w:top w:val="nil"/>
              <w:left w:val="nil"/>
              <w:bottom w:val="single" w:sz="4" w:space="0" w:color="auto"/>
              <w:right w:val="single" w:sz="4" w:space="0" w:color="auto"/>
            </w:tcBorders>
            <w:shd w:val="clear" w:color="auto" w:fill="auto"/>
            <w:noWrap/>
            <w:vAlign w:val="bottom"/>
            <w:hideMark/>
          </w:tcPr>
          <w:p w14:paraId="6CF7118B" w14:textId="6BDCA71B" w:rsidR="00EC5CD4" w:rsidRPr="00EC5CD4" w:rsidRDefault="00EC5CD4" w:rsidP="00EC5CD4">
            <w:pPr>
              <w:rPr>
                <w:sz w:val="20"/>
              </w:rPr>
            </w:pPr>
            <w:r w:rsidRPr="00EC5CD4">
              <w:rPr>
                <w:sz w:val="20"/>
              </w:rPr>
              <w:t>24,552</w:t>
            </w:r>
          </w:p>
        </w:tc>
        <w:tc>
          <w:tcPr>
            <w:tcW w:w="980" w:type="dxa"/>
            <w:tcBorders>
              <w:top w:val="nil"/>
              <w:left w:val="nil"/>
              <w:bottom w:val="single" w:sz="4" w:space="0" w:color="auto"/>
              <w:right w:val="single" w:sz="4" w:space="0" w:color="auto"/>
            </w:tcBorders>
            <w:shd w:val="clear" w:color="auto" w:fill="auto"/>
            <w:noWrap/>
            <w:vAlign w:val="bottom"/>
            <w:hideMark/>
          </w:tcPr>
          <w:p w14:paraId="5D68F196" w14:textId="1F4AB2AC" w:rsidR="00EC5CD4" w:rsidRPr="00EC5CD4" w:rsidRDefault="00EC5CD4" w:rsidP="00EC5CD4">
            <w:pPr>
              <w:rPr>
                <w:sz w:val="20"/>
              </w:rPr>
            </w:pPr>
            <w:r w:rsidRPr="00EC5CD4">
              <w:rPr>
                <w:sz w:val="20"/>
              </w:rPr>
              <w:t>12,759</w:t>
            </w:r>
          </w:p>
        </w:tc>
        <w:tc>
          <w:tcPr>
            <w:tcW w:w="980" w:type="dxa"/>
            <w:tcBorders>
              <w:top w:val="nil"/>
              <w:left w:val="nil"/>
              <w:bottom w:val="single" w:sz="4" w:space="0" w:color="auto"/>
              <w:right w:val="single" w:sz="4" w:space="0" w:color="auto"/>
            </w:tcBorders>
            <w:shd w:val="clear" w:color="auto" w:fill="auto"/>
            <w:noWrap/>
            <w:vAlign w:val="bottom"/>
            <w:hideMark/>
          </w:tcPr>
          <w:p w14:paraId="1E08FD82" w14:textId="1DF5E020" w:rsidR="00EC5CD4" w:rsidRPr="00EC5CD4" w:rsidRDefault="00EC5CD4" w:rsidP="00EC5CD4">
            <w:pPr>
              <w:rPr>
                <w:sz w:val="20"/>
              </w:rPr>
            </w:pPr>
            <w:r w:rsidRPr="00EC5CD4">
              <w:rPr>
                <w:sz w:val="20"/>
              </w:rPr>
              <w:t>10,942</w:t>
            </w:r>
          </w:p>
        </w:tc>
        <w:tc>
          <w:tcPr>
            <w:tcW w:w="980" w:type="dxa"/>
            <w:tcBorders>
              <w:top w:val="nil"/>
              <w:left w:val="nil"/>
              <w:bottom w:val="single" w:sz="4" w:space="0" w:color="auto"/>
              <w:right w:val="single" w:sz="4" w:space="0" w:color="auto"/>
            </w:tcBorders>
            <w:shd w:val="clear" w:color="auto" w:fill="auto"/>
            <w:noWrap/>
            <w:vAlign w:val="bottom"/>
            <w:hideMark/>
          </w:tcPr>
          <w:p w14:paraId="59F21AEC" w14:textId="3BFBE770" w:rsidR="00EC5CD4" w:rsidRPr="00EC5CD4" w:rsidRDefault="00EC5CD4" w:rsidP="00EC5CD4">
            <w:pPr>
              <w:rPr>
                <w:sz w:val="20"/>
              </w:rPr>
            </w:pPr>
            <w:r w:rsidRPr="00EC5CD4">
              <w:rPr>
                <w:sz w:val="20"/>
              </w:rPr>
              <w:t>596</w:t>
            </w:r>
          </w:p>
        </w:tc>
        <w:tc>
          <w:tcPr>
            <w:tcW w:w="980" w:type="dxa"/>
            <w:tcBorders>
              <w:top w:val="nil"/>
              <w:left w:val="nil"/>
              <w:bottom w:val="single" w:sz="4" w:space="0" w:color="auto"/>
              <w:right w:val="single" w:sz="4" w:space="0" w:color="auto"/>
            </w:tcBorders>
            <w:shd w:val="clear" w:color="auto" w:fill="auto"/>
            <w:noWrap/>
            <w:vAlign w:val="bottom"/>
            <w:hideMark/>
          </w:tcPr>
          <w:p w14:paraId="37FFC081" w14:textId="700ADC30" w:rsidR="00EC5CD4" w:rsidRPr="00EC5CD4" w:rsidRDefault="00EC5CD4" w:rsidP="00EC5CD4">
            <w:pPr>
              <w:rPr>
                <w:sz w:val="20"/>
              </w:rPr>
            </w:pPr>
            <w:r w:rsidRPr="00EC5CD4">
              <w:rPr>
                <w:sz w:val="20"/>
              </w:rPr>
              <w:t>1,220</w:t>
            </w:r>
          </w:p>
        </w:tc>
        <w:tc>
          <w:tcPr>
            <w:tcW w:w="980" w:type="dxa"/>
            <w:tcBorders>
              <w:top w:val="nil"/>
              <w:left w:val="nil"/>
              <w:bottom w:val="single" w:sz="4" w:space="0" w:color="auto"/>
              <w:right w:val="single" w:sz="4" w:space="0" w:color="auto"/>
            </w:tcBorders>
            <w:shd w:val="clear" w:color="auto" w:fill="auto"/>
            <w:noWrap/>
            <w:vAlign w:val="bottom"/>
            <w:hideMark/>
          </w:tcPr>
          <w:p w14:paraId="6988D680" w14:textId="03C4D257" w:rsidR="00EC5CD4" w:rsidRPr="00EC5CD4" w:rsidRDefault="00EC5CD4" w:rsidP="00EC5CD4">
            <w:pPr>
              <w:rPr>
                <w:sz w:val="20"/>
              </w:rPr>
            </w:pPr>
            <w:r w:rsidRPr="00EC5CD4">
              <w:rPr>
                <w:sz w:val="20"/>
              </w:rPr>
              <w:t>11,790</w:t>
            </w:r>
          </w:p>
        </w:tc>
      </w:tr>
      <w:tr w:rsidR="00EC5CD4" w:rsidRPr="00EC5CD4" w14:paraId="1178C1AF"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44074185"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6569539F" w14:textId="30C60BE1"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14B9DF78"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9BEB6DE" w14:textId="38C27A06"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647A25EF"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D0E2002" w14:textId="17D0165E"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61EED2ED" w14:textId="24F6D3FD"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221EC503" w14:textId="2C2F6176" w:rsidR="00EC5CD4" w:rsidRPr="00EC5CD4" w:rsidRDefault="00EC5CD4" w:rsidP="00EC5CD4">
            <w:pPr>
              <w:rPr>
                <w:sz w:val="20"/>
              </w:rPr>
            </w:pPr>
          </w:p>
        </w:tc>
      </w:tr>
      <w:tr w:rsidR="00EC5CD4" w:rsidRPr="00EC5CD4" w14:paraId="24F1E2A9"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0AB15E3"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E7391F7"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52B364CE"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472F15E4"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7467AA9C"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48091A42"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20412BEC"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7F3EBD52" w14:textId="77777777" w:rsidR="00EC5CD4" w:rsidRPr="00EC5CD4" w:rsidRDefault="00EC5CD4" w:rsidP="00EC5CD4">
            <w:pPr>
              <w:jc w:val="right"/>
              <w:rPr>
                <w:sz w:val="20"/>
              </w:rPr>
            </w:pPr>
            <w:r w:rsidRPr="00EC5CD4">
              <w:rPr>
                <w:sz w:val="20"/>
              </w:rPr>
              <w:t>337,196</w:t>
            </w:r>
          </w:p>
        </w:tc>
      </w:tr>
      <w:tr w:rsidR="00EC5CD4" w:rsidRPr="00EC5CD4" w14:paraId="2D2670BB"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E912836"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1C09002" w14:textId="77777777" w:rsidR="00EC5CD4" w:rsidRPr="00EC5CD4" w:rsidRDefault="00EC5CD4" w:rsidP="00EC5CD4">
            <w:pPr>
              <w:jc w:val="right"/>
              <w:rPr>
                <w:sz w:val="20"/>
              </w:rPr>
            </w:pPr>
            <w:r w:rsidRPr="00EC5CD4">
              <w:rPr>
                <w:sz w:val="20"/>
              </w:rPr>
              <w:t>4.20%</w:t>
            </w:r>
          </w:p>
        </w:tc>
        <w:tc>
          <w:tcPr>
            <w:tcW w:w="980" w:type="dxa"/>
            <w:tcBorders>
              <w:top w:val="nil"/>
              <w:left w:val="nil"/>
              <w:bottom w:val="nil"/>
              <w:right w:val="single" w:sz="4" w:space="0" w:color="auto"/>
            </w:tcBorders>
            <w:shd w:val="clear" w:color="auto" w:fill="auto"/>
            <w:noWrap/>
            <w:vAlign w:val="bottom"/>
            <w:hideMark/>
          </w:tcPr>
          <w:p w14:paraId="6361883F" w14:textId="77777777" w:rsidR="00EC5CD4" w:rsidRPr="00EC5CD4" w:rsidRDefault="00EC5CD4" w:rsidP="00EC5CD4">
            <w:pPr>
              <w:jc w:val="right"/>
              <w:rPr>
                <w:sz w:val="20"/>
              </w:rPr>
            </w:pPr>
            <w:r w:rsidRPr="00EC5CD4">
              <w:rPr>
                <w:sz w:val="20"/>
              </w:rPr>
              <w:t>4.30%</w:t>
            </w:r>
          </w:p>
        </w:tc>
        <w:tc>
          <w:tcPr>
            <w:tcW w:w="980" w:type="dxa"/>
            <w:tcBorders>
              <w:top w:val="nil"/>
              <w:left w:val="nil"/>
              <w:bottom w:val="nil"/>
              <w:right w:val="single" w:sz="4" w:space="0" w:color="auto"/>
            </w:tcBorders>
            <w:shd w:val="clear" w:color="auto" w:fill="auto"/>
            <w:noWrap/>
            <w:vAlign w:val="bottom"/>
            <w:hideMark/>
          </w:tcPr>
          <w:p w14:paraId="2FB4CBD4" w14:textId="77777777" w:rsidR="00EC5CD4" w:rsidRPr="00EC5CD4" w:rsidRDefault="00EC5CD4" w:rsidP="00EC5CD4">
            <w:pPr>
              <w:jc w:val="right"/>
              <w:rPr>
                <w:sz w:val="20"/>
              </w:rPr>
            </w:pPr>
            <w:r w:rsidRPr="00EC5CD4">
              <w:rPr>
                <w:sz w:val="20"/>
              </w:rPr>
              <w:t>4.38%</w:t>
            </w:r>
          </w:p>
        </w:tc>
        <w:tc>
          <w:tcPr>
            <w:tcW w:w="980" w:type="dxa"/>
            <w:tcBorders>
              <w:top w:val="nil"/>
              <w:left w:val="nil"/>
              <w:bottom w:val="nil"/>
              <w:right w:val="nil"/>
            </w:tcBorders>
            <w:shd w:val="clear" w:color="auto" w:fill="auto"/>
            <w:noWrap/>
            <w:vAlign w:val="bottom"/>
            <w:hideMark/>
          </w:tcPr>
          <w:p w14:paraId="45FC4FEB" w14:textId="77777777" w:rsidR="00EC5CD4" w:rsidRPr="00EC5CD4" w:rsidRDefault="00EC5CD4" w:rsidP="00EC5CD4">
            <w:pPr>
              <w:jc w:val="right"/>
              <w:rPr>
                <w:sz w:val="20"/>
              </w:rPr>
            </w:pPr>
            <w:r w:rsidRPr="00EC5CD4">
              <w:rPr>
                <w:sz w:val="20"/>
              </w:rPr>
              <w:t>4.38%</w:t>
            </w:r>
          </w:p>
        </w:tc>
        <w:tc>
          <w:tcPr>
            <w:tcW w:w="980" w:type="dxa"/>
            <w:tcBorders>
              <w:top w:val="nil"/>
              <w:left w:val="single" w:sz="4" w:space="0" w:color="auto"/>
              <w:bottom w:val="nil"/>
              <w:right w:val="single" w:sz="4" w:space="0" w:color="auto"/>
            </w:tcBorders>
            <w:shd w:val="clear" w:color="auto" w:fill="auto"/>
            <w:noWrap/>
            <w:vAlign w:val="bottom"/>
            <w:hideMark/>
          </w:tcPr>
          <w:p w14:paraId="7B92C448" w14:textId="77777777" w:rsidR="00EC5CD4" w:rsidRPr="00EC5CD4" w:rsidRDefault="00EC5CD4" w:rsidP="00EC5CD4">
            <w:pPr>
              <w:jc w:val="right"/>
              <w:rPr>
                <w:sz w:val="20"/>
              </w:rPr>
            </w:pPr>
            <w:r w:rsidRPr="00EC5CD4">
              <w:rPr>
                <w:sz w:val="20"/>
              </w:rPr>
              <w:t>4.38%</w:t>
            </w:r>
          </w:p>
        </w:tc>
        <w:tc>
          <w:tcPr>
            <w:tcW w:w="980" w:type="dxa"/>
            <w:tcBorders>
              <w:top w:val="nil"/>
              <w:left w:val="nil"/>
              <w:bottom w:val="nil"/>
              <w:right w:val="single" w:sz="4" w:space="0" w:color="auto"/>
            </w:tcBorders>
            <w:shd w:val="clear" w:color="auto" w:fill="auto"/>
            <w:noWrap/>
            <w:vAlign w:val="bottom"/>
            <w:hideMark/>
          </w:tcPr>
          <w:p w14:paraId="4880FD29" w14:textId="77777777" w:rsidR="00EC5CD4" w:rsidRPr="00EC5CD4" w:rsidRDefault="00EC5CD4" w:rsidP="00EC5CD4">
            <w:pPr>
              <w:jc w:val="right"/>
              <w:rPr>
                <w:sz w:val="20"/>
              </w:rPr>
            </w:pPr>
            <w:r w:rsidRPr="00EC5CD4">
              <w:rPr>
                <w:sz w:val="20"/>
              </w:rPr>
              <w:t>4.38%</w:t>
            </w:r>
          </w:p>
        </w:tc>
        <w:tc>
          <w:tcPr>
            <w:tcW w:w="980" w:type="dxa"/>
            <w:tcBorders>
              <w:top w:val="nil"/>
              <w:left w:val="nil"/>
              <w:bottom w:val="nil"/>
              <w:right w:val="single" w:sz="4" w:space="0" w:color="auto"/>
            </w:tcBorders>
            <w:shd w:val="clear" w:color="auto" w:fill="auto"/>
            <w:noWrap/>
            <w:vAlign w:val="bottom"/>
            <w:hideMark/>
          </w:tcPr>
          <w:p w14:paraId="177CE33E" w14:textId="77777777" w:rsidR="00EC5CD4" w:rsidRPr="00EC5CD4" w:rsidRDefault="00EC5CD4" w:rsidP="00EC5CD4">
            <w:pPr>
              <w:jc w:val="right"/>
              <w:rPr>
                <w:sz w:val="20"/>
              </w:rPr>
            </w:pPr>
            <w:r w:rsidRPr="00EC5CD4">
              <w:rPr>
                <w:sz w:val="20"/>
              </w:rPr>
              <w:t>4.22%</w:t>
            </w:r>
          </w:p>
        </w:tc>
      </w:tr>
      <w:tr w:rsidR="00EC5CD4" w:rsidRPr="00EC5CD4" w14:paraId="67AE9D50"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6BF7A0B"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AB9D61B" w14:textId="238B36D4" w:rsidR="00EC5CD4" w:rsidRPr="00EC5CD4" w:rsidRDefault="00EC5CD4" w:rsidP="00EC5CD4">
            <w:pPr>
              <w:rPr>
                <w:sz w:val="20"/>
              </w:rPr>
            </w:pPr>
            <w:r w:rsidRPr="00EC5CD4">
              <w:rPr>
                <w:sz w:val="20"/>
              </w:rPr>
              <w:t>149,539</w:t>
            </w:r>
          </w:p>
        </w:tc>
        <w:tc>
          <w:tcPr>
            <w:tcW w:w="980" w:type="dxa"/>
            <w:tcBorders>
              <w:top w:val="nil"/>
              <w:left w:val="nil"/>
              <w:bottom w:val="single" w:sz="4" w:space="0" w:color="auto"/>
              <w:right w:val="single" w:sz="4" w:space="0" w:color="auto"/>
            </w:tcBorders>
            <w:shd w:val="clear" w:color="auto" w:fill="auto"/>
            <w:noWrap/>
            <w:vAlign w:val="bottom"/>
            <w:hideMark/>
          </w:tcPr>
          <w:p w14:paraId="7657A90A" w14:textId="591711CC" w:rsidR="00EC5CD4" w:rsidRPr="00EC5CD4" w:rsidRDefault="00EC5CD4" w:rsidP="00EC5CD4">
            <w:pPr>
              <w:rPr>
                <w:sz w:val="20"/>
              </w:rPr>
            </w:pPr>
            <w:r w:rsidRPr="00EC5CD4">
              <w:rPr>
                <w:sz w:val="20"/>
              </w:rPr>
              <w:t>30,213</w:t>
            </w:r>
          </w:p>
        </w:tc>
        <w:tc>
          <w:tcPr>
            <w:tcW w:w="980" w:type="dxa"/>
            <w:tcBorders>
              <w:top w:val="nil"/>
              <w:left w:val="nil"/>
              <w:bottom w:val="single" w:sz="4" w:space="0" w:color="auto"/>
              <w:right w:val="single" w:sz="4" w:space="0" w:color="auto"/>
            </w:tcBorders>
            <w:shd w:val="clear" w:color="auto" w:fill="auto"/>
            <w:noWrap/>
            <w:vAlign w:val="bottom"/>
            <w:hideMark/>
          </w:tcPr>
          <w:p w14:paraId="1BFCDFAB" w14:textId="4A3496EF" w:rsidR="00EC5CD4" w:rsidRPr="00EC5CD4" w:rsidRDefault="00EC5CD4" w:rsidP="00EC5CD4">
            <w:pPr>
              <w:rPr>
                <w:sz w:val="20"/>
              </w:rPr>
            </w:pPr>
            <w:r w:rsidRPr="00EC5CD4">
              <w:rPr>
                <w:sz w:val="20"/>
              </w:rPr>
              <w:t>15,981</w:t>
            </w:r>
          </w:p>
        </w:tc>
        <w:tc>
          <w:tcPr>
            <w:tcW w:w="980" w:type="dxa"/>
            <w:tcBorders>
              <w:top w:val="nil"/>
              <w:left w:val="nil"/>
              <w:bottom w:val="single" w:sz="4" w:space="0" w:color="auto"/>
              <w:right w:val="single" w:sz="4" w:space="0" w:color="auto"/>
            </w:tcBorders>
            <w:shd w:val="clear" w:color="auto" w:fill="auto"/>
            <w:noWrap/>
            <w:vAlign w:val="bottom"/>
            <w:hideMark/>
          </w:tcPr>
          <w:p w14:paraId="4F1D607D" w14:textId="0E38B33C" w:rsidR="00EC5CD4" w:rsidRPr="00EC5CD4" w:rsidRDefault="00EC5CD4" w:rsidP="00EC5CD4">
            <w:pPr>
              <w:rPr>
                <w:sz w:val="20"/>
              </w:rPr>
            </w:pPr>
            <w:r w:rsidRPr="00EC5CD4">
              <w:rPr>
                <w:sz w:val="20"/>
              </w:rPr>
              <w:t>13,704</w:t>
            </w:r>
          </w:p>
        </w:tc>
        <w:tc>
          <w:tcPr>
            <w:tcW w:w="980" w:type="dxa"/>
            <w:tcBorders>
              <w:top w:val="nil"/>
              <w:left w:val="nil"/>
              <w:bottom w:val="single" w:sz="4" w:space="0" w:color="auto"/>
              <w:right w:val="single" w:sz="4" w:space="0" w:color="auto"/>
            </w:tcBorders>
            <w:shd w:val="clear" w:color="auto" w:fill="auto"/>
            <w:noWrap/>
            <w:vAlign w:val="bottom"/>
            <w:hideMark/>
          </w:tcPr>
          <w:p w14:paraId="350B6C2F" w14:textId="4721AAB3" w:rsidR="00EC5CD4" w:rsidRPr="00EC5CD4" w:rsidRDefault="00EC5CD4" w:rsidP="00EC5CD4">
            <w:pPr>
              <w:rPr>
                <w:sz w:val="20"/>
              </w:rPr>
            </w:pPr>
            <w:r w:rsidRPr="00EC5CD4">
              <w:rPr>
                <w:sz w:val="20"/>
              </w:rPr>
              <w:t>754</w:t>
            </w:r>
          </w:p>
        </w:tc>
        <w:tc>
          <w:tcPr>
            <w:tcW w:w="980" w:type="dxa"/>
            <w:tcBorders>
              <w:top w:val="nil"/>
              <w:left w:val="nil"/>
              <w:bottom w:val="single" w:sz="4" w:space="0" w:color="auto"/>
              <w:right w:val="single" w:sz="4" w:space="0" w:color="auto"/>
            </w:tcBorders>
            <w:shd w:val="clear" w:color="auto" w:fill="auto"/>
            <w:noWrap/>
            <w:vAlign w:val="bottom"/>
            <w:hideMark/>
          </w:tcPr>
          <w:p w14:paraId="12421993" w14:textId="261D5E7A" w:rsidR="00EC5CD4" w:rsidRPr="00EC5CD4" w:rsidRDefault="00EC5CD4" w:rsidP="00EC5CD4">
            <w:pPr>
              <w:rPr>
                <w:sz w:val="20"/>
              </w:rPr>
            </w:pPr>
            <w:r w:rsidRPr="00EC5CD4">
              <w:rPr>
                <w:sz w:val="20"/>
              </w:rPr>
              <w:t>1,522</w:t>
            </w:r>
          </w:p>
        </w:tc>
        <w:tc>
          <w:tcPr>
            <w:tcW w:w="980" w:type="dxa"/>
            <w:tcBorders>
              <w:top w:val="nil"/>
              <w:left w:val="nil"/>
              <w:bottom w:val="single" w:sz="4" w:space="0" w:color="auto"/>
              <w:right w:val="single" w:sz="4" w:space="0" w:color="auto"/>
            </w:tcBorders>
            <w:shd w:val="clear" w:color="auto" w:fill="auto"/>
            <w:noWrap/>
            <w:vAlign w:val="bottom"/>
            <w:hideMark/>
          </w:tcPr>
          <w:p w14:paraId="0CDBCF5B" w14:textId="294F689C" w:rsidR="00EC5CD4" w:rsidRPr="00EC5CD4" w:rsidRDefault="00EC5CD4" w:rsidP="00EC5CD4">
            <w:pPr>
              <w:rPr>
                <w:sz w:val="20"/>
              </w:rPr>
            </w:pPr>
            <w:r w:rsidRPr="00EC5CD4">
              <w:rPr>
                <w:sz w:val="20"/>
              </w:rPr>
              <w:t>14,213</w:t>
            </w:r>
          </w:p>
        </w:tc>
      </w:tr>
      <w:tr w:rsidR="00EC5CD4" w:rsidRPr="00EC5CD4" w14:paraId="1C3CE194" w14:textId="77777777" w:rsidTr="00BF315B">
        <w:trPr>
          <w:trHeight w:val="935"/>
        </w:trPr>
        <w:tc>
          <w:tcPr>
            <w:tcW w:w="8980" w:type="dxa"/>
            <w:gridSpan w:val="8"/>
            <w:tcBorders>
              <w:top w:val="single" w:sz="4" w:space="0" w:color="auto"/>
              <w:left w:val="nil"/>
              <w:bottom w:val="nil"/>
              <w:right w:val="nil"/>
            </w:tcBorders>
            <w:shd w:val="clear" w:color="auto" w:fill="auto"/>
            <w:vAlign w:val="bottom"/>
            <w:hideMark/>
          </w:tcPr>
          <w:p w14:paraId="44C983D4"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p>
          <w:p w14:paraId="30D5FC4D" w14:textId="1FBF9D35"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5362330E" w14:textId="794D7281" w:rsidR="00165A84" w:rsidRDefault="00165A84" w:rsidP="001549F4"/>
    <w:p w14:paraId="2B2EB793" w14:textId="3A454DDB" w:rsidR="00165A84" w:rsidRDefault="00165A84">
      <w:r>
        <w:br w:type="page"/>
      </w:r>
    </w:p>
    <w:p w14:paraId="1F7651E2" w14:textId="59BCA130" w:rsidR="00165A84" w:rsidRPr="00EC5CD4" w:rsidRDefault="00EC5CD4" w:rsidP="00130E39">
      <w:pPr>
        <w:pStyle w:val="ListParagraph"/>
        <w:numPr>
          <w:ilvl w:val="0"/>
          <w:numId w:val="7"/>
        </w:numPr>
      </w:pPr>
      <w:r w:rsidRPr="00EC5CD4">
        <w:lastRenderedPageBreak/>
        <w:t xml:space="preserve">Alcohol Use in the </w:t>
      </w:r>
      <w:r w:rsidRPr="00130E39">
        <w:rPr>
          <w:i/>
          <w:iCs/>
        </w:rPr>
        <w:t>Past Month</w:t>
      </w:r>
    </w:p>
    <w:p w14:paraId="4ED80D18" w14:textId="77777777" w:rsidR="00EC5CD4" w:rsidRDefault="00EC5CD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1387F212"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007B4162" w14:textId="7C03E49D" w:rsidR="00EC5CD4" w:rsidRPr="00EC5CD4" w:rsidRDefault="00EC5CD4" w:rsidP="00EC5CD4">
            <w:pPr>
              <w:jc w:val="center"/>
              <w:rPr>
                <w:b/>
                <w:bCs/>
                <w:sz w:val="20"/>
              </w:rPr>
            </w:pPr>
            <w:r w:rsidRPr="00EC5CD4">
              <w:rPr>
                <w:b/>
                <w:bCs/>
                <w:sz w:val="20"/>
              </w:rPr>
              <w:t xml:space="preserve">Alcohol Use in the </w:t>
            </w:r>
            <w:r w:rsidRPr="00EC5CD4">
              <w:rPr>
                <w:b/>
                <w:bCs/>
                <w:i/>
                <w:iCs/>
                <w:sz w:val="20"/>
                <w:u w:val="single"/>
              </w:rPr>
              <w:t>Past Month</w:t>
            </w:r>
            <w:r w:rsidRPr="00EC5CD4">
              <w:rPr>
                <w:b/>
                <w:bCs/>
                <w:sz w:val="20"/>
              </w:rPr>
              <w:t xml:space="preserve"> by Age Group Among Residents of</w:t>
            </w:r>
            <w:r w:rsidRPr="00EC5CD4">
              <w:rPr>
                <w:b/>
                <w:bCs/>
                <w:sz w:val="20"/>
              </w:rPr>
              <w:br/>
              <w:t>Greater New Orleans Parishes and Statewide, 2019*</w:t>
            </w:r>
          </w:p>
        </w:tc>
      </w:tr>
      <w:tr w:rsidR="00EC5CD4" w:rsidRPr="00EC5CD4" w14:paraId="54D45190"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15E491F"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79281285" w14:textId="7626D43E"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115B8230"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7E9E274D"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1456BA33"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5E31E881"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3BB17C9F"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2306BED9" w14:textId="77777777" w:rsidR="00EC5CD4" w:rsidRPr="00EC5CD4" w:rsidRDefault="00EC5CD4" w:rsidP="00EC5CD4">
            <w:pPr>
              <w:jc w:val="center"/>
              <w:rPr>
                <w:sz w:val="20"/>
              </w:rPr>
            </w:pPr>
            <w:r w:rsidRPr="00EC5CD4">
              <w:rPr>
                <w:sz w:val="20"/>
              </w:rPr>
              <w:t>Jefferson Parish HSA</w:t>
            </w:r>
          </w:p>
        </w:tc>
      </w:tr>
      <w:tr w:rsidR="00EC5CD4" w:rsidRPr="00EC5CD4" w14:paraId="14366FBE"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049ED22"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5F1B19CD"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2DB9AF68"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478AEBC4"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3783A6E1"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0A5D610"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0511F2DE"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1C9ED3F7" w14:textId="77777777" w:rsidR="00EC5CD4" w:rsidRPr="00EC5CD4" w:rsidRDefault="00EC5CD4" w:rsidP="00EC5CD4">
            <w:pPr>
              <w:rPr>
                <w:sz w:val="20"/>
              </w:rPr>
            </w:pPr>
            <w:r w:rsidRPr="00EC5CD4">
              <w:rPr>
                <w:sz w:val="20"/>
              </w:rPr>
              <w:t> </w:t>
            </w:r>
          </w:p>
        </w:tc>
      </w:tr>
      <w:tr w:rsidR="00EC5CD4" w:rsidRPr="00EC5CD4" w14:paraId="2D56399D"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7698AAB"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6F96FE6"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5A46CA15"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68C36776"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2B64FFEC"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5CBAC358"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03E4F32B"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01517731" w14:textId="77777777" w:rsidR="00EC5CD4" w:rsidRPr="00EC5CD4" w:rsidRDefault="00EC5CD4" w:rsidP="00EC5CD4">
            <w:pPr>
              <w:jc w:val="right"/>
              <w:rPr>
                <w:sz w:val="20"/>
              </w:rPr>
            </w:pPr>
            <w:r w:rsidRPr="00EC5CD4">
              <w:rPr>
                <w:sz w:val="20"/>
              </w:rPr>
              <w:t>30,385</w:t>
            </w:r>
          </w:p>
        </w:tc>
      </w:tr>
      <w:tr w:rsidR="00EC5CD4" w:rsidRPr="00EC5CD4" w14:paraId="6C87A09E"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FED1952" w14:textId="2A62D977" w:rsidR="00EC5CD4" w:rsidRPr="00EC5CD4" w:rsidRDefault="00EC5CD4" w:rsidP="00EC5CD4">
            <w:pPr>
              <w:rPr>
                <w:sz w:val="20"/>
              </w:rPr>
            </w:pPr>
            <w:r w:rsidRPr="00EC5CD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25F1499A" w14:textId="77777777" w:rsidR="00EC5CD4" w:rsidRPr="00EC5CD4" w:rsidRDefault="00EC5CD4" w:rsidP="00EC5CD4">
            <w:pPr>
              <w:jc w:val="right"/>
              <w:rPr>
                <w:sz w:val="20"/>
              </w:rPr>
            </w:pPr>
            <w:r w:rsidRPr="00EC5CD4">
              <w:rPr>
                <w:sz w:val="20"/>
              </w:rPr>
              <w:t>11.02%</w:t>
            </w:r>
          </w:p>
        </w:tc>
        <w:tc>
          <w:tcPr>
            <w:tcW w:w="980" w:type="dxa"/>
            <w:tcBorders>
              <w:top w:val="nil"/>
              <w:left w:val="nil"/>
              <w:bottom w:val="nil"/>
              <w:right w:val="single" w:sz="4" w:space="0" w:color="auto"/>
            </w:tcBorders>
            <w:shd w:val="clear" w:color="auto" w:fill="auto"/>
            <w:noWrap/>
            <w:vAlign w:val="bottom"/>
            <w:hideMark/>
          </w:tcPr>
          <w:p w14:paraId="34A15CD5" w14:textId="77777777" w:rsidR="00EC5CD4" w:rsidRPr="00EC5CD4" w:rsidRDefault="00EC5CD4" w:rsidP="00EC5CD4">
            <w:pPr>
              <w:jc w:val="right"/>
              <w:rPr>
                <w:sz w:val="20"/>
              </w:rPr>
            </w:pPr>
            <w:r w:rsidRPr="00EC5CD4">
              <w:rPr>
                <w:sz w:val="20"/>
              </w:rPr>
              <w:t>10.17%</w:t>
            </w:r>
          </w:p>
        </w:tc>
        <w:tc>
          <w:tcPr>
            <w:tcW w:w="980" w:type="dxa"/>
            <w:tcBorders>
              <w:top w:val="nil"/>
              <w:left w:val="nil"/>
              <w:bottom w:val="nil"/>
              <w:right w:val="single" w:sz="4" w:space="0" w:color="auto"/>
            </w:tcBorders>
            <w:shd w:val="clear" w:color="auto" w:fill="auto"/>
            <w:noWrap/>
            <w:vAlign w:val="bottom"/>
            <w:hideMark/>
          </w:tcPr>
          <w:p w14:paraId="2D732096" w14:textId="77777777" w:rsidR="00EC5CD4" w:rsidRPr="00EC5CD4" w:rsidRDefault="00EC5CD4" w:rsidP="00EC5CD4">
            <w:pPr>
              <w:jc w:val="right"/>
              <w:rPr>
                <w:sz w:val="20"/>
              </w:rPr>
            </w:pPr>
            <w:r w:rsidRPr="00EC5CD4">
              <w:rPr>
                <w:sz w:val="20"/>
              </w:rPr>
              <w:t>9.36%</w:t>
            </w:r>
          </w:p>
        </w:tc>
        <w:tc>
          <w:tcPr>
            <w:tcW w:w="980" w:type="dxa"/>
            <w:tcBorders>
              <w:top w:val="nil"/>
              <w:left w:val="nil"/>
              <w:bottom w:val="nil"/>
              <w:right w:val="nil"/>
            </w:tcBorders>
            <w:shd w:val="clear" w:color="auto" w:fill="auto"/>
            <w:noWrap/>
            <w:vAlign w:val="bottom"/>
            <w:hideMark/>
          </w:tcPr>
          <w:p w14:paraId="34B5DFBA" w14:textId="77777777" w:rsidR="00EC5CD4" w:rsidRPr="00EC5CD4" w:rsidRDefault="00EC5CD4" w:rsidP="00EC5CD4">
            <w:pPr>
              <w:jc w:val="right"/>
              <w:rPr>
                <w:sz w:val="20"/>
              </w:rPr>
            </w:pPr>
            <w:r w:rsidRPr="00EC5CD4">
              <w:rPr>
                <w:sz w:val="20"/>
              </w:rPr>
              <w:t>9.36%</w:t>
            </w:r>
          </w:p>
        </w:tc>
        <w:tc>
          <w:tcPr>
            <w:tcW w:w="980" w:type="dxa"/>
            <w:tcBorders>
              <w:top w:val="nil"/>
              <w:left w:val="single" w:sz="4" w:space="0" w:color="auto"/>
              <w:bottom w:val="nil"/>
              <w:right w:val="single" w:sz="4" w:space="0" w:color="auto"/>
            </w:tcBorders>
            <w:shd w:val="clear" w:color="auto" w:fill="auto"/>
            <w:noWrap/>
            <w:vAlign w:val="bottom"/>
            <w:hideMark/>
          </w:tcPr>
          <w:p w14:paraId="4054B61E" w14:textId="77777777" w:rsidR="00EC5CD4" w:rsidRPr="00EC5CD4" w:rsidRDefault="00EC5CD4" w:rsidP="00EC5CD4">
            <w:pPr>
              <w:jc w:val="right"/>
              <w:rPr>
                <w:sz w:val="20"/>
              </w:rPr>
            </w:pPr>
            <w:r w:rsidRPr="00EC5CD4">
              <w:rPr>
                <w:sz w:val="20"/>
              </w:rPr>
              <w:t>9.36%</w:t>
            </w:r>
          </w:p>
        </w:tc>
        <w:tc>
          <w:tcPr>
            <w:tcW w:w="980" w:type="dxa"/>
            <w:tcBorders>
              <w:top w:val="nil"/>
              <w:left w:val="nil"/>
              <w:bottom w:val="nil"/>
              <w:right w:val="single" w:sz="4" w:space="0" w:color="auto"/>
            </w:tcBorders>
            <w:shd w:val="clear" w:color="auto" w:fill="auto"/>
            <w:noWrap/>
            <w:vAlign w:val="bottom"/>
            <w:hideMark/>
          </w:tcPr>
          <w:p w14:paraId="0CDB64AF" w14:textId="77777777" w:rsidR="00EC5CD4" w:rsidRPr="00EC5CD4" w:rsidRDefault="00EC5CD4" w:rsidP="00EC5CD4">
            <w:pPr>
              <w:jc w:val="right"/>
              <w:rPr>
                <w:sz w:val="20"/>
              </w:rPr>
            </w:pPr>
            <w:r w:rsidRPr="00EC5CD4">
              <w:rPr>
                <w:sz w:val="20"/>
              </w:rPr>
              <w:t>9.36%</w:t>
            </w:r>
          </w:p>
        </w:tc>
        <w:tc>
          <w:tcPr>
            <w:tcW w:w="980" w:type="dxa"/>
            <w:tcBorders>
              <w:top w:val="nil"/>
              <w:left w:val="nil"/>
              <w:bottom w:val="nil"/>
              <w:right w:val="single" w:sz="4" w:space="0" w:color="auto"/>
            </w:tcBorders>
            <w:shd w:val="clear" w:color="auto" w:fill="auto"/>
            <w:noWrap/>
            <w:vAlign w:val="bottom"/>
            <w:hideMark/>
          </w:tcPr>
          <w:p w14:paraId="57B24180" w14:textId="77777777" w:rsidR="00EC5CD4" w:rsidRPr="00EC5CD4" w:rsidRDefault="00EC5CD4" w:rsidP="00EC5CD4">
            <w:pPr>
              <w:jc w:val="right"/>
              <w:rPr>
                <w:sz w:val="20"/>
              </w:rPr>
            </w:pPr>
            <w:r w:rsidRPr="00EC5CD4">
              <w:rPr>
                <w:sz w:val="20"/>
              </w:rPr>
              <w:t>11.03%</w:t>
            </w:r>
          </w:p>
        </w:tc>
      </w:tr>
      <w:tr w:rsidR="00EC5CD4" w:rsidRPr="00EC5CD4" w14:paraId="301ECA72"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2A29B46D"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CFB8A26" w14:textId="77777777" w:rsidR="00EC5CD4" w:rsidRPr="00EC5CD4" w:rsidRDefault="00EC5CD4" w:rsidP="00EC5CD4">
            <w:pPr>
              <w:jc w:val="right"/>
              <w:rPr>
                <w:sz w:val="20"/>
              </w:rPr>
            </w:pPr>
            <w:r w:rsidRPr="00EC5CD4">
              <w:rPr>
                <w:sz w:val="20"/>
              </w:rPr>
              <w:t>39,741</w:t>
            </w:r>
          </w:p>
        </w:tc>
        <w:tc>
          <w:tcPr>
            <w:tcW w:w="980" w:type="dxa"/>
            <w:tcBorders>
              <w:top w:val="nil"/>
              <w:left w:val="nil"/>
              <w:bottom w:val="single" w:sz="4" w:space="0" w:color="auto"/>
              <w:right w:val="single" w:sz="4" w:space="0" w:color="auto"/>
            </w:tcBorders>
            <w:shd w:val="clear" w:color="auto" w:fill="auto"/>
            <w:noWrap/>
            <w:vAlign w:val="bottom"/>
            <w:hideMark/>
          </w:tcPr>
          <w:p w14:paraId="78EF9165" w14:textId="77777777" w:rsidR="00EC5CD4" w:rsidRPr="00EC5CD4" w:rsidRDefault="00EC5CD4" w:rsidP="00EC5CD4">
            <w:pPr>
              <w:jc w:val="right"/>
              <w:rPr>
                <w:sz w:val="20"/>
              </w:rPr>
            </w:pPr>
            <w:r w:rsidRPr="00EC5CD4">
              <w:rPr>
                <w:sz w:val="20"/>
              </w:rPr>
              <w:t>6,226</w:t>
            </w:r>
          </w:p>
        </w:tc>
        <w:tc>
          <w:tcPr>
            <w:tcW w:w="980" w:type="dxa"/>
            <w:tcBorders>
              <w:top w:val="nil"/>
              <w:left w:val="nil"/>
              <w:bottom w:val="single" w:sz="4" w:space="0" w:color="auto"/>
              <w:right w:val="single" w:sz="4" w:space="0" w:color="auto"/>
            </w:tcBorders>
            <w:shd w:val="clear" w:color="auto" w:fill="auto"/>
            <w:noWrap/>
            <w:vAlign w:val="bottom"/>
            <w:hideMark/>
          </w:tcPr>
          <w:p w14:paraId="19A9B55F" w14:textId="77777777" w:rsidR="00EC5CD4" w:rsidRPr="00EC5CD4" w:rsidRDefault="00EC5CD4" w:rsidP="00EC5CD4">
            <w:pPr>
              <w:jc w:val="right"/>
              <w:rPr>
                <w:sz w:val="20"/>
              </w:rPr>
            </w:pPr>
            <w:r w:rsidRPr="00EC5CD4">
              <w:rPr>
                <w:sz w:val="20"/>
              </w:rPr>
              <w:t>2,886</w:t>
            </w:r>
          </w:p>
        </w:tc>
        <w:tc>
          <w:tcPr>
            <w:tcW w:w="980" w:type="dxa"/>
            <w:tcBorders>
              <w:top w:val="nil"/>
              <w:left w:val="nil"/>
              <w:bottom w:val="single" w:sz="4" w:space="0" w:color="auto"/>
              <w:right w:val="single" w:sz="4" w:space="0" w:color="auto"/>
            </w:tcBorders>
            <w:shd w:val="clear" w:color="auto" w:fill="auto"/>
            <w:noWrap/>
            <w:vAlign w:val="bottom"/>
            <w:hideMark/>
          </w:tcPr>
          <w:p w14:paraId="1E9FC3B9" w14:textId="77777777" w:rsidR="00EC5CD4" w:rsidRPr="00EC5CD4" w:rsidRDefault="00EC5CD4" w:rsidP="00EC5CD4">
            <w:pPr>
              <w:jc w:val="right"/>
              <w:rPr>
                <w:sz w:val="20"/>
              </w:rPr>
            </w:pPr>
            <w:r w:rsidRPr="00EC5CD4">
              <w:rPr>
                <w:sz w:val="20"/>
              </w:rPr>
              <w:t>2,312</w:t>
            </w:r>
          </w:p>
        </w:tc>
        <w:tc>
          <w:tcPr>
            <w:tcW w:w="980" w:type="dxa"/>
            <w:tcBorders>
              <w:top w:val="nil"/>
              <w:left w:val="nil"/>
              <w:bottom w:val="single" w:sz="4" w:space="0" w:color="auto"/>
              <w:right w:val="single" w:sz="4" w:space="0" w:color="auto"/>
            </w:tcBorders>
            <w:shd w:val="clear" w:color="auto" w:fill="auto"/>
            <w:noWrap/>
            <w:vAlign w:val="bottom"/>
            <w:hideMark/>
          </w:tcPr>
          <w:p w14:paraId="72244B3F" w14:textId="77777777" w:rsidR="00EC5CD4" w:rsidRPr="00EC5CD4" w:rsidRDefault="00EC5CD4" w:rsidP="00EC5CD4">
            <w:pPr>
              <w:jc w:val="right"/>
              <w:rPr>
                <w:sz w:val="20"/>
              </w:rPr>
            </w:pPr>
            <w:r w:rsidRPr="00EC5CD4">
              <w:rPr>
                <w:sz w:val="20"/>
              </w:rPr>
              <w:t>195</w:t>
            </w:r>
          </w:p>
        </w:tc>
        <w:tc>
          <w:tcPr>
            <w:tcW w:w="980" w:type="dxa"/>
            <w:tcBorders>
              <w:top w:val="nil"/>
              <w:left w:val="nil"/>
              <w:bottom w:val="single" w:sz="4" w:space="0" w:color="auto"/>
              <w:right w:val="single" w:sz="4" w:space="0" w:color="auto"/>
            </w:tcBorders>
            <w:shd w:val="clear" w:color="auto" w:fill="auto"/>
            <w:noWrap/>
            <w:vAlign w:val="bottom"/>
            <w:hideMark/>
          </w:tcPr>
          <w:p w14:paraId="7567B52E" w14:textId="77777777" w:rsidR="00EC5CD4" w:rsidRPr="00EC5CD4" w:rsidRDefault="00EC5CD4" w:rsidP="00EC5CD4">
            <w:pPr>
              <w:jc w:val="right"/>
              <w:rPr>
                <w:sz w:val="20"/>
              </w:rPr>
            </w:pPr>
            <w:r w:rsidRPr="00EC5CD4">
              <w:rPr>
                <w:sz w:val="20"/>
              </w:rPr>
              <w:t>379</w:t>
            </w:r>
          </w:p>
        </w:tc>
        <w:tc>
          <w:tcPr>
            <w:tcW w:w="980" w:type="dxa"/>
            <w:tcBorders>
              <w:top w:val="nil"/>
              <w:left w:val="nil"/>
              <w:bottom w:val="single" w:sz="4" w:space="0" w:color="auto"/>
              <w:right w:val="single" w:sz="4" w:space="0" w:color="auto"/>
            </w:tcBorders>
            <w:shd w:val="clear" w:color="auto" w:fill="auto"/>
            <w:noWrap/>
            <w:vAlign w:val="bottom"/>
            <w:hideMark/>
          </w:tcPr>
          <w:p w14:paraId="269EAB4F" w14:textId="77777777" w:rsidR="00EC5CD4" w:rsidRPr="00EC5CD4" w:rsidRDefault="00EC5CD4" w:rsidP="00EC5CD4">
            <w:pPr>
              <w:jc w:val="right"/>
              <w:rPr>
                <w:sz w:val="20"/>
              </w:rPr>
            </w:pPr>
            <w:r w:rsidRPr="00EC5CD4">
              <w:rPr>
                <w:sz w:val="20"/>
              </w:rPr>
              <w:t>3,353</w:t>
            </w:r>
          </w:p>
        </w:tc>
      </w:tr>
      <w:tr w:rsidR="00EC5CD4" w:rsidRPr="00EC5CD4" w14:paraId="45102D9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8493B9A"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1C8041AA" w14:textId="666CF9BE"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7F63CB81"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2830F45" w14:textId="7DB5DC64"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68EDAA32"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0A74218" w14:textId="44D4D786"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2B9F44D9" w14:textId="345CF870"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1821002B" w14:textId="6DB3A279" w:rsidR="00EC5CD4" w:rsidRPr="00EC5CD4" w:rsidRDefault="00EC5CD4" w:rsidP="00EC5CD4">
            <w:pPr>
              <w:rPr>
                <w:sz w:val="20"/>
              </w:rPr>
            </w:pPr>
          </w:p>
        </w:tc>
      </w:tr>
      <w:tr w:rsidR="00EC5CD4" w:rsidRPr="00EC5CD4" w14:paraId="39459B6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8B24314"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9C4150F"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42689C2B"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423BEE8B"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103B2AEF"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48EABD88"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7075F8C6"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78D5B31F" w14:textId="77777777" w:rsidR="00EC5CD4" w:rsidRPr="00EC5CD4" w:rsidRDefault="00EC5CD4" w:rsidP="00EC5CD4">
            <w:pPr>
              <w:jc w:val="right"/>
              <w:rPr>
                <w:sz w:val="20"/>
              </w:rPr>
            </w:pPr>
            <w:r w:rsidRPr="00EC5CD4">
              <w:rPr>
                <w:sz w:val="20"/>
              </w:rPr>
              <w:t>37,617</w:t>
            </w:r>
          </w:p>
        </w:tc>
      </w:tr>
      <w:tr w:rsidR="00EC5CD4" w:rsidRPr="00EC5CD4" w14:paraId="70D40C34"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E66C077" w14:textId="77777777" w:rsidR="00EC5CD4" w:rsidRPr="00EC5CD4" w:rsidRDefault="00EC5CD4" w:rsidP="00EC5CD4">
            <w:pPr>
              <w:rPr>
                <w:sz w:val="20"/>
              </w:rPr>
            </w:pPr>
            <w:r w:rsidRPr="00EC5CD4">
              <w:rPr>
                <w:sz w:val="20"/>
              </w:rPr>
              <w:t xml:space="preserve">    Rate (%) </w:t>
            </w:r>
            <w:r w:rsidRPr="00EC5CD4">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06F2621C" w14:textId="77777777" w:rsidR="00EC5CD4" w:rsidRPr="00EC5CD4" w:rsidRDefault="00EC5CD4" w:rsidP="00EC5CD4">
            <w:pPr>
              <w:jc w:val="right"/>
              <w:rPr>
                <w:sz w:val="20"/>
              </w:rPr>
            </w:pPr>
            <w:r w:rsidRPr="00EC5CD4">
              <w:rPr>
                <w:sz w:val="20"/>
              </w:rPr>
              <w:t>54.95%</w:t>
            </w:r>
          </w:p>
        </w:tc>
        <w:tc>
          <w:tcPr>
            <w:tcW w:w="980" w:type="dxa"/>
            <w:tcBorders>
              <w:top w:val="nil"/>
              <w:left w:val="nil"/>
              <w:bottom w:val="nil"/>
              <w:right w:val="single" w:sz="4" w:space="0" w:color="auto"/>
            </w:tcBorders>
            <w:shd w:val="clear" w:color="auto" w:fill="auto"/>
            <w:noWrap/>
            <w:vAlign w:val="bottom"/>
            <w:hideMark/>
          </w:tcPr>
          <w:p w14:paraId="1BAA8D96" w14:textId="77777777" w:rsidR="00EC5CD4" w:rsidRPr="00EC5CD4" w:rsidRDefault="00EC5CD4" w:rsidP="00EC5CD4">
            <w:pPr>
              <w:jc w:val="right"/>
              <w:rPr>
                <w:sz w:val="20"/>
              </w:rPr>
            </w:pPr>
            <w:r w:rsidRPr="00EC5CD4">
              <w:rPr>
                <w:sz w:val="20"/>
              </w:rPr>
              <w:t>57.46%</w:t>
            </w:r>
          </w:p>
        </w:tc>
        <w:tc>
          <w:tcPr>
            <w:tcW w:w="980" w:type="dxa"/>
            <w:tcBorders>
              <w:top w:val="nil"/>
              <w:left w:val="nil"/>
              <w:bottom w:val="nil"/>
              <w:right w:val="single" w:sz="4" w:space="0" w:color="auto"/>
            </w:tcBorders>
            <w:shd w:val="clear" w:color="000000" w:fill="FFD85B"/>
            <w:noWrap/>
            <w:vAlign w:val="bottom"/>
            <w:hideMark/>
          </w:tcPr>
          <w:p w14:paraId="79067CEB" w14:textId="77777777" w:rsidR="00EC5CD4" w:rsidRPr="00EC5CD4" w:rsidRDefault="00EC5CD4" w:rsidP="00EC5CD4">
            <w:pPr>
              <w:jc w:val="right"/>
              <w:rPr>
                <w:sz w:val="20"/>
              </w:rPr>
            </w:pPr>
            <w:r w:rsidRPr="00EC5CD4">
              <w:rPr>
                <w:sz w:val="20"/>
              </w:rPr>
              <w:t>57.46%</w:t>
            </w:r>
          </w:p>
        </w:tc>
        <w:tc>
          <w:tcPr>
            <w:tcW w:w="980" w:type="dxa"/>
            <w:tcBorders>
              <w:top w:val="nil"/>
              <w:left w:val="nil"/>
              <w:bottom w:val="nil"/>
              <w:right w:val="nil"/>
            </w:tcBorders>
            <w:shd w:val="clear" w:color="000000" w:fill="FFD85B"/>
            <w:noWrap/>
            <w:vAlign w:val="bottom"/>
            <w:hideMark/>
          </w:tcPr>
          <w:p w14:paraId="08F343E0" w14:textId="77777777" w:rsidR="00EC5CD4" w:rsidRPr="00EC5CD4" w:rsidRDefault="00EC5CD4" w:rsidP="00EC5CD4">
            <w:pPr>
              <w:jc w:val="right"/>
              <w:rPr>
                <w:sz w:val="20"/>
              </w:rPr>
            </w:pPr>
            <w:r w:rsidRPr="00EC5CD4">
              <w:rPr>
                <w:sz w:val="20"/>
              </w:rPr>
              <w:t>57.46%</w:t>
            </w:r>
          </w:p>
        </w:tc>
        <w:tc>
          <w:tcPr>
            <w:tcW w:w="980" w:type="dxa"/>
            <w:tcBorders>
              <w:top w:val="nil"/>
              <w:left w:val="single" w:sz="4" w:space="0" w:color="auto"/>
              <w:bottom w:val="nil"/>
              <w:right w:val="single" w:sz="4" w:space="0" w:color="auto"/>
            </w:tcBorders>
            <w:shd w:val="clear" w:color="000000" w:fill="FFD85B"/>
            <w:noWrap/>
            <w:vAlign w:val="bottom"/>
            <w:hideMark/>
          </w:tcPr>
          <w:p w14:paraId="777FAFA1" w14:textId="77777777" w:rsidR="00EC5CD4" w:rsidRPr="00EC5CD4" w:rsidRDefault="00EC5CD4" w:rsidP="00EC5CD4">
            <w:pPr>
              <w:jc w:val="right"/>
              <w:rPr>
                <w:sz w:val="20"/>
              </w:rPr>
            </w:pPr>
            <w:r w:rsidRPr="00EC5CD4">
              <w:rPr>
                <w:sz w:val="20"/>
              </w:rPr>
              <w:t>57.46%</w:t>
            </w:r>
          </w:p>
        </w:tc>
        <w:tc>
          <w:tcPr>
            <w:tcW w:w="980" w:type="dxa"/>
            <w:tcBorders>
              <w:top w:val="nil"/>
              <w:left w:val="nil"/>
              <w:bottom w:val="nil"/>
              <w:right w:val="single" w:sz="4" w:space="0" w:color="auto"/>
            </w:tcBorders>
            <w:shd w:val="clear" w:color="000000" w:fill="FFD85B"/>
            <w:noWrap/>
            <w:vAlign w:val="bottom"/>
            <w:hideMark/>
          </w:tcPr>
          <w:p w14:paraId="7881A9B9" w14:textId="77777777" w:rsidR="00EC5CD4" w:rsidRPr="00EC5CD4" w:rsidRDefault="00EC5CD4" w:rsidP="00EC5CD4">
            <w:pPr>
              <w:jc w:val="right"/>
              <w:rPr>
                <w:sz w:val="20"/>
              </w:rPr>
            </w:pPr>
            <w:r w:rsidRPr="00EC5CD4">
              <w:rPr>
                <w:sz w:val="20"/>
              </w:rPr>
              <w:t>57.46%</w:t>
            </w:r>
          </w:p>
        </w:tc>
        <w:tc>
          <w:tcPr>
            <w:tcW w:w="980" w:type="dxa"/>
            <w:tcBorders>
              <w:top w:val="nil"/>
              <w:left w:val="nil"/>
              <w:bottom w:val="nil"/>
              <w:right w:val="single" w:sz="4" w:space="0" w:color="auto"/>
            </w:tcBorders>
            <w:shd w:val="clear" w:color="000000" w:fill="FFD85B"/>
            <w:noWrap/>
            <w:vAlign w:val="bottom"/>
            <w:hideMark/>
          </w:tcPr>
          <w:p w14:paraId="21591053" w14:textId="77777777" w:rsidR="00EC5CD4" w:rsidRPr="00EC5CD4" w:rsidRDefault="00EC5CD4" w:rsidP="00EC5CD4">
            <w:pPr>
              <w:jc w:val="right"/>
              <w:rPr>
                <w:sz w:val="20"/>
              </w:rPr>
            </w:pPr>
            <w:r w:rsidRPr="00EC5CD4">
              <w:rPr>
                <w:sz w:val="20"/>
              </w:rPr>
              <w:t>57.46%</w:t>
            </w:r>
          </w:p>
        </w:tc>
      </w:tr>
      <w:tr w:rsidR="00EC5CD4" w:rsidRPr="00EC5CD4" w14:paraId="2FAC381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1E50EBF"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B735F93" w14:textId="278B3C09" w:rsidR="00EC5CD4" w:rsidRPr="00EC5CD4" w:rsidRDefault="00EC5CD4" w:rsidP="00EC5CD4">
            <w:pPr>
              <w:rPr>
                <w:sz w:val="20"/>
              </w:rPr>
            </w:pPr>
            <w:r w:rsidRPr="00EC5CD4">
              <w:rPr>
                <w:sz w:val="20"/>
              </w:rPr>
              <w:t>265,795</w:t>
            </w:r>
          </w:p>
        </w:tc>
        <w:tc>
          <w:tcPr>
            <w:tcW w:w="980" w:type="dxa"/>
            <w:tcBorders>
              <w:top w:val="nil"/>
              <w:left w:val="nil"/>
              <w:bottom w:val="single" w:sz="4" w:space="0" w:color="auto"/>
              <w:right w:val="single" w:sz="4" w:space="0" w:color="auto"/>
            </w:tcBorders>
            <w:shd w:val="clear" w:color="auto" w:fill="auto"/>
            <w:noWrap/>
            <w:vAlign w:val="bottom"/>
            <w:hideMark/>
          </w:tcPr>
          <w:p w14:paraId="342647FF" w14:textId="6AD289BD" w:rsidR="00EC5CD4" w:rsidRPr="00EC5CD4" w:rsidRDefault="00EC5CD4" w:rsidP="00EC5CD4">
            <w:pPr>
              <w:rPr>
                <w:sz w:val="20"/>
              </w:rPr>
            </w:pPr>
            <w:r w:rsidRPr="00EC5CD4">
              <w:rPr>
                <w:sz w:val="20"/>
              </w:rPr>
              <w:t>47,347</w:t>
            </w:r>
          </w:p>
        </w:tc>
        <w:tc>
          <w:tcPr>
            <w:tcW w:w="980" w:type="dxa"/>
            <w:tcBorders>
              <w:top w:val="nil"/>
              <w:left w:val="nil"/>
              <w:bottom w:val="single" w:sz="4" w:space="0" w:color="auto"/>
              <w:right w:val="single" w:sz="4" w:space="0" w:color="auto"/>
            </w:tcBorders>
            <w:shd w:val="clear" w:color="000000" w:fill="FFD85B"/>
            <w:noWrap/>
            <w:vAlign w:val="bottom"/>
            <w:hideMark/>
          </w:tcPr>
          <w:p w14:paraId="3BA4C0F4" w14:textId="784FAD59" w:rsidR="00EC5CD4" w:rsidRPr="00EC5CD4" w:rsidRDefault="00EC5CD4" w:rsidP="00EC5CD4">
            <w:pPr>
              <w:rPr>
                <w:sz w:val="20"/>
              </w:rPr>
            </w:pPr>
            <w:r w:rsidRPr="00EC5CD4">
              <w:rPr>
                <w:sz w:val="20"/>
              </w:rPr>
              <w:t>25,734</w:t>
            </w:r>
          </w:p>
        </w:tc>
        <w:tc>
          <w:tcPr>
            <w:tcW w:w="980" w:type="dxa"/>
            <w:tcBorders>
              <w:top w:val="nil"/>
              <w:left w:val="nil"/>
              <w:bottom w:val="single" w:sz="4" w:space="0" w:color="auto"/>
              <w:right w:val="single" w:sz="4" w:space="0" w:color="auto"/>
            </w:tcBorders>
            <w:shd w:val="clear" w:color="000000" w:fill="FFD85B"/>
            <w:noWrap/>
            <w:vAlign w:val="bottom"/>
            <w:hideMark/>
          </w:tcPr>
          <w:p w14:paraId="3A8B16C6" w14:textId="046A8B04" w:rsidR="00EC5CD4" w:rsidRPr="00EC5CD4" w:rsidRDefault="00EC5CD4" w:rsidP="00EC5CD4">
            <w:pPr>
              <w:rPr>
                <w:sz w:val="20"/>
              </w:rPr>
            </w:pPr>
            <w:r w:rsidRPr="00EC5CD4">
              <w:rPr>
                <w:sz w:val="20"/>
              </w:rPr>
              <w:t>22,058</w:t>
            </w:r>
          </w:p>
        </w:tc>
        <w:tc>
          <w:tcPr>
            <w:tcW w:w="980" w:type="dxa"/>
            <w:tcBorders>
              <w:top w:val="nil"/>
              <w:left w:val="nil"/>
              <w:bottom w:val="single" w:sz="4" w:space="0" w:color="auto"/>
              <w:right w:val="single" w:sz="4" w:space="0" w:color="auto"/>
            </w:tcBorders>
            <w:shd w:val="clear" w:color="000000" w:fill="FFD85B"/>
            <w:noWrap/>
            <w:vAlign w:val="bottom"/>
            <w:hideMark/>
          </w:tcPr>
          <w:p w14:paraId="04F5845F" w14:textId="5FD66040" w:rsidR="00EC5CD4" w:rsidRPr="00EC5CD4" w:rsidRDefault="00EC5CD4" w:rsidP="00EC5CD4">
            <w:pPr>
              <w:rPr>
                <w:sz w:val="20"/>
              </w:rPr>
            </w:pPr>
            <w:r w:rsidRPr="00EC5CD4">
              <w:rPr>
                <w:sz w:val="20"/>
              </w:rPr>
              <w:t>1,301</w:t>
            </w:r>
          </w:p>
        </w:tc>
        <w:tc>
          <w:tcPr>
            <w:tcW w:w="980" w:type="dxa"/>
            <w:tcBorders>
              <w:top w:val="nil"/>
              <w:left w:val="nil"/>
              <w:bottom w:val="single" w:sz="4" w:space="0" w:color="auto"/>
              <w:right w:val="single" w:sz="4" w:space="0" w:color="auto"/>
            </w:tcBorders>
            <w:shd w:val="clear" w:color="000000" w:fill="FFD85B"/>
            <w:noWrap/>
            <w:vAlign w:val="bottom"/>
            <w:hideMark/>
          </w:tcPr>
          <w:p w14:paraId="59E3ED34" w14:textId="1EE3F883" w:rsidR="00EC5CD4" w:rsidRPr="00EC5CD4" w:rsidRDefault="00EC5CD4" w:rsidP="00EC5CD4">
            <w:pPr>
              <w:rPr>
                <w:sz w:val="20"/>
              </w:rPr>
            </w:pPr>
            <w:r w:rsidRPr="00EC5CD4">
              <w:rPr>
                <w:sz w:val="20"/>
              </w:rPr>
              <w:t>2,375</w:t>
            </w:r>
          </w:p>
        </w:tc>
        <w:tc>
          <w:tcPr>
            <w:tcW w:w="980" w:type="dxa"/>
            <w:tcBorders>
              <w:top w:val="nil"/>
              <w:left w:val="nil"/>
              <w:bottom w:val="single" w:sz="4" w:space="0" w:color="auto"/>
              <w:right w:val="single" w:sz="4" w:space="0" w:color="auto"/>
            </w:tcBorders>
            <w:shd w:val="clear" w:color="000000" w:fill="FFD85B"/>
            <w:noWrap/>
            <w:vAlign w:val="bottom"/>
            <w:hideMark/>
          </w:tcPr>
          <w:p w14:paraId="180FC2AD" w14:textId="1BF7DDE3" w:rsidR="00EC5CD4" w:rsidRPr="00EC5CD4" w:rsidRDefault="00EC5CD4" w:rsidP="00EC5CD4">
            <w:pPr>
              <w:rPr>
                <w:sz w:val="20"/>
              </w:rPr>
            </w:pPr>
            <w:r w:rsidRPr="00EC5CD4">
              <w:rPr>
                <w:sz w:val="20"/>
              </w:rPr>
              <w:t>21,613</w:t>
            </w:r>
          </w:p>
        </w:tc>
      </w:tr>
      <w:tr w:rsidR="00EC5CD4" w:rsidRPr="00EC5CD4" w14:paraId="7B6D92C4"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7CEFE07A" w14:textId="516CB014" w:rsidR="00EC5CD4" w:rsidRPr="00EC5CD4" w:rsidRDefault="00EC5CD4" w:rsidP="00EC5CD4">
            <w:pPr>
              <w:rPr>
                <w:sz w:val="20"/>
              </w:rPr>
            </w:pPr>
            <w:r w:rsidRPr="00EC5CD4">
              <w:rPr>
                <w:sz w:val="20"/>
              </w:rPr>
              <w:t xml:space="preserve">Older Adults </w:t>
            </w:r>
            <w:r w:rsidR="00240C80">
              <w:rPr>
                <w:sz w:val="20"/>
              </w:rPr>
              <w:t>26+</w:t>
            </w:r>
            <w:r w:rsidRPr="00EC5CD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1983B5A3" w14:textId="0F080118"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6CDBF7DE" w14:textId="411EAEF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DC0EEB1" w14:textId="512B0AE1"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7D91DDA1" w14:textId="7B4D28B6"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FF067D1" w14:textId="5A1FB930"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24CBA05C" w14:textId="0E105602"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32D39E53" w14:textId="23C04FF6" w:rsidR="00EC5CD4" w:rsidRPr="00EC5CD4" w:rsidRDefault="00EC5CD4" w:rsidP="00EC5CD4">
            <w:pPr>
              <w:rPr>
                <w:sz w:val="20"/>
              </w:rPr>
            </w:pPr>
          </w:p>
        </w:tc>
      </w:tr>
      <w:tr w:rsidR="00EC5CD4" w:rsidRPr="00EC5CD4" w14:paraId="2194F884"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5A46762"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F1EEFF1"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60E7EC7B"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3C68154F"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00063D63"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0A6DAF99"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2CF62FA4"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7B8E6A67" w14:textId="77777777" w:rsidR="00EC5CD4" w:rsidRPr="00EC5CD4" w:rsidRDefault="00EC5CD4" w:rsidP="00EC5CD4">
            <w:pPr>
              <w:jc w:val="right"/>
              <w:rPr>
                <w:sz w:val="20"/>
              </w:rPr>
            </w:pPr>
            <w:r w:rsidRPr="00EC5CD4">
              <w:rPr>
                <w:sz w:val="20"/>
              </w:rPr>
              <w:t>299,579</w:t>
            </w:r>
          </w:p>
        </w:tc>
      </w:tr>
      <w:tr w:rsidR="00EC5CD4" w:rsidRPr="00EC5CD4" w14:paraId="74E79927"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B0EA69C"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2C1A9387" w14:textId="77777777" w:rsidR="00EC5CD4" w:rsidRPr="00EC5CD4" w:rsidRDefault="00EC5CD4" w:rsidP="00EC5CD4">
            <w:pPr>
              <w:jc w:val="right"/>
              <w:rPr>
                <w:sz w:val="20"/>
              </w:rPr>
            </w:pPr>
            <w:r w:rsidRPr="00EC5CD4">
              <w:rPr>
                <w:sz w:val="20"/>
              </w:rPr>
              <w:t>53.71%</w:t>
            </w:r>
          </w:p>
        </w:tc>
        <w:tc>
          <w:tcPr>
            <w:tcW w:w="980" w:type="dxa"/>
            <w:tcBorders>
              <w:top w:val="nil"/>
              <w:left w:val="nil"/>
              <w:bottom w:val="nil"/>
              <w:right w:val="single" w:sz="4" w:space="0" w:color="auto"/>
            </w:tcBorders>
            <w:shd w:val="clear" w:color="auto" w:fill="auto"/>
            <w:noWrap/>
            <w:vAlign w:val="bottom"/>
            <w:hideMark/>
          </w:tcPr>
          <w:p w14:paraId="129A6867" w14:textId="77777777" w:rsidR="00EC5CD4" w:rsidRPr="00EC5CD4" w:rsidRDefault="00EC5CD4" w:rsidP="00EC5CD4">
            <w:pPr>
              <w:jc w:val="right"/>
              <w:rPr>
                <w:sz w:val="20"/>
              </w:rPr>
            </w:pPr>
            <w:r w:rsidRPr="00EC5CD4">
              <w:rPr>
                <w:sz w:val="20"/>
              </w:rPr>
              <w:t>59.71%</w:t>
            </w:r>
          </w:p>
        </w:tc>
        <w:tc>
          <w:tcPr>
            <w:tcW w:w="980" w:type="dxa"/>
            <w:tcBorders>
              <w:top w:val="nil"/>
              <w:left w:val="nil"/>
              <w:bottom w:val="nil"/>
              <w:right w:val="single" w:sz="4" w:space="0" w:color="auto"/>
            </w:tcBorders>
            <w:shd w:val="clear" w:color="auto" w:fill="auto"/>
            <w:noWrap/>
            <w:vAlign w:val="bottom"/>
            <w:hideMark/>
          </w:tcPr>
          <w:p w14:paraId="48A40066" w14:textId="77777777" w:rsidR="00EC5CD4" w:rsidRPr="00EC5CD4" w:rsidRDefault="00EC5CD4" w:rsidP="00EC5CD4">
            <w:pPr>
              <w:jc w:val="right"/>
              <w:rPr>
                <w:sz w:val="20"/>
              </w:rPr>
            </w:pPr>
            <w:r w:rsidRPr="00EC5CD4">
              <w:rPr>
                <w:sz w:val="20"/>
              </w:rPr>
              <w:t>61.23%</w:t>
            </w:r>
          </w:p>
        </w:tc>
        <w:tc>
          <w:tcPr>
            <w:tcW w:w="980" w:type="dxa"/>
            <w:tcBorders>
              <w:top w:val="nil"/>
              <w:left w:val="nil"/>
              <w:bottom w:val="nil"/>
              <w:right w:val="nil"/>
            </w:tcBorders>
            <w:shd w:val="clear" w:color="auto" w:fill="auto"/>
            <w:noWrap/>
            <w:vAlign w:val="bottom"/>
            <w:hideMark/>
          </w:tcPr>
          <w:p w14:paraId="56B01FBF" w14:textId="77777777" w:rsidR="00EC5CD4" w:rsidRPr="00EC5CD4" w:rsidRDefault="00EC5CD4" w:rsidP="00EC5CD4">
            <w:pPr>
              <w:jc w:val="right"/>
              <w:rPr>
                <w:sz w:val="20"/>
              </w:rPr>
            </w:pPr>
            <w:r w:rsidRPr="00EC5CD4">
              <w:rPr>
                <w:sz w:val="20"/>
              </w:rPr>
              <w:t>61.23%</w:t>
            </w:r>
          </w:p>
        </w:tc>
        <w:tc>
          <w:tcPr>
            <w:tcW w:w="980" w:type="dxa"/>
            <w:tcBorders>
              <w:top w:val="nil"/>
              <w:left w:val="single" w:sz="4" w:space="0" w:color="auto"/>
              <w:bottom w:val="nil"/>
              <w:right w:val="single" w:sz="4" w:space="0" w:color="auto"/>
            </w:tcBorders>
            <w:shd w:val="clear" w:color="auto" w:fill="auto"/>
            <w:noWrap/>
            <w:vAlign w:val="bottom"/>
            <w:hideMark/>
          </w:tcPr>
          <w:p w14:paraId="3DBEC24C" w14:textId="77777777" w:rsidR="00EC5CD4" w:rsidRPr="00EC5CD4" w:rsidRDefault="00EC5CD4" w:rsidP="00EC5CD4">
            <w:pPr>
              <w:jc w:val="right"/>
              <w:rPr>
                <w:sz w:val="20"/>
              </w:rPr>
            </w:pPr>
            <w:r w:rsidRPr="00EC5CD4">
              <w:rPr>
                <w:sz w:val="20"/>
              </w:rPr>
              <w:t>61.23%</w:t>
            </w:r>
          </w:p>
        </w:tc>
        <w:tc>
          <w:tcPr>
            <w:tcW w:w="980" w:type="dxa"/>
            <w:tcBorders>
              <w:top w:val="nil"/>
              <w:left w:val="nil"/>
              <w:bottom w:val="nil"/>
              <w:right w:val="single" w:sz="4" w:space="0" w:color="auto"/>
            </w:tcBorders>
            <w:shd w:val="clear" w:color="auto" w:fill="auto"/>
            <w:noWrap/>
            <w:vAlign w:val="bottom"/>
            <w:hideMark/>
          </w:tcPr>
          <w:p w14:paraId="5A30A444" w14:textId="77777777" w:rsidR="00EC5CD4" w:rsidRPr="00EC5CD4" w:rsidRDefault="00EC5CD4" w:rsidP="00EC5CD4">
            <w:pPr>
              <w:jc w:val="right"/>
              <w:rPr>
                <w:sz w:val="20"/>
              </w:rPr>
            </w:pPr>
            <w:r w:rsidRPr="00EC5CD4">
              <w:rPr>
                <w:sz w:val="20"/>
              </w:rPr>
              <w:t>61.23%</w:t>
            </w:r>
          </w:p>
        </w:tc>
        <w:tc>
          <w:tcPr>
            <w:tcW w:w="980" w:type="dxa"/>
            <w:tcBorders>
              <w:top w:val="nil"/>
              <w:left w:val="nil"/>
              <w:bottom w:val="nil"/>
              <w:right w:val="single" w:sz="4" w:space="0" w:color="auto"/>
            </w:tcBorders>
            <w:shd w:val="clear" w:color="auto" w:fill="auto"/>
            <w:noWrap/>
            <w:vAlign w:val="bottom"/>
            <w:hideMark/>
          </w:tcPr>
          <w:p w14:paraId="171AA98F" w14:textId="77777777" w:rsidR="00EC5CD4" w:rsidRPr="00EC5CD4" w:rsidRDefault="00EC5CD4" w:rsidP="00EC5CD4">
            <w:pPr>
              <w:jc w:val="right"/>
              <w:rPr>
                <w:sz w:val="20"/>
              </w:rPr>
            </w:pPr>
            <w:r w:rsidRPr="00EC5CD4">
              <w:rPr>
                <w:sz w:val="20"/>
              </w:rPr>
              <w:t>58.01%</w:t>
            </w:r>
          </w:p>
        </w:tc>
      </w:tr>
      <w:tr w:rsidR="00EC5CD4" w:rsidRPr="00EC5CD4" w14:paraId="1B716F1C"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3EB74EF"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AF1FA20" w14:textId="076A6A73" w:rsidR="00EC5CD4" w:rsidRPr="00EC5CD4" w:rsidRDefault="00EC5CD4" w:rsidP="00EC5CD4">
            <w:pPr>
              <w:rPr>
                <w:sz w:val="20"/>
              </w:rPr>
            </w:pPr>
            <w:r w:rsidRPr="00EC5CD4">
              <w:rPr>
                <w:sz w:val="20"/>
              </w:rPr>
              <w:t>1,652,933</w:t>
            </w:r>
          </w:p>
        </w:tc>
        <w:tc>
          <w:tcPr>
            <w:tcW w:w="980" w:type="dxa"/>
            <w:tcBorders>
              <w:top w:val="nil"/>
              <w:left w:val="nil"/>
              <w:bottom w:val="single" w:sz="4" w:space="0" w:color="auto"/>
              <w:right w:val="single" w:sz="4" w:space="0" w:color="auto"/>
            </w:tcBorders>
            <w:shd w:val="clear" w:color="auto" w:fill="auto"/>
            <w:noWrap/>
            <w:vAlign w:val="bottom"/>
            <w:hideMark/>
          </w:tcPr>
          <w:p w14:paraId="2015567F" w14:textId="179DC87F" w:rsidR="00EC5CD4" w:rsidRPr="00EC5CD4" w:rsidRDefault="00EC5CD4" w:rsidP="00EC5CD4">
            <w:pPr>
              <w:rPr>
                <w:sz w:val="20"/>
              </w:rPr>
            </w:pPr>
            <w:r w:rsidRPr="00EC5CD4">
              <w:rPr>
                <w:sz w:val="20"/>
              </w:rPr>
              <w:t>369,985</w:t>
            </w:r>
          </w:p>
        </w:tc>
        <w:tc>
          <w:tcPr>
            <w:tcW w:w="980" w:type="dxa"/>
            <w:tcBorders>
              <w:top w:val="nil"/>
              <w:left w:val="nil"/>
              <w:bottom w:val="single" w:sz="4" w:space="0" w:color="auto"/>
              <w:right w:val="single" w:sz="4" w:space="0" w:color="auto"/>
            </w:tcBorders>
            <w:shd w:val="clear" w:color="auto" w:fill="auto"/>
            <w:noWrap/>
            <w:vAlign w:val="bottom"/>
            <w:hideMark/>
          </w:tcPr>
          <w:p w14:paraId="6DA41ACE" w14:textId="6865542A" w:rsidR="00EC5CD4" w:rsidRPr="00EC5CD4" w:rsidRDefault="00EC5CD4" w:rsidP="00EC5CD4">
            <w:pPr>
              <w:rPr>
                <w:sz w:val="20"/>
              </w:rPr>
            </w:pPr>
            <w:r w:rsidRPr="00EC5CD4">
              <w:rPr>
                <w:sz w:val="20"/>
              </w:rPr>
              <w:t>195,947</w:t>
            </w:r>
          </w:p>
        </w:tc>
        <w:tc>
          <w:tcPr>
            <w:tcW w:w="980" w:type="dxa"/>
            <w:tcBorders>
              <w:top w:val="nil"/>
              <w:left w:val="nil"/>
              <w:bottom w:val="single" w:sz="4" w:space="0" w:color="auto"/>
              <w:right w:val="single" w:sz="4" w:space="0" w:color="auto"/>
            </w:tcBorders>
            <w:shd w:val="clear" w:color="auto" w:fill="auto"/>
            <w:noWrap/>
            <w:vAlign w:val="bottom"/>
            <w:hideMark/>
          </w:tcPr>
          <w:p w14:paraId="4BA5346A" w14:textId="6D5B94DE" w:rsidR="00EC5CD4" w:rsidRPr="00EC5CD4" w:rsidRDefault="00EC5CD4" w:rsidP="00EC5CD4">
            <w:pPr>
              <w:rPr>
                <w:sz w:val="20"/>
              </w:rPr>
            </w:pPr>
            <w:r w:rsidRPr="00EC5CD4">
              <w:rPr>
                <w:sz w:val="20"/>
              </w:rPr>
              <w:t>168,048</w:t>
            </w:r>
          </w:p>
        </w:tc>
        <w:tc>
          <w:tcPr>
            <w:tcW w:w="980" w:type="dxa"/>
            <w:tcBorders>
              <w:top w:val="nil"/>
              <w:left w:val="nil"/>
              <w:bottom w:val="single" w:sz="4" w:space="0" w:color="auto"/>
              <w:right w:val="single" w:sz="4" w:space="0" w:color="auto"/>
            </w:tcBorders>
            <w:shd w:val="clear" w:color="auto" w:fill="auto"/>
            <w:noWrap/>
            <w:vAlign w:val="bottom"/>
            <w:hideMark/>
          </w:tcPr>
          <w:p w14:paraId="1BD8AFC9" w14:textId="775F9342" w:rsidR="00EC5CD4" w:rsidRPr="00EC5CD4" w:rsidRDefault="00EC5CD4" w:rsidP="00EC5CD4">
            <w:pPr>
              <w:rPr>
                <w:sz w:val="20"/>
              </w:rPr>
            </w:pPr>
            <w:r w:rsidRPr="00EC5CD4">
              <w:rPr>
                <w:sz w:val="20"/>
              </w:rPr>
              <w:t>9,157</w:t>
            </w:r>
          </w:p>
        </w:tc>
        <w:tc>
          <w:tcPr>
            <w:tcW w:w="980" w:type="dxa"/>
            <w:tcBorders>
              <w:top w:val="nil"/>
              <w:left w:val="nil"/>
              <w:bottom w:val="single" w:sz="4" w:space="0" w:color="auto"/>
              <w:right w:val="single" w:sz="4" w:space="0" w:color="auto"/>
            </w:tcBorders>
            <w:shd w:val="clear" w:color="auto" w:fill="auto"/>
            <w:noWrap/>
            <w:vAlign w:val="bottom"/>
            <w:hideMark/>
          </w:tcPr>
          <w:p w14:paraId="62DC6D5C" w14:textId="4CFD4626" w:rsidR="00EC5CD4" w:rsidRPr="00EC5CD4" w:rsidRDefault="00EC5CD4" w:rsidP="00EC5CD4">
            <w:pPr>
              <w:rPr>
                <w:sz w:val="20"/>
              </w:rPr>
            </w:pPr>
            <w:r w:rsidRPr="00EC5CD4">
              <w:rPr>
                <w:sz w:val="20"/>
              </w:rPr>
              <w:t>18,742</w:t>
            </w:r>
          </w:p>
        </w:tc>
        <w:tc>
          <w:tcPr>
            <w:tcW w:w="980" w:type="dxa"/>
            <w:tcBorders>
              <w:top w:val="nil"/>
              <w:left w:val="nil"/>
              <w:bottom w:val="single" w:sz="4" w:space="0" w:color="auto"/>
              <w:right w:val="single" w:sz="4" w:space="0" w:color="auto"/>
            </w:tcBorders>
            <w:shd w:val="clear" w:color="auto" w:fill="auto"/>
            <w:noWrap/>
            <w:vAlign w:val="bottom"/>
            <w:hideMark/>
          </w:tcPr>
          <w:p w14:paraId="3D5C5D3B" w14:textId="78BB98DD" w:rsidR="00EC5CD4" w:rsidRPr="00EC5CD4" w:rsidRDefault="00EC5CD4" w:rsidP="00EC5CD4">
            <w:pPr>
              <w:rPr>
                <w:sz w:val="20"/>
              </w:rPr>
            </w:pPr>
            <w:r w:rsidRPr="00EC5CD4">
              <w:rPr>
                <w:sz w:val="20"/>
              </w:rPr>
              <w:t>173,792</w:t>
            </w:r>
          </w:p>
        </w:tc>
      </w:tr>
      <w:tr w:rsidR="00EC5CD4" w:rsidRPr="00EC5CD4" w14:paraId="21B49606"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9C0545E"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12719A21" w14:textId="4FE45F41"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2B32A0C2"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04DF1DD" w14:textId="07271BF4"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59449EC0"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88B0211" w14:textId="0268233B"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47DB299B" w14:textId="701C3BC3"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3DD7FA92" w14:textId="062DA3ED" w:rsidR="00EC5CD4" w:rsidRPr="00EC5CD4" w:rsidRDefault="00EC5CD4" w:rsidP="00EC5CD4">
            <w:pPr>
              <w:rPr>
                <w:sz w:val="20"/>
              </w:rPr>
            </w:pPr>
          </w:p>
        </w:tc>
      </w:tr>
      <w:tr w:rsidR="00EC5CD4" w:rsidRPr="00EC5CD4" w14:paraId="3D17288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7EC15A2"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706BD32"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4894FCBB"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16B07C69"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0BA17FE5"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4DB42D10"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1431937C"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4CF3B943" w14:textId="77777777" w:rsidR="00EC5CD4" w:rsidRPr="00EC5CD4" w:rsidRDefault="00EC5CD4" w:rsidP="00EC5CD4">
            <w:pPr>
              <w:jc w:val="right"/>
              <w:rPr>
                <w:sz w:val="20"/>
              </w:rPr>
            </w:pPr>
            <w:r w:rsidRPr="00EC5CD4">
              <w:rPr>
                <w:sz w:val="20"/>
              </w:rPr>
              <w:t>337,196</w:t>
            </w:r>
          </w:p>
        </w:tc>
      </w:tr>
      <w:tr w:rsidR="00EC5CD4" w:rsidRPr="00EC5CD4" w14:paraId="25D5AD99"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C7B10DF"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8431393" w14:textId="77777777" w:rsidR="00EC5CD4" w:rsidRPr="00EC5CD4" w:rsidRDefault="00EC5CD4" w:rsidP="00EC5CD4">
            <w:pPr>
              <w:jc w:val="right"/>
              <w:rPr>
                <w:sz w:val="20"/>
              </w:rPr>
            </w:pPr>
            <w:r w:rsidRPr="00EC5CD4">
              <w:rPr>
                <w:sz w:val="20"/>
              </w:rPr>
              <w:t>53.88%</w:t>
            </w:r>
          </w:p>
        </w:tc>
        <w:tc>
          <w:tcPr>
            <w:tcW w:w="980" w:type="dxa"/>
            <w:tcBorders>
              <w:top w:val="nil"/>
              <w:left w:val="nil"/>
              <w:bottom w:val="nil"/>
              <w:right w:val="single" w:sz="4" w:space="0" w:color="auto"/>
            </w:tcBorders>
            <w:shd w:val="clear" w:color="auto" w:fill="auto"/>
            <w:noWrap/>
            <w:vAlign w:val="bottom"/>
            <w:hideMark/>
          </w:tcPr>
          <w:p w14:paraId="2052E311" w14:textId="77777777" w:rsidR="00EC5CD4" w:rsidRPr="00EC5CD4" w:rsidRDefault="00EC5CD4" w:rsidP="00EC5CD4">
            <w:pPr>
              <w:jc w:val="right"/>
              <w:rPr>
                <w:sz w:val="20"/>
              </w:rPr>
            </w:pPr>
            <w:r w:rsidRPr="00EC5CD4">
              <w:rPr>
                <w:sz w:val="20"/>
              </w:rPr>
              <w:t>59.43%</w:t>
            </w:r>
          </w:p>
        </w:tc>
        <w:tc>
          <w:tcPr>
            <w:tcW w:w="980" w:type="dxa"/>
            <w:tcBorders>
              <w:top w:val="nil"/>
              <w:left w:val="nil"/>
              <w:bottom w:val="nil"/>
              <w:right w:val="single" w:sz="4" w:space="0" w:color="auto"/>
            </w:tcBorders>
            <w:shd w:val="clear" w:color="auto" w:fill="auto"/>
            <w:noWrap/>
            <w:vAlign w:val="bottom"/>
            <w:hideMark/>
          </w:tcPr>
          <w:p w14:paraId="26DDD5E6" w14:textId="77777777" w:rsidR="00EC5CD4" w:rsidRPr="00EC5CD4" w:rsidRDefault="00EC5CD4" w:rsidP="00EC5CD4">
            <w:pPr>
              <w:jc w:val="right"/>
              <w:rPr>
                <w:sz w:val="20"/>
              </w:rPr>
            </w:pPr>
            <w:r w:rsidRPr="00EC5CD4">
              <w:rPr>
                <w:sz w:val="20"/>
              </w:rPr>
              <w:t>61.10%</w:t>
            </w:r>
          </w:p>
        </w:tc>
        <w:tc>
          <w:tcPr>
            <w:tcW w:w="980" w:type="dxa"/>
            <w:tcBorders>
              <w:top w:val="nil"/>
              <w:left w:val="nil"/>
              <w:bottom w:val="nil"/>
              <w:right w:val="nil"/>
            </w:tcBorders>
            <w:shd w:val="clear" w:color="auto" w:fill="auto"/>
            <w:noWrap/>
            <w:vAlign w:val="bottom"/>
            <w:hideMark/>
          </w:tcPr>
          <w:p w14:paraId="2763A06A" w14:textId="77777777" w:rsidR="00EC5CD4" w:rsidRPr="00EC5CD4" w:rsidRDefault="00EC5CD4" w:rsidP="00EC5CD4">
            <w:pPr>
              <w:jc w:val="right"/>
              <w:rPr>
                <w:sz w:val="20"/>
              </w:rPr>
            </w:pPr>
            <w:r w:rsidRPr="00EC5CD4">
              <w:rPr>
                <w:sz w:val="20"/>
              </w:rPr>
              <w:t>61.10%</w:t>
            </w:r>
          </w:p>
        </w:tc>
        <w:tc>
          <w:tcPr>
            <w:tcW w:w="980" w:type="dxa"/>
            <w:tcBorders>
              <w:top w:val="nil"/>
              <w:left w:val="single" w:sz="4" w:space="0" w:color="auto"/>
              <w:bottom w:val="nil"/>
              <w:right w:val="single" w:sz="4" w:space="0" w:color="auto"/>
            </w:tcBorders>
            <w:shd w:val="clear" w:color="auto" w:fill="auto"/>
            <w:noWrap/>
            <w:vAlign w:val="bottom"/>
            <w:hideMark/>
          </w:tcPr>
          <w:p w14:paraId="340DBD67" w14:textId="77777777" w:rsidR="00EC5CD4" w:rsidRPr="00EC5CD4" w:rsidRDefault="00EC5CD4" w:rsidP="00EC5CD4">
            <w:pPr>
              <w:jc w:val="right"/>
              <w:rPr>
                <w:sz w:val="20"/>
              </w:rPr>
            </w:pPr>
            <w:r w:rsidRPr="00EC5CD4">
              <w:rPr>
                <w:sz w:val="20"/>
              </w:rPr>
              <w:t>61.10%</w:t>
            </w:r>
          </w:p>
        </w:tc>
        <w:tc>
          <w:tcPr>
            <w:tcW w:w="980" w:type="dxa"/>
            <w:tcBorders>
              <w:top w:val="nil"/>
              <w:left w:val="nil"/>
              <w:bottom w:val="nil"/>
              <w:right w:val="single" w:sz="4" w:space="0" w:color="auto"/>
            </w:tcBorders>
            <w:shd w:val="clear" w:color="auto" w:fill="auto"/>
            <w:noWrap/>
            <w:vAlign w:val="bottom"/>
            <w:hideMark/>
          </w:tcPr>
          <w:p w14:paraId="0E27E96B" w14:textId="77777777" w:rsidR="00EC5CD4" w:rsidRPr="00EC5CD4" w:rsidRDefault="00EC5CD4" w:rsidP="00EC5CD4">
            <w:pPr>
              <w:jc w:val="right"/>
              <w:rPr>
                <w:sz w:val="20"/>
              </w:rPr>
            </w:pPr>
            <w:r w:rsidRPr="00EC5CD4">
              <w:rPr>
                <w:sz w:val="20"/>
              </w:rPr>
              <w:t>61.10%</w:t>
            </w:r>
          </w:p>
        </w:tc>
        <w:tc>
          <w:tcPr>
            <w:tcW w:w="980" w:type="dxa"/>
            <w:tcBorders>
              <w:top w:val="nil"/>
              <w:left w:val="nil"/>
              <w:bottom w:val="nil"/>
              <w:right w:val="single" w:sz="4" w:space="0" w:color="auto"/>
            </w:tcBorders>
            <w:shd w:val="clear" w:color="auto" w:fill="auto"/>
            <w:noWrap/>
            <w:vAlign w:val="bottom"/>
            <w:hideMark/>
          </w:tcPr>
          <w:p w14:paraId="2C326EE9" w14:textId="77777777" w:rsidR="00EC5CD4" w:rsidRPr="00EC5CD4" w:rsidRDefault="00EC5CD4" w:rsidP="00EC5CD4">
            <w:pPr>
              <w:jc w:val="right"/>
              <w:rPr>
                <w:sz w:val="20"/>
              </w:rPr>
            </w:pPr>
            <w:r w:rsidRPr="00EC5CD4">
              <w:rPr>
                <w:sz w:val="20"/>
              </w:rPr>
              <w:t>57.50%</w:t>
            </w:r>
          </w:p>
        </w:tc>
      </w:tr>
      <w:tr w:rsidR="00EC5CD4" w:rsidRPr="00EC5CD4" w14:paraId="61210B57"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1718EF7"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865F0A" w14:textId="2FA3641D" w:rsidR="00EC5CD4" w:rsidRPr="00EC5CD4" w:rsidRDefault="00EC5CD4" w:rsidP="00EC5CD4">
            <w:pPr>
              <w:jc w:val="right"/>
              <w:rPr>
                <w:sz w:val="20"/>
              </w:rPr>
            </w:pPr>
            <w:r w:rsidRPr="00EC5CD4">
              <w:rPr>
                <w:sz w:val="20"/>
              </w:rPr>
              <w:t>1,918,889</w:t>
            </w:r>
          </w:p>
        </w:tc>
        <w:tc>
          <w:tcPr>
            <w:tcW w:w="980" w:type="dxa"/>
            <w:tcBorders>
              <w:top w:val="nil"/>
              <w:left w:val="nil"/>
              <w:bottom w:val="single" w:sz="4" w:space="0" w:color="auto"/>
              <w:right w:val="single" w:sz="4" w:space="0" w:color="auto"/>
            </w:tcBorders>
            <w:shd w:val="clear" w:color="auto" w:fill="auto"/>
            <w:noWrap/>
            <w:vAlign w:val="bottom"/>
            <w:hideMark/>
          </w:tcPr>
          <w:p w14:paraId="59F8DD25" w14:textId="608DAAAF" w:rsidR="00EC5CD4" w:rsidRPr="00EC5CD4" w:rsidRDefault="00EC5CD4" w:rsidP="00EC5CD4">
            <w:pPr>
              <w:rPr>
                <w:sz w:val="20"/>
              </w:rPr>
            </w:pPr>
            <w:r w:rsidRPr="00EC5CD4">
              <w:rPr>
                <w:sz w:val="20"/>
              </w:rPr>
              <w:t>417,209</w:t>
            </w:r>
          </w:p>
        </w:tc>
        <w:tc>
          <w:tcPr>
            <w:tcW w:w="980" w:type="dxa"/>
            <w:tcBorders>
              <w:top w:val="nil"/>
              <w:left w:val="nil"/>
              <w:bottom w:val="single" w:sz="4" w:space="0" w:color="auto"/>
              <w:right w:val="single" w:sz="4" w:space="0" w:color="auto"/>
            </w:tcBorders>
            <w:shd w:val="clear" w:color="auto" w:fill="auto"/>
            <w:noWrap/>
            <w:vAlign w:val="bottom"/>
            <w:hideMark/>
          </w:tcPr>
          <w:p w14:paraId="3B48BE77" w14:textId="25315710" w:rsidR="00EC5CD4" w:rsidRPr="00EC5CD4" w:rsidRDefault="00EC5CD4" w:rsidP="00EC5CD4">
            <w:pPr>
              <w:rPr>
                <w:sz w:val="20"/>
              </w:rPr>
            </w:pPr>
            <w:r w:rsidRPr="00EC5CD4">
              <w:rPr>
                <w:sz w:val="20"/>
              </w:rPr>
              <w:t>222,912</w:t>
            </w:r>
          </w:p>
        </w:tc>
        <w:tc>
          <w:tcPr>
            <w:tcW w:w="980" w:type="dxa"/>
            <w:tcBorders>
              <w:top w:val="nil"/>
              <w:left w:val="nil"/>
              <w:bottom w:val="single" w:sz="4" w:space="0" w:color="auto"/>
              <w:right w:val="single" w:sz="4" w:space="0" w:color="auto"/>
            </w:tcBorders>
            <w:shd w:val="clear" w:color="auto" w:fill="auto"/>
            <w:noWrap/>
            <w:vAlign w:val="bottom"/>
            <w:hideMark/>
          </w:tcPr>
          <w:p w14:paraId="70BFB5E4" w14:textId="351B0551" w:rsidR="00EC5CD4" w:rsidRPr="00EC5CD4" w:rsidRDefault="00EC5CD4" w:rsidP="00EC5CD4">
            <w:pPr>
              <w:rPr>
                <w:sz w:val="20"/>
              </w:rPr>
            </w:pPr>
            <w:r w:rsidRPr="00EC5CD4">
              <w:rPr>
                <w:sz w:val="20"/>
              </w:rPr>
              <w:t>191,161</w:t>
            </w:r>
          </w:p>
        </w:tc>
        <w:tc>
          <w:tcPr>
            <w:tcW w:w="980" w:type="dxa"/>
            <w:tcBorders>
              <w:top w:val="nil"/>
              <w:left w:val="nil"/>
              <w:bottom w:val="single" w:sz="4" w:space="0" w:color="auto"/>
              <w:right w:val="single" w:sz="4" w:space="0" w:color="auto"/>
            </w:tcBorders>
            <w:shd w:val="clear" w:color="auto" w:fill="auto"/>
            <w:noWrap/>
            <w:vAlign w:val="bottom"/>
            <w:hideMark/>
          </w:tcPr>
          <w:p w14:paraId="05B1E3CB" w14:textId="592027CA" w:rsidR="00EC5CD4" w:rsidRPr="00EC5CD4" w:rsidRDefault="00EC5CD4" w:rsidP="00EC5CD4">
            <w:pPr>
              <w:rPr>
                <w:sz w:val="20"/>
              </w:rPr>
            </w:pPr>
            <w:r w:rsidRPr="00EC5CD4">
              <w:rPr>
                <w:sz w:val="20"/>
              </w:rPr>
              <w:t>10,522</w:t>
            </w:r>
          </w:p>
        </w:tc>
        <w:tc>
          <w:tcPr>
            <w:tcW w:w="980" w:type="dxa"/>
            <w:tcBorders>
              <w:top w:val="nil"/>
              <w:left w:val="nil"/>
              <w:bottom w:val="single" w:sz="4" w:space="0" w:color="auto"/>
              <w:right w:val="single" w:sz="4" w:space="0" w:color="auto"/>
            </w:tcBorders>
            <w:shd w:val="clear" w:color="auto" w:fill="auto"/>
            <w:noWrap/>
            <w:vAlign w:val="bottom"/>
            <w:hideMark/>
          </w:tcPr>
          <w:p w14:paraId="147C8EE2" w14:textId="2A3BBAC6" w:rsidR="00EC5CD4" w:rsidRPr="00EC5CD4" w:rsidRDefault="00EC5CD4" w:rsidP="00EC5CD4">
            <w:pPr>
              <w:rPr>
                <w:sz w:val="20"/>
              </w:rPr>
            </w:pPr>
            <w:r w:rsidRPr="00EC5CD4">
              <w:rPr>
                <w:sz w:val="20"/>
              </w:rPr>
              <w:t>21,229</w:t>
            </w:r>
          </w:p>
        </w:tc>
        <w:tc>
          <w:tcPr>
            <w:tcW w:w="980" w:type="dxa"/>
            <w:tcBorders>
              <w:top w:val="nil"/>
              <w:left w:val="nil"/>
              <w:bottom w:val="single" w:sz="4" w:space="0" w:color="auto"/>
              <w:right w:val="single" w:sz="4" w:space="0" w:color="auto"/>
            </w:tcBorders>
            <w:shd w:val="clear" w:color="auto" w:fill="auto"/>
            <w:noWrap/>
            <w:vAlign w:val="bottom"/>
            <w:hideMark/>
          </w:tcPr>
          <w:p w14:paraId="0982270E" w14:textId="3489A282" w:rsidR="00EC5CD4" w:rsidRPr="00EC5CD4" w:rsidRDefault="00EC5CD4" w:rsidP="00EC5CD4">
            <w:pPr>
              <w:rPr>
                <w:sz w:val="20"/>
              </w:rPr>
            </w:pPr>
            <w:r w:rsidRPr="00EC5CD4">
              <w:rPr>
                <w:sz w:val="20"/>
              </w:rPr>
              <w:t>193,878</w:t>
            </w:r>
          </w:p>
        </w:tc>
      </w:tr>
      <w:tr w:rsidR="00EC5CD4" w:rsidRPr="00EC5CD4" w14:paraId="2C897013" w14:textId="77777777" w:rsidTr="00BF315B">
        <w:trPr>
          <w:trHeight w:val="1385"/>
        </w:trPr>
        <w:tc>
          <w:tcPr>
            <w:tcW w:w="8980" w:type="dxa"/>
            <w:gridSpan w:val="8"/>
            <w:tcBorders>
              <w:top w:val="single" w:sz="4" w:space="0" w:color="auto"/>
              <w:left w:val="nil"/>
              <w:bottom w:val="nil"/>
              <w:right w:val="nil"/>
            </w:tcBorders>
            <w:shd w:val="clear" w:color="auto" w:fill="auto"/>
            <w:vAlign w:val="bottom"/>
            <w:hideMark/>
          </w:tcPr>
          <w:p w14:paraId="57004121"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r w:rsidRPr="00EC5CD4">
              <w:rPr>
                <w:sz w:val="18"/>
                <w:szCs w:val="18"/>
              </w:rPr>
              <w:br/>
            </w:r>
            <w:r w:rsidRPr="00EC5CD4">
              <w:rPr>
                <w:b/>
                <w:bCs/>
                <w:sz w:val="18"/>
                <w:szCs w:val="18"/>
              </w:rPr>
              <w:t>**</w:t>
            </w:r>
            <w:r w:rsidRPr="00EC5CD4">
              <w:rPr>
                <w:sz w:val="18"/>
                <w:szCs w:val="18"/>
              </w:rPr>
              <w:t xml:space="preserve"> NSDUH did not </w:t>
            </w:r>
            <w:r w:rsidR="00BF315B">
              <w:rPr>
                <w:sz w:val="18"/>
                <w:szCs w:val="18"/>
              </w:rPr>
              <w:t>estimate rates</w:t>
            </w:r>
            <w:r w:rsidRPr="00EC5CD4">
              <w:rPr>
                <w:sz w:val="18"/>
                <w:szCs w:val="18"/>
              </w:rPr>
              <w:t xml:space="preserve"> </w:t>
            </w:r>
            <w:r w:rsidR="00BF315B">
              <w:rPr>
                <w:sz w:val="18"/>
                <w:szCs w:val="18"/>
              </w:rPr>
              <w:t xml:space="preserve">for Jefferson </w:t>
            </w:r>
            <w:r w:rsidRPr="00EC5CD4">
              <w:rPr>
                <w:sz w:val="18"/>
                <w:szCs w:val="18"/>
              </w:rPr>
              <w:t xml:space="preserve">Parish and the Metropolitan District; therefore, the rate for Greater New Orleans is applied to both Jefferson Parish and the Metropolitan District and its constituent parishes. </w:t>
            </w:r>
          </w:p>
          <w:p w14:paraId="4BBCFED8" w14:textId="0D9D1F98"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62C1B45D" w14:textId="3C314CA5" w:rsidR="00165A84" w:rsidRDefault="00165A84" w:rsidP="001549F4"/>
    <w:p w14:paraId="4A562F41" w14:textId="675FBE3B" w:rsidR="00165A84" w:rsidRDefault="00165A84">
      <w:r>
        <w:br w:type="page"/>
      </w:r>
    </w:p>
    <w:p w14:paraId="5F11D3AB" w14:textId="2FF50838" w:rsidR="00165A84" w:rsidRDefault="00EC5CD4" w:rsidP="00130E39">
      <w:pPr>
        <w:pStyle w:val="ListParagraph"/>
        <w:numPr>
          <w:ilvl w:val="0"/>
          <w:numId w:val="7"/>
        </w:numPr>
      </w:pPr>
      <w:r w:rsidRPr="00EC5CD4">
        <w:lastRenderedPageBreak/>
        <w:t xml:space="preserve">Binge Alcohol Use in the </w:t>
      </w:r>
      <w:r w:rsidRPr="00130E39">
        <w:rPr>
          <w:i/>
          <w:iCs/>
        </w:rPr>
        <w:t>Past Month</w:t>
      </w:r>
      <w:r w:rsidRPr="00EC5CD4">
        <w:t xml:space="preserve">  </w:t>
      </w:r>
    </w:p>
    <w:p w14:paraId="3C30D32C" w14:textId="6719190C" w:rsidR="00EC5CD4" w:rsidRDefault="00EC5CD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0A04E540"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30ECDDC7" w14:textId="77777777" w:rsidR="00EC5CD4" w:rsidRPr="00EC5CD4" w:rsidRDefault="00EC5CD4" w:rsidP="00EC5CD4">
            <w:pPr>
              <w:jc w:val="center"/>
              <w:rPr>
                <w:b/>
                <w:bCs/>
                <w:sz w:val="20"/>
              </w:rPr>
            </w:pPr>
            <w:r w:rsidRPr="00EC5CD4">
              <w:rPr>
                <w:b/>
                <w:bCs/>
                <w:sz w:val="20"/>
              </w:rPr>
              <w:t xml:space="preserve">Binge Alcohol Use in the </w:t>
            </w:r>
            <w:r w:rsidRPr="00EC5CD4">
              <w:rPr>
                <w:b/>
                <w:bCs/>
                <w:i/>
                <w:iCs/>
                <w:sz w:val="20"/>
                <w:u w:val="single"/>
              </w:rPr>
              <w:t xml:space="preserve">Past </w:t>
            </w:r>
            <w:proofErr w:type="gramStart"/>
            <w:r w:rsidRPr="00EC5CD4">
              <w:rPr>
                <w:b/>
                <w:bCs/>
                <w:i/>
                <w:iCs/>
                <w:sz w:val="20"/>
                <w:u w:val="single"/>
              </w:rPr>
              <w:t>Month</w:t>
            </w:r>
            <w:r w:rsidRPr="00EC5CD4">
              <w:rPr>
                <w:b/>
                <w:bCs/>
                <w:sz w:val="20"/>
              </w:rPr>
              <w:t xml:space="preserve">  by</w:t>
            </w:r>
            <w:proofErr w:type="gramEnd"/>
            <w:r w:rsidRPr="00EC5CD4">
              <w:rPr>
                <w:b/>
                <w:bCs/>
                <w:sz w:val="20"/>
              </w:rPr>
              <w:t xml:space="preserve"> Age Group Among Residents of</w:t>
            </w:r>
            <w:r w:rsidRPr="00EC5CD4">
              <w:rPr>
                <w:b/>
                <w:bCs/>
                <w:sz w:val="20"/>
              </w:rPr>
              <w:br/>
              <w:t>Greater New Orleans Parishes and Statewide, 2019*</w:t>
            </w:r>
          </w:p>
        </w:tc>
      </w:tr>
      <w:tr w:rsidR="00EC5CD4" w:rsidRPr="00EC5CD4" w14:paraId="42D36DDC"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78DB8670"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18C16DC0" w14:textId="5C43C70F"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4F9C2A5A"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3511A31A"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00AADF36"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3641C806"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14A36ADF"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5C47A009" w14:textId="77777777" w:rsidR="00EC5CD4" w:rsidRPr="00EC5CD4" w:rsidRDefault="00EC5CD4" w:rsidP="00EC5CD4">
            <w:pPr>
              <w:jc w:val="center"/>
              <w:rPr>
                <w:sz w:val="20"/>
              </w:rPr>
            </w:pPr>
            <w:r w:rsidRPr="00EC5CD4">
              <w:rPr>
                <w:sz w:val="20"/>
              </w:rPr>
              <w:t>Jefferson Parish HSA</w:t>
            </w:r>
          </w:p>
        </w:tc>
      </w:tr>
      <w:tr w:rsidR="00EC5CD4" w:rsidRPr="00EC5CD4" w14:paraId="49EB82D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442A5CAD"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283224D4"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26BB9389"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517C34B"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7BABC386"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778DD20"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42C7C867"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055FDE9B" w14:textId="77777777" w:rsidR="00EC5CD4" w:rsidRPr="00EC5CD4" w:rsidRDefault="00EC5CD4" w:rsidP="00EC5CD4">
            <w:pPr>
              <w:rPr>
                <w:sz w:val="20"/>
              </w:rPr>
            </w:pPr>
            <w:r w:rsidRPr="00EC5CD4">
              <w:rPr>
                <w:sz w:val="20"/>
              </w:rPr>
              <w:t> </w:t>
            </w:r>
          </w:p>
        </w:tc>
      </w:tr>
      <w:tr w:rsidR="00EC5CD4" w:rsidRPr="00EC5CD4" w14:paraId="6A5212AE"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B07B4EB"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1B47F67"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248858C7"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1DC29347"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4C98BB1F"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1A4F742C"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752882A4"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2E28B26F" w14:textId="77777777" w:rsidR="00EC5CD4" w:rsidRPr="00EC5CD4" w:rsidRDefault="00EC5CD4" w:rsidP="00EC5CD4">
            <w:pPr>
              <w:jc w:val="right"/>
              <w:rPr>
                <w:sz w:val="20"/>
              </w:rPr>
            </w:pPr>
            <w:r w:rsidRPr="00EC5CD4">
              <w:rPr>
                <w:sz w:val="20"/>
              </w:rPr>
              <w:t>30,385</w:t>
            </w:r>
          </w:p>
        </w:tc>
      </w:tr>
      <w:tr w:rsidR="00EC5CD4" w:rsidRPr="00EC5CD4" w14:paraId="10F63BA8"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9A38C8D" w14:textId="2A6B2A73" w:rsidR="00EC5CD4" w:rsidRPr="00EC5CD4" w:rsidRDefault="00EC5CD4" w:rsidP="00EC5CD4">
            <w:pPr>
              <w:rPr>
                <w:sz w:val="20"/>
              </w:rPr>
            </w:pPr>
            <w:r w:rsidRPr="00EC5CD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4253FA47" w14:textId="77777777" w:rsidR="00EC5CD4" w:rsidRPr="00EC5CD4" w:rsidRDefault="00EC5CD4" w:rsidP="00EC5CD4">
            <w:pPr>
              <w:jc w:val="right"/>
              <w:rPr>
                <w:sz w:val="20"/>
              </w:rPr>
            </w:pPr>
            <w:r w:rsidRPr="00EC5CD4">
              <w:rPr>
                <w:sz w:val="20"/>
              </w:rPr>
              <w:t>5.49%</w:t>
            </w:r>
          </w:p>
        </w:tc>
        <w:tc>
          <w:tcPr>
            <w:tcW w:w="980" w:type="dxa"/>
            <w:tcBorders>
              <w:top w:val="nil"/>
              <w:left w:val="nil"/>
              <w:bottom w:val="nil"/>
              <w:right w:val="single" w:sz="4" w:space="0" w:color="auto"/>
            </w:tcBorders>
            <w:shd w:val="clear" w:color="auto" w:fill="auto"/>
            <w:noWrap/>
            <w:vAlign w:val="bottom"/>
            <w:hideMark/>
          </w:tcPr>
          <w:p w14:paraId="2AB555B4" w14:textId="77777777" w:rsidR="00EC5CD4" w:rsidRPr="00EC5CD4" w:rsidRDefault="00EC5CD4" w:rsidP="00EC5CD4">
            <w:pPr>
              <w:jc w:val="right"/>
              <w:rPr>
                <w:sz w:val="20"/>
              </w:rPr>
            </w:pPr>
            <w:r w:rsidRPr="00EC5CD4">
              <w:rPr>
                <w:sz w:val="20"/>
              </w:rPr>
              <w:t>4.53%</w:t>
            </w:r>
          </w:p>
        </w:tc>
        <w:tc>
          <w:tcPr>
            <w:tcW w:w="980" w:type="dxa"/>
            <w:tcBorders>
              <w:top w:val="nil"/>
              <w:left w:val="nil"/>
              <w:bottom w:val="nil"/>
              <w:right w:val="single" w:sz="4" w:space="0" w:color="auto"/>
            </w:tcBorders>
            <w:shd w:val="clear" w:color="auto" w:fill="auto"/>
            <w:noWrap/>
            <w:vAlign w:val="bottom"/>
            <w:hideMark/>
          </w:tcPr>
          <w:p w14:paraId="09A5A10D" w14:textId="77777777" w:rsidR="00EC5CD4" w:rsidRPr="00EC5CD4" w:rsidRDefault="00EC5CD4" w:rsidP="00EC5CD4">
            <w:pPr>
              <w:jc w:val="right"/>
              <w:rPr>
                <w:sz w:val="20"/>
              </w:rPr>
            </w:pPr>
            <w:r w:rsidRPr="00EC5CD4">
              <w:rPr>
                <w:sz w:val="20"/>
              </w:rPr>
              <w:t>4.40%</w:t>
            </w:r>
          </w:p>
        </w:tc>
        <w:tc>
          <w:tcPr>
            <w:tcW w:w="980" w:type="dxa"/>
            <w:tcBorders>
              <w:top w:val="nil"/>
              <w:left w:val="nil"/>
              <w:bottom w:val="nil"/>
              <w:right w:val="nil"/>
            </w:tcBorders>
            <w:shd w:val="clear" w:color="auto" w:fill="auto"/>
            <w:noWrap/>
            <w:vAlign w:val="bottom"/>
            <w:hideMark/>
          </w:tcPr>
          <w:p w14:paraId="32202E37" w14:textId="77777777" w:rsidR="00EC5CD4" w:rsidRPr="00EC5CD4" w:rsidRDefault="00EC5CD4" w:rsidP="00EC5CD4">
            <w:pPr>
              <w:jc w:val="right"/>
              <w:rPr>
                <w:sz w:val="20"/>
              </w:rPr>
            </w:pPr>
            <w:r w:rsidRPr="00EC5CD4">
              <w:rPr>
                <w:sz w:val="20"/>
              </w:rPr>
              <w:t>4.40%</w:t>
            </w:r>
          </w:p>
        </w:tc>
        <w:tc>
          <w:tcPr>
            <w:tcW w:w="980" w:type="dxa"/>
            <w:tcBorders>
              <w:top w:val="nil"/>
              <w:left w:val="single" w:sz="4" w:space="0" w:color="auto"/>
              <w:bottom w:val="nil"/>
              <w:right w:val="single" w:sz="4" w:space="0" w:color="auto"/>
            </w:tcBorders>
            <w:shd w:val="clear" w:color="auto" w:fill="auto"/>
            <w:noWrap/>
            <w:vAlign w:val="bottom"/>
            <w:hideMark/>
          </w:tcPr>
          <w:p w14:paraId="1799BA31" w14:textId="77777777" w:rsidR="00EC5CD4" w:rsidRPr="00EC5CD4" w:rsidRDefault="00EC5CD4" w:rsidP="00EC5CD4">
            <w:pPr>
              <w:jc w:val="right"/>
              <w:rPr>
                <w:sz w:val="20"/>
              </w:rPr>
            </w:pPr>
            <w:r w:rsidRPr="00EC5CD4">
              <w:rPr>
                <w:sz w:val="20"/>
              </w:rPr>
              <w:t>4.40%</w:t>
            </w:r>
          </w:p>
        </w:tc>
        <w:tc>
          <w:tcPr>
            <w:tcW w:w="980" w:type="dxa"/>
            <w:tcBorders>
              <w:top w:val="nil"/>
              <w:left w:val="nil"/>
              <w:bottom w:val="nil"/>
              <w:right w:val="single" w:sz="4" w:space="0" w:color="auto"/>
            </w:tcBorders>
            <w:shd w:val="clear" w:color="auto" w:fill="auto"/>
            <w:noWrap/>
            <w:vAlign w:val="bottom"/>
            <w:hideMark/>
          </w:tcPr>
          <w:p w14:paraId="7F88A4D7" w14:textId="77777777" w:rsidR="00EC5CD4" w:rsidRPr="00EC5CD4" w:rsidRDefault="00EC5CD4" w:rsidP="00EC5CD4">
            <w:pPr>
              <w:jc w:val="right"/>
              <w:rPr>
                <w:sz w:val="20"/>
              </w:rPr>
            </w:pPr>
            <w:r w:rsidRPr="00EC5CD4">
              <w:rPr>
                <w:sz w:val="20"/>
              </w:rPr>
              <w:t>4.40%</w:t>
            </w:r>
          </w:p>
        </w:tc>
        <w:tc>
          <w:tcPr>
            <w:tcW w:w="980" w:type="dxa"/>
            <w:tcBorders>
              <w:top w:val="nil"/>
              <w:left w:val="nil"/>
              <w:bottom w:val="nil"/>
              <w:right w:val="single" w:sz="4" w:space="0" w:color="auto"/>
            </w:tcBorders>
            <w:shd w:val="clear" w:color="auto" w:fill="auto"/>
            <w:noWrap/>
            <w:vAlign w:val="bottom"/>
            <w:hideMark/>
          </w:tcPr>
          <w:p w14:paraId="3828D167" w14:textId="77777777" w:rsidR="00EC5CD4" w:rsidRPr="00EC5CD4" w:rsidRDefault="00EC5CD4" w:rsidP="00EC5CD4">
            <w:pPr>
              <w:jc w:val="right"/>
              <w:rPr>
                <w:sz w:val="20"/>
              </w:rPr>
            </w:pPr>
            <w:r w:rsidRPr="00EC5CD4">
              <w:rPr>
                <w:sz w:val="20"/>
              </w:rPr>
              <w:t>4.68%</w:t>
            </w:r>
          </w:p>
        </w:tc>
      </w:tr>
      <w:tr w:rsidR="00EC5CD4" w:rsidRPr="00EC5CD4" w14:paraId="7B4E2589"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515B4A56"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63FA8D3" w14:textId="77777777" w:rsidR="00EC5CD4" w:rsidRPr="00EC5CD4" w:rsidRDefault="00EC5CD4" w:rsidP="00EC5CD4">
            <w:pPr>
              <w:jc w:val="right"/>
              <w:rPr>
                <w:sz w:val="20"/>
              </w:rPr>
            </w:pPr>
            <w:r w:rsidRPr="00EC5CD4">
              <w:rPr>
                <w:sz w:val="20"/>
              </w:rPr>
              <w:t>19,823</w:t>
            </w:r>
          </w:p>
        </w:tc>
        <w:tc>
          <w:tcPr>
            <w:tcW w:w="980" w:type="dxa"/>
            <w:tcBorders>
              <w:top w:val="nil"/>
              <w:left w:val="nil"/>
              <w:bottom w:val="single" w:sz="4" w:space="0" w:color="auto"/>
              <w:right w:val="single" w:sz="4" w:space="0" w:color="auto"/>
            </w:tcBorders>
            <w:shd w:val="clear" w:color="auto" w:fill="auto"/>
            <w:noWrap/>
            <w:vAlign w:val="bottom"/>
            <w:hideMark/>
          </w:tcPr>
          <w:p w14:paraId="433C697D" w14:textId="77777777" w:rsidR="00EC5CD4" w:rsidRPr="00EC5CD4" w:rsidRDefault="00EC5CD4" w:rsidP="00EC5CD4">
            <w:pPr>
              <w:jc w:val="right"/>
              <w:rPr>
                <w:sz w:val="20"/>
              </w:rPr>
            </w:pPr>
            <w:r w:rsidRPr="00EC5CD4">
              <w:rPr>
                <w:sz w:val="20"/>
              </w:rPr>
              <w:t>2,775</w:t>
            </w:r>
          </w:p>
        </w:tc>
        <w:tc>
          <w:tcPr>
            <w:tcW w:w="980" w:type="dxa"/>
            <w:tcBorders>
              <w:top w:val="nil"/>
              <w:left w:val="nil"/>
              <w:bottom w:val="single" w:sz="4" w:space="0" w:color="auto"/>
              <w:right w:val="single" w:sz="4" w:space="0" w:color="auto"/>
            </w:tcBorders>
            <w:shd w:val="clear" w:color="auto" w:fill="auto"/>
            <w:noWrap/>
            <w:vAlign w:val="bottom"/>
            <w:hideMark/>
          </w:tcPr>
          <w:p w14:paraId="7FA7BB25" w14:textId="77777777" w:rsidR="00EC5CD4" w:rsidRPr="00EC5CD4" w:rsidRDefault="00EC5CD4" w:rsidP="00EC5CD4">
            <w:pPr>
              <w:jc w:val="right"/>
              <w:rPr>
                <w:sz w:val="20"/>
              </w:rPr>
            </w:pPr>
            <w:r w:rsidRPr="00EC5CD4">
              <w:rPr>
                <w:sz w:val="20"/>
              </w:rPr>
              <w:t>1,356</w:t>
            </w:r>
          </w:p>
        </w:tc>
        <w:tc>
          <w:tcPr>
            <w:tcW w:w="980" w:type="dxa"/>
            <w:tcBorders>
              <w:top w:val="nil"/>
              <w:left w:val="nil"/>
              <w:bottom w:val="single" w:sz="4" w:space="0" w:color="auto"/>
              <w:right w:val="single" w:sz="4" w:space="0" w:color="auto"/>
            </w:tcBorders>
            <w:shd w:val="clear" w:color="auto" w:fill="auto"/>
            <w:noWrap/>
            <w:vAlign w:val="bottom"/>
            <w:hideMark/>
          </w:tcPr>
          <w:p w14:paraId="60C3795E" w14:textId="77777777" w:rsidR="00EC5CD4" w:rsidRPr="00EC5CD4" w:rsidRDefault="00EC5CD4" w:rsidP="00EC5CD4">
            <w:pPr>
              <w:jc w:val="right"/>
              <w:rPr>
                <w:sz w:val="20"/>
              </w:rPr>
            </w:pPr>
            <w:r w:rsidRPr="00EC5CD4">
              <w:rPr>
                <w:sz w:val="20"/>
              </w:rPr>
              <w:t>1,087</w:t>
            </w:r>
          </w:p>
        </w:tc>
        <w:tc>
          <w:tcPr>
            <w:tcW w:w="980" w:type="dxa"/>
            <w:tcBorders>
              <w:top w:val="nil"/>
              <w:left w:val="nil"/>
              <w:bottom w:val="single" w:sz="4" w:space="0" w:color="auto"/>
              <w:right w:val="single" w:sz="4" w:space="0" w:color="auto"/>
            </w:tcBorders>
            <w:shd w:val="clear" w:color="auto" w:fill="auto"/>
            <w:noWrap/>
            <w:vAlign w:val="bottom"/>
            <w:hideMark/>
          </w:tcPr>
          <w:p w14:paraId="4613FFF6" w14:textId="77777777" w:rsidR="00EC5CD4" w:rsidRPr="00EC5CD4" w:rsidRDefault="00EC5CD4" w:rsidP="00EC5CD4">
            <w:pPr>
              <w:jc w:val="right"/>
              <w:rPr>
                <w:sz w:val="20"/>
              </w:rPr>
            </w:pPr>
            <w:r w:rsidRPr="00EC5CD4">
              <w:rPr>
                <w:sz w:val="20"/>
              </w:rPr>
              <w:t>92</w:t>
            </w:r>
          </w:p>
        </w:tc>
        <w:tc>
          <w:tcPr>
            <w:tcW w:w="980" w:type="dxa"/>
            <w:tcBorders>
              <w:top w:val="nil"/>
              <w:left w:val="nil"/>
              <w:bottom w:val="single" w:sz="4" w:space="0" w:color="auto"/>
              <w:right w:val="single" w:sz="4" w:space="0" w:color="auto"/>
            </w:tcBorders>
            <w:shd w:val="clear" w:color="auto" w:fill="auto"/>
            <w:noWrap/>
            <w:vAlign w:val="bottom"/>
            <w:hideMark/>
          </w:tcPr>
          <w:p w14:paraId="084F6107" w14:textId="77777777" w:rsidR="00EC5CD4" w:rsidRPr="00EC5CD4" w:rsidRDefault="00EC5CD4" w:rsidP="00EC5CD4">
            <w:pPr>
              <w:jc w:val="right"/>
              <w:rPr>
                <w:sz w:val="20"/>
              </w:rPr>
            </w:pPr>
            <w:r w:rsidRPr="00EC5CD4">
              <w:rPr>
                <w:sz w:val="20"/>
              </w:rPr>
              <w:t>178</w:t>
            </w:r>
          </w:p>
        </w:tc>
        <w:tc>
          <w:tcPr>
            <w:tcW w:w="980" w:type="dxa"/>
            <w:tcBorders>
              <w:top w:val="nil"/>
              <w:left w:val="nil"/>
              <w:bottom w:val="single" w:sz="4" w:space="0" w:color="auto"/>
              <w:right w:val="single" w:sz="4" w:space="0" w:color="auto"/>
            </w:tcBorders>
            <w:shd w:val="clear" w:color="auto" w:fill="auto"/>
            <w:noWrap/>
            <w:vAlign w:val="bottom"/>
            <w:hideMark/>
          </w:tcPr>
          <w:p w14:paraId="684A0928" w14:textId="77777777" w:rsidR="00EC5CD4" w:rsidRPr="00EC5CD4" w:rsidRDefault="00EC5CD4" w:rsidP="00EC5CD4">
            <w:pPr>
              <w:jc w:val="right"/>
              <w:rPr>
                <w:sz w:val="20"/>
              </w:rPr>
            </w:pPr>
            <w:r w:rsidRPr="00EC5CD4">
              <w:rPr>
                <w:sz w:val="20"/>
              </w:rPr>
              <w:t>1,421</w:t>
            </w:r>
          </w:p>
        </w:tc>
      </w:tr>
      <w:tr w:rsidR="00EC5CD4" w:rsidRPr="00EC5CD4" w14:paraId="3B99B67D"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002E917"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0AB4D5A0"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56740C6E"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D0DAD34"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50BA6B12"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AAA80CF"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1A1C54ED"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4BF2C5C3" w14:textId="77777777" w:rsidR="00EC5CD4" w:rsidRPr="00EC5CD4" w:rsidRDefault="00EC5CD4" w:rsidP="00EC5CD4">
            <w:pPr>
              <w:rPr>
                <w:sz w:val="20"/>
              </w:rPr>
            </w:pPr>
            <w:r w:rsidRPr="00EC5CD4">
              <w:rPr>
                <w:sz w:val="20"/>
              </w:rPr>
              <w:t> </w:t>
            </w:r>
          </w:p>
        </w:tc>
      </w:tr>
      <w:tr w:rsidR="00EC5CD4" w:rsidRPr="00EC5CD4" w14:paraId="32CE0C1E"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2FA9B6D"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329590C"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544A00E4"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36111B5F"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4953DE9B"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318FCB02"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746BD860"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6858D41B" w14:textId="77777777" w:rsidR="00EC5CD4" w:rsidRPr="00EC5CD4" w:rsidRDefault="00EC5CD4" w:rsidP="00EC5CD4">
            <w:pPr>
              <w:jc w:val="right"/>
              <w:rPr>
                <w:sz w:val="20"/>
              </w:rPr>
            </w:pPr>
            <w:r w:rsidRPr="00EC5CD4">
              <w:rPr>
                <w:sz w:val="20"/>
              </w:rPr>
              <w:t>37,617</w:t>
            </w:r>
          </w:p>
        </w:tc>
      </w:tr>
      <w:tr w:rsidR="00EC5CD4" w:rsidRPr="00EC5CD4" w14:paraId="74E68CFD"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5B39B7D" w14:textId="77777777" w:rsidR="00EC5CD4" w:rsidRPr="00EC5CD4" w:rsidRDefault="00EC5CD4" w:rsidP="00EC5CD4">
            <w:pPr>
              <w:rPr>
                <w:sz w:val="20"/>
              </w:rPr>
            </w:pPr>
            <w:r w:rsidRPr="00EC5CD4">
              <w:rPr>
                <w:sz w:val="20"/>
              </w:rPr>
              <w:t xml:space="preserve">    Rate (%) </w:t>
            </w:r>
            <w:r w:rsidRPr="00EC5CD4">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7660D3E9" w14:textId="77777777" w:rsidR="00EC5CD4" w:rsidRPr="00EC5CD4" w:rsidRDefault="00EC5CD4" w:rsidP="00EC5CD4">
            <w:pPr>
              <w:jc w:val="right"/>
              <w:rPr>
                <w:sz w:val="20"/>
              </w:rPr>
            </w:pPr>
            <w:r w:rsidRPr="00EC5CD4">
              <w:rPr>
                <w:sz w:val="20"/>
              </w:rPr>
              <w:t>35.34%</w:t>
            </w:r>
          </w:p>
        </w:tc>
        <w:tc>
          <w:tcPr>
            <w:tcW w:w="980" w:type="dxa"/>
            <w:tcBorders>
              <w:top w:val="nil"/>
              <w:left w:val="nil"/>
              <w:bottom w:val="nil"/>
              <w:right w:val="single" w:sz="4" w:space="0" w:color="auto"/>
            </w:tcBorders>
            <w:shd w:val="clear" w:color="auto" w:fill="auto"/>
            <w:noWrap/>
            <w:vAlign w:val="bottom"/>
            <w:hideMark/>
          </w:tcPr>
          <w:p w14:paraId="7BAE991D" w14:textId="77777777" w:rsidR="00EC5CD4" w:rsidRPr="00EC5CD4" w:rsidRDefault="00EC5CD4" w:rsidP="00EC5CD4">
            <w:pPr>
              <w:jc w:val="right"/>
              <w:rPr>
                <w:sz w:val="20"/>
              </w:rPr>
            </w:pPr>
            <w:r w:rsidRPr="00EC5CD4">
              <w:rPr>
                <w:sz w:val="20"/>
              </w:rPr>
              <w:t>35.08%</w:t>
            </w:r>
          </w:p>
        </w:tc>
        <w:tc>
          <w:tcPr>
            <w:tcW w:w="980" w:type="dxa"/>
            <w:tcBorders>
              <w:top w:val="nil"/>
              <w:left w:val="nil"/>
              <w:bottom w:val="nil"/>
              <w:right w:val="single" w:sz="4" w:space="0" w:color="auto"/>
            </w:tcBorders>
            <w:shd w:val="clear" w:color="000000" w:fill="FFD85B"/>
            <w:noWrap/>
            <w:vAlign w:val="bottom"/>
            <w:hideMark/>
          </w:tcPr>
          <w:p w14:paraId="7434D6F5" w14:textId="77777777" w:rsidR="00EC5CD4" w:rsidRPr="00EC5CD4" w:rsidRDefault="00EC5CD4" w:rsidP="00EC5CD4">
            <w:pPr>
              <w:jc w:val="right"/>
              <w:rPr>
                <w:sz w:val="20"/>
              </w:rPr>
            </w:pPr>
            <w:r w:rsidRPr="00EC5CD4">
              <w:rPr>
                <w:sz w:val="20"/>
              </w:rPr>
              <w:t>35.08%</w:t>
            </w:r>
          </w:p>
        </w:tc>
        <w:tc>
          <w:tcPr>
            <w:tcW w:w="980" w:type="dxa"/>
            <w:tcBorders>
              <w:top w:val="nil"/>
              <w:left w:val="nil"/>
              <w:bottom w:val="nil"/>
              <w:right w:val="nil"/>
            </w:tcBorders>
            <w:shd w:val="clear" w:color="000000" w:fill="FFD85B"/>
            <w:noWrap/>
            <w:vAlign w:val="bottom"/>
            <w:hideMark/>
          </w:tcPr>
          <w:p w14:paraId="2A2764B9" w14:textId="77777777" w:rsidR="00EC5CD4" w:rsidRPr="00EC5CD4" w:rsidRDefault="00EC5CD4" w:rsidP="00EC5CD4">
            <w:pPr>
              <w:jc w:val="right"/>
              <w:rPr>
                <w:sz w:val="20"/>
              </w:rPr>
            </w:pPr>
            <w:r w:rsidRPr="00EC5CD4">
              <w:rPr>
                <w:sz w:val="20"/>
              </w:rPr>
              <w:t>35.08%</w:t>
            </w:r>
          </w:p>
        </w:tc>
        <w:tc>
          <w:tcPr>
            <w:tcW w:w="980" w:type="dxa"/>
            <w:tcBorders>
              <w:top w:val="nil"/>
              <w:left w:val="single" w:sz="4" w:space="0" w:color="auto"/>
              <w:bottom w:val="nil"/>
              <w:right w:val="single" w:sz="4" w:space="0" w:color="auto"/>
            </w:tcBorders>
            <w:shd w:val="clear" w:color="000000" w:fill="FFD85B"/>
            <w:noWrap/>
            <w:vAlign w:val="bottom"/>
            <w:hideMark/>
          </w:tcPr>
          <w:p w14:paraId="444FE074" w14:textId="77777777" w:rsidR="00EC5CD4" w:rsidRPr="00EC5CD4" w:rsidRDefault="00EC5CD4" w:rsidP="00EC5CD4">
            <w:pPr>
              <w:jc w:val="right"/>
              <w:rPr>
                <w:sz w:val="20"/>
              </w:rPr>
            </w:pPr>
            <w:r w:rsidRPr="00EC5CD4">
              <w:rPr>
                <w:sz w:val="20"/>
              </w:rPr>
              <w:t>35.08%</w:t>
            </w:r>
          </w:p>
        </w:tc>
        <w:tc>
          <w:tcPr>
            <w:tcW w:w="980" w:type="dxa"/>
            <w:tcBorders>
              <w:top w:val="nil"/>
              <w:left w:val="nil"/>
              <w:bottom w:val="nil"/>
              <w:right w:val="single" w:sz="4" w:space="0" w:color="auto"/>
            </w:tcBorders>
            <w:shd w:val="clear" w:color="000000" w:fill="FFD85B"/>
            <w:noWrap/>
            <w:vAlign w:val="bottom"/>
            <w:hideMark/>
          </w:tcPr>
          <w:p w14:paraId="47629469" w14:textId="77777777" w:rsidR="00EC5CD4" w:rsidRPr="00EC5CD4" w:rsidRDefault="00EC5CD4" w:rsidP="00EC5CD4">
            <w:pPr>
              <w:jc w:val="right"/>
              <w:rPr>
                <w:sz w:val="20"/>
              </w:rPr>
            </w:pPr>
            <w:r w:rsidRPr="00EC5CD4">
              <w:rPr>
                <w:sz w:val="20"/>
              </w:rPr>
              <w:t>35.08%</w:t>
            </w:r>
          </w:p>
        </w:tc>
        <w:tc>
          <w:tcPr>
            <w:tcW w:w="980" w:type="dxa"/>
            <w:tcBorders>
              <w:top w:val="nil"/>
              <w:left w:val="nil"/>
              <w:bottom w:val="nil"/>
              <w:right w:val="single" w:sz="4" w:space="0" w:color="auto"/>
            </w:tcBorders>
            <w:shd w:val="clear" w:color="000000" w:fill="FFD85B"/>
            <w:noWrap/>
            <w:vAlign w:val="bottom"/>
            <w:hideMark/>
          </w:tcPr>
          <w:p w14:paraId="2BE46AEB" w14:textId="77777777" w:rsidR="00EC5CD4" w:rsidRPr="00EC5CD4" w:rsidRDefault="00EC5CD4" w:rsidP="00EC5CD4">
            <w:pPr>
              <w:jc w:val="right"/>
              <w:rPr>
                <w:sz w:val="20"/>
              </w:rPr>
            </w:pPr>
            <w:r w:rsidRPr="00EC5CD4">
              <w:rPr>
                <w:sz w:val="20"/>
              </w:rPr>
              <w:t>35.08%</w:t>
            </w:r>
          </w:p>
        </w:tc>
      </w:tr>
      <w:tr w:rsidR="00EC5CD4" w:rsidRPr="00EC5CD4" w14:paraId="27872D5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4BBBBB06"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C02AB6B" w14:textId="77777777" w:rsidR="00EC5CD4" w:rsidRPr="00EC5CD4" w:rsidRDefault="00EC5CD4" w:rsidP="00EC5CD4">
            <w:pPr>
              <w:jc w:val="right"/>
              <w:rPr>
                <w:sz w:val="20"/>
              </w:rPr>
            </w:pPr>
            <w:r w:rsidRPr="00EC5CD4">
              <w:rPr>
                <w:sz w:val="20"/>
              </w:rPr>
              <w:t>170,952</w:t>
            </w:r>
          </w:p>
        </w:tc>
        <w:tc>
          <w:tcPr>
            <w:tcW w:w="980" w:type="dxa"/>
            <w:tcBorders>
              <w:top w:val="nil"/>
              <w:left w:val="nil"/>
              <w:bottom w:val="single" w:sz="4" w:space="0" w:color="auto"/>
              <w:right w:val="single" w:sz="4" w:space="0" w:color="auto"/>
            </w:tcBorders>
            <w:shd w:val="clear" w:color="auto" w:fill="auto"/>
            <w:noWrap/>
            <w:vAlign w:val="bottom"/>
            <w:hideMark/>
          </w:tcPr>
          <w:p w14:paraId="0D772AB3" w14:textId="77777777" w:rsidR="00EC5CD4" w:rsidRPr="00EC5CD4" w:rsidRDefault="00EC5CD4" w:rsidP="00EC5CD4">
            <w:pPr>
              <w:jc w:val="right"/>
              <w:rPr>
                <w:sz w:val="20"/>
              </w:rPr>
            </w:pPr>
            <w:r w:rsidRPr="00EC5CD4">
              <w:rPr>
                <w:sz w:val="20"/>
              </w:rPr>
              <w:t>28,905</w:t>
            </w:r>
          </w:p>
        </w:tc>
        <w:tc>
          <w:tcPr>
            <w:tcW w:w="980" w:type="dxa"/>
            <w:tcBorders>
              <w:top w:val="nil"/>
              <w:left w:val="nil"/>
              <w:bottom w:val="single" w:sz="4" w:space="0" w:color="auto"/>
              <w:right w:val="single" w:sz="4" w:space="0" w:color="auto"/>
            </w:tcBorders>
            <w:shd w:val="clear" w:color="000000" w:fill="FFD85B"/>
            <w:noWrap/>
            <w:vAlign w:val="bottom"/>
            <w:hideMark/>
          </w:tcPr>
          <w:p w14:paraId="2FADCE33" w14:textId="77777777" w:rsidR="00EC5CD4" w:rsidRPr="00EC5CD4" w:rsidRDefault="00EC5CD4" w:rsidP="00EC5CD4">
            <w:pPr>
              <w:jc w:val="right"/>
              <w:rPr>
                <w:sz w:val="20"/>
              </w:rPr>
            </w:pPr>
            <w:r w:rsidRPr="00EC5CD4">
              <w:rPr>
                <w:sz w:val="20"/>
              </w:rPr>
              <w:t>15,711</w:t>
            </w:r>
          </w:p>
        </w:tc>
        <w:tc>
          <w:tcPr>
            <w:tcW w:w="980" w:type="dxa"/>
            <w:tcBorders>
              <w:top w:val="nil"/>
              <w:left w:val="nil"/>
              <w:bottom w:val="single" w:sz="4" w:space="0" w:color="auto"/>
              <w:right w:val="single" w:sz="4" w:space="0" w:color="auto"/>
            </w:tcBorders>
            <w:shd w:val="clear" w:color="000000" w:fill="FFD85B"/>
            <w:noWrap/>
            <w:vAlign w:val="bottom"/>
            <w:hideMark/>
          </w:tcPr>
          <w:p w14:paraId="39CC44B5" w14:textId="77777777" w:rsidR="00EC5CD4" w:rsidRPr="00EC5CD4" w:rsidRDefault="00EC5CD4" w:rsidP="00EC5CD4">
            <w:pPr>
              <w:jc w:val="right"/>
              <w:rPr>
                <w:sz w:val="20"/>
              </w:rPr>
            </w:pPr>
            <w:r w:rsidRPr="00EC5CD4">
              <w:rPr>
                <w:sz w:val="20"/>
              </w:rPr>
              <w:t>13,467</w:t>
            </w:r>
          </w:p>
        </w:tc>
        <w:tc>
          <w:tcPr>
            <w:tcW w:w="980" w:type="dxa"/>
            <w:tcBorders>
              <w:top w:val="nil"/>
              <w:left w:val="nil"/>
              <w:bottom w:val="single" w:sz="4" w:space="0" w:color="auto"/>
              <w:right w:val="single" w:sz="4" w:space="0" w:color="auto"/>
            </w:tcBorders>
            <w:shd w:val="clear" w:color="000000" w:fill="FFD85B"/>
            <w:noWrap/>
            <w:vAlign w:val="bottom"/>
            <w:hideMark/>
          </w:tcPr>
          <w:p w14:paraId="6C74A6D9" w14:textId="77777777" w:rsidR="00EC5CD4" w:rsidRPr="00EC5CD4" w:rsidRDefault="00EC5CD4" w:rsidP="00EC5CD4">
            <w:pPr>
              <w:jc w:val="right"/>
              <w:rPr>
                <w:sz w:val="20"/>
              </w:rPr>
            </w:pPr>
            <w:r w:rsidRPr="00EC5CD4">
              <w:rPr>
                <w:sz w:val="20"/>
              </w:rPr>
              <w:t>794</w:t>
            </w:r>
          </w:p>
        </w:tc>
        <w:tc>
          <w:tcPr>
            <w:tcW w:w="980" w:type="dxa"/>
            <w:tcBorders>
              <w:top w:val="nil"/>
              <w:left w:val="nil"/>
              <w:bottom w:val="single" w:sz="4" w:space="0" w:color="auto"/>
              <w:right w:val="single" w:sz="4" w:space="0" w:color="auto"/>
            </w:tcBorders>
            <w:shd w:val="clear" w:color="000000" w:fill="FFD85B"/>
            <w:noWrap/>
            <w:vAlign w:val="bottom"/>
            <w:hideMark/>
          </w:tcPr>
          <w:p w14:paraId="5231BD87" w14:textId="77777777" w:rsidR="00EC5CD4" w:rsidRPr="00EC5CD4" w:rsidRDefault="00EC5CD4" w:rsidP="00EC5CD4">
            <w:pPr>
              <w:jc w:val="right"/>
              <w:rPr>
                <w:sz w:val="20"/>
              </w:rPr>
            </w:pPr>
            <w:r w:rsidRPr="00EC5CD4">
              <w:rPr>
                <w:sz w:val="20"/>
              </w:rPr>
              <w:t>1,450</w:t>
            </w:r>
          </w:p>
        </w:tc>
        <w:tc>
          <w:tcPr>
            <w:tcW w:w="980" w:type="dxa"/>
            <w:tcBorders>
              <w:top w:val="nil"/>
              <w:left w:val="nil"/>
              <w:bottom w:val="single" w:sz="4" w:space="0" w:color="auto"/>
              <w:right w:val="single" w:sz="4" w:space="0" w:color="auto"/>
            </w:tcBorders>
            <w:shd w:val="clear" w:color="000000" w:fill="FFD85B"/>
            <w:noWrap/>
            <w:vAlign w:val="bottom"/>
            <w:hideMark/>
          </w:tcPr>
          <w:p w14:paraId="5940D70F" w14:textId="77777777" w:rsidR="00EC5CD4" w:rsidRPr="00EC5CD4" w:rsidRDefault="00EC5CD4" w:rsidP="00EC5CD4">
            <w:pPr>
              <w:jc w:val="right"/>
              <w:rPr>
                <w:sz w:val="20"/>
              </w:rPr>
            </w:pPr>
            <w:r w:rsidRPr="00EC5CD4">
              <w:rPr>
                <w:sz w:val="20"/>
              </w:rPr>
              <w:t>13,195</w:t>
            </w:r>
          </w:p>
        </w:tc>
      </w:tr>
      <w:tr w:rsidR="00EC5CD4" w:rsidRPr="00EC5CD4" w14:paraId="1418CDDF"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07E27896" w14:textId="4512B0B5" w:rsidR="00EC5CD4" w:rsidRPr="00EC5CD4" w:rsidRDefault="00EC5CD4" w:rsidP="00EC5CD4">
            <w:pPr>
              <w:rPr>
                <w:sz w:val="20"/>
              </w:rPr>
            </w:pPr>
            <w:r w:rsidRPr="00EC5CD4">
              <w:rPr>
                <w:sz w:val="20"/>
              </w:rPr>
              <w:t xml:space="preserve">Older Adults </w:t>
            </w:r>
            <w:r w:rsidR="00240C80">
              <w:rPr>
                <w:sz w:val="20"/>
              </w:rPr>
              <w:t>26+</w:t>
            </w:r>
            <w:r w:rsidRPr="00EC5CD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1638C526"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1AEFEE31"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19187CD"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7136737"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4E6B751C"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0B788718"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29E367FB" w14:textId="77777777" w:rsidR="00EC5CD4" w:rsidRPr="00EC5CD4" w:rsidRDefault="00EC5CD4" w:rsidP="00EC5CD4">
            <w:pPr>
              <w:rPr>
                <w:sz w:val="20"/>
              </w:rPr>
            </w:pPr>
            <w:r w:rsidRPr="00EC5CD4">
              <w:rPr>
                <w:sz w:val="20"/>
              </w:rPr>
              <w:t> </w:t>
            </w:r>
          </w:p>
        </w:tc>
      </w:tr>
      <w:tr w:rsidR="00EC5CD4" w:rsidRPr="00EC5CD4" w14:paraId="274465B9"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69E94A5"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CB92CFF"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47000F2C"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6852F156"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51014EBA"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3A361149"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4741DD95"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44DE8295" w14:textId="77777777" w:rsidR="00EC5CD4" w:rsidRPr="00EC5CD4" w:rsidRDefault="00EC5CD4" w:rsidP="00EC5CD4">
            <w:pPr>
              <w:jc w:val="right"/>
              <w:rPr>
                <w:sz w:val="20"/>
              </w:rPr>
            </w:pPr>
            <w:r w:rsidRPr="00EC5CD4">
              <w:rPr>
                <w:sz w:val="20"/>
              </w:rPr>
              <w:t>299,579</w:t>
            </w:r>
          </w:p>
        </w:tc>
      </w:tr>
      <w:tr w:rsidR="00EC5CD4" w:rsidRPr="00EC5CD4" w14:paraId="74C739E0"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5FF2AA6"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2913DDE0" w14:textId="77777777" w:rsidR="00EC5CD4" w:rsidRPr="00EC5CD4" w:rsidRDefault="00EC5CD4" w:rsidP="00EC5CD4">
            <w:pPr>
              <w:jc w:val="right"/>
              <w:rPr>
                <w:sz w:val="20"/>
              </w:rPr>
            </w:pPr>
            <w:r w:rsidRPr="00EC5CD4">
              <w:rPr>
                <w:sz w:val="20"/>
              </w:rPr>
              <w:t>27.23%</w:t>
            </w:r>
          </w:p>
        </w:tc>
        <w:tc>
          <w:tcPr>
            <w:tcW w:w="980" w:type="dxa"/>
            <w:tcBorders>
              <w:top w:val="nil"/>
              <w:left w:val="nil"/>
              <w:bottom w:val="nil"/>
              <w:right w:val="single" w:sz="4" w:space="0" w:color="auto"/>
            </w:tcBorders>
            <w:shd w:val="clear" w:color="auto" w:fill="auto"/>
            <w:noWrap/>
            <w:vAlign w:val="bottom"/>
            <w:hideMark/>
          </w:tcPr>
          <w:p w14:paraId="7A339D5C" w14:textId="77777777" w:rsidR="00EC5CD4" w:rsidRPr="00EC5CD4" w:rsidRDefault="00EC5CD4" w:rsidP="00EC5CD4">
            <w:pPr>
              <w:jc w:val="right"/>
              <w:rPr>
                <w:sz w:val="20"/>
              </w:rPr>
            </w:pPr>
            <w:r w:rsidRPr="00EC5CD4">
              <w:rPr>
                <w:sz w:val="20"/>
              </w:rPr>
              <w:t>27.80%</w:t>
            </w:r>
          </w:p>
        </w:tc>
        <w:tc>
          <w:tcPr>
            <w:tcW w:w="980" w:type="dxa"/>
            <w:tcBorders>
              <w:top w:val="nil"/>
              <w:left w:val="nil"/>
              <w:bottom w:val="nil"/>
              <w:right w:val="single" w:sz="4" w:space="0" w:color="auto"/>
            </w:tcBorders>
            <w:shd w:val="clear" w:color="auto" w:fill="auto"/>
            <w:noWrap/>
            <w:vAlign w:val="bottom"/>
            <w:hideMark/>
          </w:tcPr>
          <w:p w14:paraId="2928BB19" w14:textId="77777777" w:rsidR="00EC5CD4" w:rsidRPr="00EC5CD4" w:rsidRDefault="00EC5CD4" w:rsidP="00EC5CD4">
            <w:pPr>
              <w:jc w:val="right"/>
              <w:rPr>
                <w:sz w:val="20"/>
              </w:rPr>
            </w:pPr>
            <w:r w:rsidRPr="00EC5CD4">
              <w:rPr>
                <w:sz w:val="20"/>
              </w:rPr>
              <w:t>29.83%</w:t>
            </w:r>
          </w:p>
        </w:tc>
        <w:tc>
          <w:tcPr>
            <w:tcW w:w="980" w:type="dxa"/>
            <w:tcBorders>
              <w:top w:val="nil"/>
              <w:left w:val="nil"/>
              <w:bottom w:val="nil"/>
              <w:right w:val="nil"/>
            </w:tcBorders>
            <w:shd w:val="clear" w:color="auto" w:fill="auto"/>
            <w:noWrap/>
            <w:vAlign w:val="bottom"/>
            <w:hideMark/>
          </w:tcPr>
          <w:p w14:paraId="1A9E7E7C" w14:textId="77777777" w:rsidR="00EC5CD4" w:rsidRPr="00EC5CD4" w:rsidRDefault="00EC5CD4" w:rsidP="00EC5CD4">
            <w:pPr>
              <w:jc w:val="right"/>
              <w:rPr>
                <w:sz w:val="20"/>
              </w:rPr>
            </w:pPr>
            <w:r w:rsidRPr="00EC5CD4">
              <w:rPr>
                <w:sz w:val="20"/>
              </w:rPr>
              <w:t>29.83%</w:t>
            </w:r>
          </w:p>
        </w:tc>
        <w:tc>
          <w:tcPr>
            <w:tcW w:w="980" w:type="dxa"/>
            <w:tcBorders>
              <w:top w:val="nil"/>
              <w:left w:val="single" w:sz="4" w:space="0" w:color="auto"/>
              <w:bottom w:val="nil"/>
              <w:right w:val="single" w:sz="4" w:space="0" w:color="auto"/>
            </w:tcBorders>
            <w:shd w:val="clear" w:color="auto" w:fill="auto"/>
            <w:noWrap/>
            <w:vAlign w:val="bottom"/>
            <w:hideMark/>
          </w:tcPr>
          <w:p w14:paraId="4D670AB3" w14:textId="77777777" w:rsidR="00EC5CD4" w:rsidRPr="00EC5CD4" w:rsidRDefault="00EC5CD4" w:rsidP="00EC5CD4">
            <w:pPr>
              <w:jc w:val="right"/>
              <w:rPr>
                <w:sz w:val="20"/>
              </w:rPr>
            </w:pPr>
            <w:r w:rsidRPr="00EC5CD4">
              <w:rPr>
                <w:sz w:val="20"/>
              </w:rPr>
              <w:t>29.83%</w:t>
            </w:r>
          </w:p>
        </w:tc>
        <w:tc>
          <w:tcPr>
            <w:tcW w:w="980" w:type="dxa"/>
            <w:tcBorders>
              <w:top w:val="nil"/>
              <w:left w:val="nil"/>
              <w:bottom w:val="nil"/>
              <w:right w:val="single" w:sz="4" w:space="0" w:color="auto"/>
            </w:tcBorders>
            <w:shd w:val="clear" w:color="auto" w:fill="auto"/>
            <w:noWrap/>
            <w:vAlign w:val="bottom"/>
            <w:hideMark/>
          </w:tcPr>
          <w:p w14:paraId="051262F3" w14:textId="77777777" w:rsidR="00EC5CD4" w:rsidRPr="00EC5CD4" w:rsidRDefault="00EC5CD4" w:rsidP="00EC5CD4">
            <w:pPr>
              <w:jc w:val="right"/>
              <w:rPr>
                <w:sz w:val="20"/>
              </w:rPr>
            </w:pPr>
            <w:r w:rsidRPr="00EC5CD4">
              <w:rPr>
                <w:sz w:val="20"/>
              </w:rPr>
              <w:t>29.83%</w:t>
            </w:r>
          </w:p>
        </w:tc>
        <w:tc>
          <w:tcPr>
            <w:tcW w:w="980" w:type="dxa"/>
            <w:tcBorders>
              <w:top w:val="nil"/>
              <w:left w:val="nil"/>
              <w:bottom w:val="nil"/>
              <w:right w:val="single" w:sz="4" w:space="0" w:color="auto"/>
            </w:tcBorders>
            <w:shd w:val="clear" w:color="auto" w:fill="auto"/>
            <w:noWrap/>
            <w:vAlign w:val="bottom"/>
            <w:hideMark/>
          </w:tcPr>
          <w:p w14:paraId="2D6AC9AA" w14:textId="77777777" w:rsidR="00EC5CD4" w:rsidRPr="00EC5CD4" w:rsidRDefault="00EC5CD4" w:rsidP="00EC5CD4">
            <w:pPr>
              <w:jc w:val="right"/>
              <w:rPr>
                <w:sz w:val="20"/>
              </w:rPr>
            </w:pPr>
            <w:r w:rsidRPr="00EC5CD4">
              <w:rPr>
                <w:sz w:val="20"/>
              </w:rPr>
              <w:t>25.52%</w:t>
            </w:r>
          </w:p>
        </w:tc>
      </w:tr>
      <w:tr w:rsidR="00EC5CD4" w:rsidRPr="00EC5CD4" w14:paraId="62A35E5A"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A042C48"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D237AD5" w14:textId="77777777" w:rsidR="00EC5CD4" w:rsidRPr="00EC5CD4" w:rsidRDefault="00EC5CD4" w:rsidP="00EC5CD4">
            <w:pPr>
              <w:jc w:val="right"/>
              <w:rPr>
                <w:sz w:val="20"/>
              </w:rPr>
            </w:pPr>
            <w:r w:rsidRPr="00EC5CD4">
              <w:rPr>
                <w:sz w:val="20"/>
              </w:rPr>
              <w:t>838,054</w:t>
            </w:r>
          </w:p>
        </w:tc>
        <w:tc>
          <w:tcPr>
            <w:tcW w:w="980" w:type="dxa"/>
            <w:tcBorders>
              <w:top w:val="nil"/>
              <w:left w:val="nil"/>
              <w:bottom w:val="single" w:sz="4" w:space="0" w:color="auto"/>
              <w:right w:val="single" w:sz="4" w:space="0" w:color="auto"/>
            </w:tcBorders>
            <w:shd w:val="clear" w:color="auto" w:fill="auto"/>
            <w:noWrap/>
            <w:vAlign w:val="bottom"/>
            <w:hideMark/>
          </w:tcPr>
          <w:p w14:paraId="452C0B74" w14:textId="77777777" w:rsidR="00EC5CD4" w:rsidRPr="00EC5CD4" w:rsidRDefault="00EC5CD4" w:rsidP="00EC5CD4">
            <w:pPr>
              <w:jc w:val="right"/>
              <w:rPr>
                <w:sz w:val="20"/>
              </w:rPr>
            </w:pPr>
            <w:r w:rsidRPr="00EC5CD4">
              <w:rPr>
                <w:sz w:val="20"/>
              </w:rPr>
              <w:t>172,263</w:t>
            </w:r>
          </w:p>
        </w:tc>
        <w:tc>
          <w:tcPr>
            <w:tcW w:w="980" w:type="dxa"/>
            <w:tcBorders>
              <w:top w:val="nil"/>
              <w:left w:val="nil"/>
              <w:bottom w:val="single" w:sz="4" w:space="0" w:color="auto"/>
              <w:right w:val="single" w:sz="4" w:space="0" w:color="auto"/>
            </w:tcBorders>
            <w:shd w:val="clear" w:color="auto" w:fill="auto"/>
            <w:noWrap/>
            <w:vAlign w:val="bottom"/>
            <w:hideMark/>
          </w:tcPr>
          <w:p w14:paraId="45C04552" w14:textId="77777777" w:rsidR="00EC5CD4" w:rsidRPr="00EC5CD4" w:rsidRDefault="00EC5CD4" w:rsidP="00EC5CD4">
            <w:pPr>
              <w:jc w:val="right"/>
              <w:rPr>
                <w:sz w:val="20"/>
              </w:rPr>
            </w:pPr>
            <w:r w:rsidRPr="00EC5CD4">
              <w:rPr>
                <w:sz w:val="20"/>
              </w:rPr>
              <w:t>95,476</w:t>
            </w:r>
          </w:p>
        </w:tc>
        <w:tc>
          <w:tcPr>
            <w:tcW w:w="980" w:type="dxa"/>
            <w:tcBorders>
              <w:top w:val="nil"/>
              <w:left w:val="nil"/>
              <w:bottom w:val="single" w:sz="4" w:space="0" w:color="auto"/>
              <w:right w:val="single" w:sz="4" w:space="0" w:color="auto"/>
            </w:tcBorders>
            <w:shd w:val="clear" w:color="auto" w:fill="auto"/>
            <w:noWrap/>
            <w:vAlign w:val="bottom"/>
            <w:hideMark/>
          </w:tcPr>
          <w:p w14:paraId="7C302F01" w14:textId="77777777" w:rsidR="00EC5CD4" w:rsidRPr="00EC5CD4" w:rsidRDefault="00EC5CD4" w:rsidP="00EC5CD4">
            <w:pPr>
              <w:jc w:val="right"/>
              <w:rPr>
                <w:sz w:val="20"/>
              </w:rPr>
            </w:pPr>
            <w:r w:rsidRPr="00EC5CD4">
              <w:rPr>
                <w:sz w:val="20"/>
              </w:rPr>
              <w:t>81,882</w:t>
            </w:r>
          </w:p>
        </w:tc>
        <w:tc>
          <w:tcPr>
            <w:tcW w:w="980" w:type="dxa"/>
            <w:tcBorders>
              <w:top w:val="nil"/>
              <w:left w:val="nil"/>
              <w:bottom w:val="single" w:sz="4" w:space="0" w:color="auto"/>
              <w:right w:val="single" w:sz="4" w:space="0" w:color="auto"/>
            </w:tcBorders>
            <w:shd w:val="clear" w:color="auto" w:fill="auto"/>
            <w:noWrap/>
            <w:vAlign w:val="bottom"/>
            <w:hideMark/>
          </w:tcPr>
          <w:p w14:paraId="5F883FDC" w14:textId="77777777" w:rsidR="00EC5CD4" w:rsidRPr="00EC5CD4" w:rsidRDefault="00EC5CD4" w:rsidP="00EC5CD4">
            <w:pPr>
              <w:jc w:val="right"/>
              <w:rPr>
                <w:sz w:val="20"/>
              </w:rPr>
            </w:pPr>
            <w:r w:rsidRPr="00EC5CD4">
              <w:rPr>
                <w:sz w:val="20"/>
              </w:rPr>
              <w:t>4,462</w:t>
            </w:r>
          </w:p>
        </w:tc>
        <w:tc>
          <w:tcPr>
            <w:tcW w:w="980" w:type="dxa"/>
            <w:tcBorders>
              <w:top w:val="nil"/>
              <w:left w:val="nil"/>
              <w:bottom w:val="single" w:sz="4" w:space="0" w:color="auto"/>
              <w:right w:val="single" w:sz="4" w:space="0" w:color="auto"/>
            </w:tcBorders>
            <w:shd w:val="clear" w:color="auto" w:fill="auto"/>
            <w:noWrap/>
            <w:vAlign w:val="bottom"/>
            <w:hideMark/>
          </w:tcPr>
          <w:p w14:paraId="0906B690" w14:textId="77777777" w:rsidR="00EC5CD4" w:rsidRPr="00EC5CD4" w:rsidRDefault="00EC5CD4" w:rsidP="00EC5CD4">
            <w:pPr>
              <w:jc w:val="right"/>
              <w:rPr>
                <w:sz w:val="20"/>
              </w:rPr>
            </w:pPr>
            <w:r w:rsidRPr="00EC5CD4">
              <w:rPr>
                <w:sz w:val="20"/>
              </w:rPr>
              <w:t>9,132</w:t>
            </w:r>
          </w:p>
        </w:tc>
        <w:tc>
          <w:tcPr>
            <w:tcW w:w="980" w:type="dxa"/>
            <w:tcBorders>
              <w:top w:val="nil"/>
              <w:left w:val="nil"/>
              <w:bottom w:val="single" w:sz="4" w:space="0" w:color="auto"/>
              <w:right w:val="single" w:sz="4" w:space="0" w:color="auto"/>
            </w:tcBorders>
            <w:shd w:val="clear" w:color="auto" w:fill="auto"/>
            <w:noWrap/>
            <w:vAlign w:val="bottom"/>
            <w:hideMark/>
          </w:tcPr>
          <w:p w14:paraId="61966B68" w14:textId="77777777" w:rsidR="00EC5CD4" w:rsidRPr="00EC5CD4" w:rsidRDefault="00EC5CD4" w:rsidP="00EC5CD4">
            <w:pPr>
              <w:jc w:val="right"/>
              <w:rPr>
                <w:sz w:val="20"/>
              </w:rPr>
            </w:pPr>
            <w:r w:rsidRPr="00EC5CD4">
              <w:rPr>
                <w:sz w:val="20"/>
              </w:rPr>
              <w:t>76,456</w:t>
            </w:r>
          </w:p>
        </w:tc>
      </w:tr>
      <w:tr w:rsidR="00EC5CD4" w:rsidRPr="00EC5CD4" w14:paraId="77ECE7A6"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067A047"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127C87C2"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E70C749"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79A22FF"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F3D648E"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1478637"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2FF48B4D"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5390DFF7" w14:textId="77777777" w:rsidR="00EC5CD4" w:rsidRPr="00EC5CD4" w:rsidRDefault="00EC5CD4" w:rsidP="00EC5CD4">
            <w:pPr>
              <w:rPr>
                <w:sz w:val="20"/>
              </w:rPr>
            </w:pPr>
            <w:r w:rsidRPr="00EC5CD4">
              <w:rPr>
                <w:sz w:val="20"/>
              </w:rPr>
              <w:t> </w:t>
            </w:r>
          </w:p>
        </w:tc>
      </w:tr>
      <w:tr w:rsidR="00EC5CD4" w:rsidRPr="00EC5CD4" w14:paraId="19323B3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67FB673"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C875063"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6E23D468"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6F989017"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4ADCBB5D"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110CC61D"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32190C85"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060216D2" w14:textId="77777777" w:rsidR="00EC5CD4" w:rsidRPr="00EC5CD4" w:rsidRDefault="00EC5CD4" w:rsidP="00EC5CD4">
            <w:pPr>
              <w:jc w:val="right"/>
              <w:rPr>
                <w:sz w:val="20"/>
              </w:rPr>
            </w:pPr>
            <w:r w:rsidRPr="00EC5CD4">
              <w:rPr>
                <w:sz w:val="20"/>
              </w:rPr>
              <w:t>337,196</w:t>
            </w:r>
          </w:p>
        </w:tc>
      </w:tr>
      <w:tr w:rsidR="00EC5CD4" w:rsidRPr="00EC5CD4" w14:paraId="1CC47A6F"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716D7BE"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025F6C4B" w14:textId="77777777" w:rsidR="00EC5CD4" w:rsidRPr="00EC5CD4" w:rsidRDefault="00EC5CD4" w:rsidP="00EC5CD4">
            <w:pPr>
              <w:jc w:val="right"/>
              <w:rPr>
                <w:sz w:val="20"/>
              </w:rPr>
            </w:pPr>
            <w:r w:rsidRPr="00EC5CD4">
              <w:rPr>
                <w:sz w:val="20"/>
              </w:rPr>
              <w:t>28.37%</w:t>
            </w:r>
          </w:p>
        </w:tc>
        <w:tc>
          <w:tcPr>
            <w:tcW w:w="980" w:type="dxa"/>
            <w:tcBorders>
              <w:top w:val="nil"/>
              <w:left w:val="nil"/>
              <w:bottom w:val="nil"/>
              <w:right w:val="single" w:sz="4" w:space="0" w:color="auto"/>
            </w:tcBorders>
            <w:shd w:val="clear" w:color="auto" w:fill="auto"/>
            <w:noWrap/>
            <w:vAlign w:val="bottom"/>
            <w:hideMark/>
          </w:tcPr>
          <w:p w14:paraId="21CA2BAD" w14:textId="77777777" w:rsidR="00EC5CD4" w:rsidRPr="00EC5CD4" w:rsidRDefault="00EC5CD4" w:rsidP="00EC5CD4">
            <w:pPr>
              <w:jc w:val="right"/>
              <w:rPr>
                <w:sz w:val="20"/>
              </w:rPr>
            </w:pPr>
            <w:r w:rsidRPr="00EC5CD4">
              <w:rPr>
                <w:sz w:val="20"/>
              </w:rPr>
              <w:t>28.74%</w:t>
            </w:r>
          </w:p>
        </w:tc>
        <w:tc>
          <w:tcPr>
            <w:tcW w:w="980" w:type="dxa"/>
            <w:tcBorders>
              <w:top w:val="nil"/>
              <w:left w:val="nil"/>
              <w:bottom w:val="nil"/>
              <w:right w:val="single" w:sz="4" w:space="0" w:color="auto"/>
            </w:tcBorders>
            <w:shd w:val="clear" w:color="auto" w:fill="auto"/>
            <w:noWrap/>
            <w:vAlign w:val="bottom"/>
            <w:hideMark/>
          </w:tcPr>
          <w:p w14:paraId="63FA48B1" w14:textId="77777777" w:rsidR="00EC5CD4" w:rsidRPr="00EC5CD4" w:rsidRDefault="00EC5CD4" w:rsidP="00EC5CD4">
            <w:pPr>
              <w:jc w:val="right"/>
              <w:rPr>
                <w:sz w:val="20"/>
              </w:rPr>
            </w:pPr>
            <w:r w:rsidRPr="00EC5CD4">
              <w:rPr>
                <w:sz w:val="20"/>
              </w:rPr>
              <w:t>30.85%</w:t>
            </w:r>
          </w:p>
        </w:tc>
        <w:tc>
          <w:tcPr>
            <w:tcW w:w="980" w:type="dxa"/>
            <w:tcBorders>
              <w:top w:val="nil"/>
              <w:left w:val="nil"/>
              <w:bottom w:val="nil"/>
              <w:right w:val="nil"/>
            </w:tcBorders>
            <w:shd w:val="clear" w:color="auto" w:fill="auto"/>
            <w:noWrap/>
            <w:vAlign w:val="bottom"/>
            <w:hideMark/>
          </w:tcPr>
          <w:p w14:paraId="13C38BAA" w14:textId="77777777" w:rsidR="00EC5CD4" w:rsidRPr="00EC5CD4" w:rsidRDefault="00EC5CD4" w:rsidP="00EC5CD4">
            <w:pPr>
              <w:jc w:val="right"/>
              <w:rPr>
                <w:sz w:val="20"/>
              </w:rPr>
            </w:pPr>
            <w:r w:rsidRPr="00EC5CD4">
              <w:rPr>
                <w:sz w:val="20"/>
              </w:rPr>
              <w:t>30.85%</w:t>
            </w:r>
          </w:p>
        </w:tc>
        <w:tc>
          <w:tcPr>
            <w:tcW w:w="980" w:type="dxa"/>
            <w:tcBorders>
              <w:top w:val="nil"/>
              <w:left w:val="single" w:sz="4" w:space="0" w:color="auto"/>
              <w:bottom w:val="nil"/>
              <w:right w:val="single" w:sz="4" w:space="0" w:color="auto"/>
            </w:tcBorders>
            <w:shd w:val="clear" w:color="auto" w:fill="auto"/>
            <w:noWrap/>
            <w:vAlign w:val="bottom"/>
            <w:hideMark/>
          </w:tcPr>
          <w:p w14:paraId="4FD1B8AC" w14:textId="77777777" w:rsidR="00EC5CD4" w:rsidRPr="00EC5CD4" w:rsidRDefault="00EC5CD4" w:rsidP="00EC5CD4">
            <w:pPr>
              <w:jc w:val="right"/>
              <w:rPr>
                <w:sz w:val="20"/>
              </w:rPr>
            </w:pPr>
            <w:r w:rsidRPr="00EC5CD4">
              <w:rPr>
                <w:sz w:val="20"/>
              </w:rPr>
              <w:t>30.85%</w:t>
            </w:r>
          </w:p>
        </w:tc>
        <w:tc>
          <w:tcPr>
            <w:tcW w:w="980" w:type="dxa"/>
            <w:tcBorders>
              <w:top w:val="nil"/>
              <w:left w:val="nil"/>
              <w:bottom w:val="nil"/>
              <w:right w:val="single" w:sz="4" w:space="0" w:color="auto"/>
            </w:tcBorders>
            <w:shd w:val="clear" w:color="auto" w:fill="auto"/>
            <w:noWrap/>
            <w:vAlign w:val="bottom"/>
            <w:hideMark/>
          </w:tcPr>
          <w:p w14:paraId="3BA67600" w14:textId="77777777" w:rsidR="00EC5CD4" w:rsidRPr="00EC5CD4" w:rsidRDefault="00EC5CD4" w:rsidP="00EC5CD4">
            <w:pPr>
              <w:jc w:val="right"/>
              <w:rPr>
                <w:sz w:val="20"/>
              </w:rPr>
            </w:pPr>
            <w:r w:rsidRPr="00EC5CD4">
              <w:rPr>
                <w:sz w:val="20"/>
              </w:rPr>
              <w:t>30.85%</w:t>
            </w:r>
          </w:p>
        </w:tc>
        <w:tc>
          <w:tcPr>
            <w:tcW w:w="980" w:type="dxa"/>
            <w:tcBorders>
              <w:top w:val="nil"/>
              <w:left w:val="nil"/>
              <w:bottom w:val="nil"/>
              <w:right w:val="single" w:sz="4" w:space="0" w:color="auto"/>
            </w:tcBorders>
            <w:shd w:val="clear" w:color="auto" w:fill="auto"/>
            <w:noWrap/>
            <w:vAlign w:val="bottom"/>
            <w:hideMark/>
          </w:tcPr>
          <w:p w14:paraId="7C09BDD4" w14:textId="77777777" w:rsidR="00EC5CD4" w:rsidRPr="00EC5CD4" w:rsidRDefault="00EC5CD4" w:rsidP="00EC5CD4">
            <w:pPr>
              <w:jc w:val="right"/>
              <w:rPr>
                <w:sz w:val="20"/>
              </w:rPr>
            </w:pPr>
            <w:r w:rsidRPr="00EC5CD4">
              <w:rPr>
                <w:sz w:val="20"/>
              </w:rPr>
              <w:t>26.30%</w:t>
            </w:r>
          </w:p>
        </w:tc>
      </w:tr>
      <w:tr w:rsidR="00EC5CD4" w:rsidRPr="00EC5CD4" w14:paraId="07F4A604"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899B716"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C119AC2" w14:textId="77777777" w:rsidR="00EC5CD4" w:rsidRPr="00EC5CD4" w:rsidRDefault="00EC5CD4" w:rsidP="00EC5CD4">
            <w:pPr>
              <w:jc w:val="right"/>
              <w:rPr>
                <w:sz w:val="20"/>
              </w:rPr>
            </w:pPr>
            <w:r w:rsidRPr="00EC5CD4">
              <w:rPr>
                <w:sz w:val="20"/>
              </w:rPr>
              <w:t>1,010,174</w:t>
            </w:r>
          </w:p>
        </w:tc>
        <w:tc>
          <w:tcPr>
            <w:tcW w:w="980" w:type="dxa"/>
            <w:tcBorders>
              <w:top w:val="nil"/>
              <w:left w:val="nil"/>
              <w:bottom w:val="single" w:sz="4" w:space="0" w:color="auto"/>
              <w:right w:val="single" w:sz="4" w:space="0" w:color="auto"/>
            </w:tcBorders>
            <w:shd w:val="clear" w:color="auto" w:fill="auto"/>
            <w:noWrap/>
            <w:vAlign w:val="bottom"/>
            <w:hideMark/>
          </w:tcPr>
          <w:p w14:paraId="4A6B0787" w14:textId="77777777" w:rsidR="00EC5CD4" w:rsidRPr="00EC5CD4" w:rsidRDefault="00EC5CD4" w:rsidP="00EC5CD4">
            <w:pPr>
              <w:jc w:val="right"/>
              <w:rPr>
                <w:sz w:val="20"/>
              </w:rPr>
            </w:pPr>
            <w:r w:rsidRPr="00EC5CD4">
              <w:rPr>
                <w:sz w:val="20"/>
              </w:rPr>
              <w:t>201,754</w:t>
            </w:r>
          </w:p>
        </w:tc>
        <w:tc>
          <w:tcPr>
            <w:tcW w:w="980" w:type="dxa"/>
            <w:tcBorders>
              <w:top w:val="nil"/>
              <w:left w:val="nil"/>
              <w:bottom w:val="single" w:sz="4" w:space="0" w:color="auto"/>
              <w:right w:val="single" w:sz="4" w:space="0" w:color="auto"/>
            </w:tcBorders>
            <w:shd w:val="clear" w:color="auto" w:fill="auto"/>
            <w:noWrap/>
            <w:vAlign w:val="bottom"/>
            <w:hideMark/>
          </w:tcPr>
          <w:p w14:paraId="070C940C" w14:textId="77777777" w:rsidR="00EC5CD4" w:rsidRPr="00EC5CD4" w:rsidRDefault="00EC5CD4" w:rsidP="00EC5CD4">
            <w:pPr>
              <w:jc w:val="right"/>
              <w:rPr>
                <w:sz w:val="20"/>
              </w:rPr>
            </w:pPr>
            <w:r w:rsidRPr="00EC5CD4">
              <w:rPr>
                <w:sz w:val="20"/>
              </w:rPr>
              <w:t>112,557</w:t>
            </w:r>
          </w:p>
        </w:tc>
        <w:tc>
          <w:tcPr>
            <w:tcW w:w="980" w:type="dxa"/>
            <w:tcBorders>
              <w:top w:val="nil"/>
              <w:left w:val="nil"/>
              <w:bottom w:val="single" w:sz="4" w:space="0" w:color="auto"/>
              <w:right w:val="single" w:sz="4" w:space="0" w:color="auto"/>
            </w:tcBorders>
            <w:shd w:val="clear" w:color="auto" w:fill="auto"/>
            <w:noWrap/>
            <w:vAlign w:val="bottom"/>
            <w:hideMark/>
          </w:tcPr>
          <w:p w14:paraId="08984736" w14:textId="77777777" w:rsidR="00EC5CD4" w:rsidRPr="00EC5CD4" w:rsidRDefault="00EC5CD4" w:rsidP="00EC5CD4">
            <w:pPr>
              <w:jc w:val="right"/>
              <w:rPr>
                <w:sz w:val="20"/>
              </w:rPr>
            </w:pPr>
            <w:r w:rsidRPr="00EC5CD4">
              <w:rPr>
                <w:sz w:val="20"/>
              </w:rPr>
              <w:t>96,525</w:t>
            </w:r>
          </w:p>
        </w:tc>
        <w:tc>
          <w:tcPr>
            <w:tcW w:w="980" w:type="dxa"/>
            <w:tcBorders>
              <w:top w:val="nil"/>
              <w:left w:val="nil"/>
              <w:bottom w:val="single" w:sz="4" w:space="0" w:color="auto"/>
              <w:right w:val="single" w:sz="4" w:space="0" w:color="auto"/>
            </w:tcBorders>
            <w:shd w:val="clear" w:color="auto" w:fill="auto"/>
            <w:noWrap/>
            <w:vAlign w:val="bottom"/>
            <w:hideMark/>
          </w:tcPr>
          <w:p w14:paraId="54F09498" w14:textId="77777777" w:rsidR="00EC5CD4" w:rsidRPr="00EC5CD4" w:rsidRDefault="00EC5CD4" w:rsidP="00EC5CD4">
            <w:pPr>
              <w:jc w:val="right"/>
              <w:rPr>
                <w:sz w:val="20"/>
              </w:rPr>
            </w:pPr>
            <w:r w:rsidRPr="00EC5CD4">
              <w:rPr>
                <w:sz w:val="20"/>
              </w:rPr>
              <w:t>5,313</w:t>
            </w:r>
          </w:p>
        </w:tc>
        <w:tc>
          <w:tcPr>
            <w:tcW w:w="980" w:type="dxa"/>
            <w:tcBorders>
              <w:top w:val="nil"/>
              <w:left w:val="nil"/>
              <w:bottom w:val="single" w:sz="4" w:space="0" w:color="auto"/>
              <w:right w:val="single" w:sz="4" w:space="0" w:color="auto"/>
            </w:tcBorders>
            <w:shd w:val="clear" w:color="auto" w:fill="auto"/>
            <w:noWrap/>
            <w:vAlign w:val="bottom"/>
            <w:hideMark/>
          </w:tcPr>
          <w:p w14:paraId="2C816AFB" w14:textId="77777777" w:rsidR="00EC5CD4" w:rsidRPr="00EC5CD4" w:rsidRDefault="00EC5CD4" w:rsidP="00EC5CD4">
            <w:pPr>
              <w:jc w:val="right"/>
              <w:rPr>
                <w:sz w:val="20"/>
              </w:rPr>
            </w:pPr>
            <w:r w:rsidRPr="00EC5CD4">
              <w:rPr>
                <w:sz w:val="20"/>
              </w:rPr>
              <w:t>10,719</w:t>
            </w:r>
          </w:p>
        </w:tc>
        <w:tc>
          <w:tcPr>
            <w:tcW w:w="980" w:type="dxa"/>
            <w:tcBorders>
              <w:top w:val="nil"/>
              <w:left w:val="nil"/>
              <w:bottom w:val="single" w:sz="4" w:space="0" w:color="auto"/>
              <w:right w:val="single" w:sz="4" w:space="0" w:color="auto"/>
            </w:tcBorders>
            <w:shd w:val="clear" w:color="auto" w:fill="auto"/>
            <w:noWrap/>
            <w:vAlign w:val="bottom"/>
            <w:hideMark/>
          </w:tcPr>
          <w:p w14:paraId="7BF1D7E7" w14:textId="77777777" w:rsidR="00EC5CD4" w:rsidRPr="00EC5CD4" w:rsidRDefault="00EC5CD4" w:rsidP="00EC5CD4">
            <w:pPr>
              <w:jc w:val="right"/>
              <w:rPr>
                <w:sz w:val="20"/>
              </w:rPr>
            </w:pPr>
            <w:r w:rsidRPr="00EC5CD4">
              <w:rPr>
                <w:sz w:val="20"/>
              </w:rPr>
              <w:t>88,667</w:t>
            </w:r>
          </w:p>
        </w:tc>
      </w:tr>
      <w:tr w:rsidR="00EC5CD4" w:rsidRPr="00EC5CD4" w14:paraId="22A34F19" w14:textId="77777777" w:rsidTr="00BF315B">
        <w:trPr>
          <w:trHeight w:val="1385"/>
        </w:trPr>
        <w:tc>
          <w:tcPr>
            <w:tcW w:w="8980" w:type="dxa"/>
            <w:gridSpan w:val="8"/>
            <w:tcBorders>
              <w:top w:val="single" w:sz="4" w:space="0" w:color="auto"/>
              <w:left w:val="nil"/>
              <w:bottom w:val="nil"/>
              <w:right w:val="nil"/>
            </w:tcBorders>
            <w:shd w:val="clear" w:color="auto" w:fill="auto"/>
            <w:vAlign w:val="bottom"/>
            <w:hideMark/>
          </w:tcPr>
          <w:p w14:paraId="4FCB655A"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r w:rsidRPr="00EC5CD4">
              <w:rPr>
                <w:sz w:val="18"/>
                <w:szCs w:val="18"/>
              </w:rPr>
              <w:br/>
            </w:r>
            <w:r w:rsidRPr="00EC5CD4">
              <w:rPr>
                <w:b/>
                <w:bCs/>
                <w:sz w:val="18"/>
                <w:szCs w:val="18"/>
              </w:rPr>
              <w:t>**</w:t>
            </w:r>
            <w:r w:rsidRPr="00EC5CD4">
              <w:rPr>
                <w:sz w:val="18"/>
                <w:szCs w:val="18"/>
              </w:rPr>
              <w:t xml:space="preserve"> NSDUH did not </w:t>
            </w:r>
            <w:r w:rsidR="00BF315B">
              <w:rPr>
                <w:sz w:val="18"/>
                <w:szCs w:val="18"/>
              </w:rPr>
              <w:t>estimate rates</w:t>
            </w:r>
            <w:r w:rsidRPr="00EC5CD4">
              <w:rPr>
                <w:sz w:val="18"/>
                <w:szCs w:val="18"/>
              </w:rPr>
              <w:t xml:space="preserve"> </w:t>
            </w:r>
            <w:r w:rsidR="00BF315B">
              <w:rPr>
                <w:sz w:val="18"/>
                <w:szCs w:val="18"/>
              </w:rPr>
              <w:t xml:space="preserve">for Jefferson </w:t>
            </w:r>
            <w:r w:rsidRPr="00EC5CD4">
              <w:rPr>
                <w:sz w:val="18"/>
                <w:szCs w:val="18"/>
              </w:rPr>
              <w:t xml:space="preserve">Parish and the Metropolitan District; therefore, the rate for Greater New Orleans is applied to both Jefferson Parish and the Metropolitan District and its constituent parishes. </w:t>
            </w:r>
          </w:p>
          <w:p w14:paraId="4F91ACE9" w14:textId="0DFC751B"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48E2D8DF" w14:textId="77777777" w:rsidR="00EC5CD4" w:rsidRDefault="00EC5CD4" w:rsidP="001549F4"/>
    <w:p w14:paraId="0DEB962A" w14:textId="21EC8F3E" w:rsidR="00EC5CD4" w:rsidRDefault="00EC5CD4">
      <w:r>
        <w:br w:type="page"/>
      </w:r>
    </w:p>
    <w:p w14:paraId="0B400A07" w14:textId="0400785D" w:rsidR="00EC5CD4" w:rsidRDefault="00EC5CD4" w:rsidP="00130E39">
      <w:pPr>
        <w:pStyle w:val="ListParagraph"/>
        <w:numPr>
          <w:ilvl w:val="0"/>
          <w:numId w:val="7"/>
        </w:numPr>
      </w:pPr>
      <w:r w:rsidRPr="00EC5CD4">
        <w:lastRenderedPageBreak/>
        <w:t xml:space="preserve">Tobacco Product Use in the </w:t>
      </w:r>
      <w:r w:rsidRPr="00130E39">
        <w:rPr>
          <w:i/>
          <w:iCs/>
        </w:rPr>
        <w:t>Past Month</w:t>
      </w:r>
      <w:r w:rsidRPr="00EC5CD4">
        <w:t xml:space="preserve">  </w:t>
      </w:r>
    </w:p>
    <w:p w14:paraId="0ED3ED5C" w14:textId="73459452" w:rsidR="00EC5CD4" w:rsidRDefault="00EC5CD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3BE2048B"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496B7E88" w14:textId="77777777" w:rsidR="00EC5CD4" w:rsidRPr="00EC5CD4" w:rsidRDefault="00EC5CD4" w:rsidP="00EC5CD4">
            <w:pPr>
              <w:jc w:val="center"/>
              <w:rPr>
                <w:b/>
                <w:bCs/>
                <w:sz w:val="20"/>
              </w:rPr>
            </w:pPr>
            <w:r w:rsidRPr="00EC5CD4">
              <w:rPr>
                <w:b/>
                <w:bCs/>
                <w:sz w:val="20"/>
              </w:rPr>
              <w:t xml:space="preserve">Tobacco Product Use in the </w:t>
            </w:r>
            <w:r w:rsidRPr="00EC5CD4">
              <w:rPr>
                <w:b/>
                <w:bCs/>
                <w:i/>
                <w:iCs/>
                <w:sz w:val="20"/>
                <w:u w:val="single"/>
              </w:rPr>
              <w:t xml:space="preserve">Past </w:t>
            </w:r>
            <w:proofErr w:type="gramStart"/>
            <w:r w:rsidRPr="00EC5CD4">
              <w:rPr>
                <w:b/>
                <w:bCs/>
                <w:i/>
                <w:iCs/>
                <w:sz w:val="20"/>
                <w:u w:val="single"/>
              </w:rPr>
              <w:t>Month</w:t>
            </w:r>
            <w:r w:rsidRPr="00EC5CD4">
              <w:rPr>
                <w:b/>
                <w:bCs/>
                <w:sz w:val="20"/>
              </w:rPr>
              <w:t xml:space="preserve">  by</w:t>
            </w:r>
            <w:proofErr w:type="gramEnd"/>
            <w:r w:rsidRPr="00EC5CD4">
              <w:rPr>
                <w:b/>
                <w:bCs/>
                <w:sz w:val="20"/>
              </w:rPr>
              <w:t xml:space="preserve"> Age Group Among Residents of</w:t>
            </w:r>
            <w:r w:rsidRPr="00EC5CD4">
              <w:rPr>
                <w:b/>
                <w:bCs/>
                <w:sz w:val="20"/>
              </w:rPr>
              <w:br/>
              <w:t>Greater New Orleans Parishes and Statewide, 2019*</w:t>
            </w:r>
          </w:p>
        </w:tc>
      </w:tr>
      <w:tr w:rsidR="00EC5CD4" w:rsidRPr="00EC5CD4" w14:paraId="49F27D5B"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8D519DE"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524E3D87" w14:textId="212A1F88"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1E9B42C1"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455CB05E"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0FE6E037"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27345E32"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1F0E7131"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08193427" w14:textId="77777777" w:rsidR="00EC5CD4" w:rsidRPr="00EC5CD4" w:rsidRDefault="00EC5CD4" w:rsidP="00EC5CD4">
            <w:pPr>
              <w:jc w:val="center"/>
              <w:rPr>
                <w:sz w:val="20"/>
              </w:rPr>
            </w:pPr>
            <w:r w:rsidRPr="00EC5CD4">
              <w:rPr>
                <w:sz w:val="20"/>
              </w:rPr>
              <w:t>Jefferson Parish HSA</w:t>
            </w:r>
          </w:p>
        </w:tc>
      </w:tr>
      <w:tr w:rsidR="00EC5CD4" w:rsidRPr="00EC5CD4" w14:paraId="22BEFB3F"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6BFE6F2"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3B0BB86B"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BAEA6EE"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646CBEF"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650A50A3"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7C45BA0"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22FBDDDF"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337B7833" w14:textId="77777777" w:rsidR="00EC5CD4" w:rsidRPr="00EC5CD4" w:rsidRDefault="00EC5CD4" w:rsidP="00EC5CD4">
            <w:pPr>
              <w:rPr>
                <w:sz w:val="20"/>
              </w:rPr>
            </w:pPr>
            <w:r w:rsidRPr="00EC5CD4">
              <w:rPr>
                <w:sz w:val="20"/>
              </w:rPr>
              <w:t> </w:t>
            </w:r>
          </w:p>
        </w:tc>
      </w:tr>
      <w:tr w:rsidR="00EC5CD4" w:rsidRPr="00EC5CD4" w14:paraId="170FC3D9"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3B954A4"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7F0C642"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7AF2B208"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4BA4D7DD"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0DFA15FA"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4E29BF62"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329FE8D8"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3BB482EE" w14:textId="77777777" w:rsidR="00EC5CD4" w:rsidRPr="00EC5CD4" w:rsidRDefault="00EC5CD4" w:rsidP="00EC5CD4">
            <w:pPr>
              <w:jc w:val="right"/>
              <w:rPr>
                <w:sz w:val="20"/>
              </w:rPr>
            </w:pPr>
            <w:r w:rsidRPr="00EC5CD4">
              <w:rPr>
                <w:sz w:val="20"/>
              </w:rPr>
              <w:t>30,385</w:t>
            </w:r>
          </w:p>
        </w:tc>
      </w:tr>
      <w:tr w:rsidR="00EC5CD4" w:rsidRPr="00EC5CD4" w14:paraId="4AD170A3"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2D91813" w14:textId="295CB35D" w:rsidR="00EC5CD4" w:rsidRPr="00EC5CD4" w:rsidRDefault="00EC5CD4" w:rsidP="00EC5CD4">
            <w:pPr>
              <w:rPr>
                <w:sz w:val="20"/>
              </w:rPr>
            </w:pPr>
            <w:r w:rsidRPr="00EC5CD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6D7D6C3D" w14:textId="77777777" w:rsidR="00EC5CD4" w:rsidRPr="00EC5CD4" w:rsidRDefault="00EC5CD4" w:rsidP="00EC5CD4">
            <w:pPr>
              <w:jc w:val="right"/>
              <w:rPr>
                <w:sz w:val="20"/>
              </w:rPr>
            </w:pPr>
            <w:r w:rsidRPr="00EC5CD4">
              <w:rPr>
                <w:sz w:val="20"/>
              </w:rPr>
              <w:t>6.51%</w:t>
            </w:r>
          </w:p>
        </w:tc>
        <w:tc>
          <w:tcPr>
            <w:tcW w:w="980" w:type="dxa"/>
            <w:tcBorders>
              <w:top w:val="nil"/>
              <w:left w:val="nil"/>
              <w:bottom w:val="nil"/>
              <w:right w:val="single" w:sz="4" w:space="0" w:color="auto"/>
            </w:tcBorders>
            <w:shd w:val="clear" w:color="auto" w:fill="auto"/>
            <w:noWrap/>
            <w:vAlign w:val="bottom"/>
            <w:hideMark/>
          </w:tcPr>
          <w:p w14:paraId="7FAE4A1B" w14:textId="77777777" w:rsidR="00EC5CD4" w:rsidRPr="00EC5CD4" w:rsidRDefault="00EC5CD4" w:rsidP="00EC5CD4">
            <w:pPr>
              <w:jc w:val="right"/>
              <w:rPr>
                <w:sz w:val="20"/>
              </w:rPr>
            </w:pPr>
            <w:r w:rsidRPr="00EC5CD4">
              <w:rPr>
                <w:sz w:val="20"/>
              </w:rPr>
              <w:t>4.37%</w:t>
            </w:r>
          </w:p>
        </w:tc>
        <w:tc>
          <w:tcPr>
            <w:tcW w:w="980" w:type="dxa"/>
            <w:tcBorders>
              <w:top w:val="nil"/>
              <w:left w:val="nil"/>
              <w:bottom w:val="nil"/>
              <w:right w:val="single" w:sz="4" w:space="0" w:color="auto"/>
            </w:tcBorders>
            <w:shd w:val="clear" w:color="auto" w:fill="auto"/>
            <w:noWrap/>
            <w:vAlign w:val="bottom"/>
            <w:hideMark/>
          </w:tcPr>
          <w:p w14:paraId="5C5DE804" w14:textId="77777777" w:rsidR="00EC5CD4" w:rsidRPr="00EC5CD4" w:rsidRDefault="00EC5CD4" w:rsidP="00EC5CD4">
            <w:pPr>
              <w:jc w:val="right"/>
              <w:rPr>
                <w:sz w:val="20"/>
              </w:rPr>
            </w:pPr>
            <w:r w:rsidRPr="00EC5CD4">
              <w:rPr>
                <w:sz w:val="20"/>
              </w:rPr>
              <w:t>4.96%</w:t>
            </w:r>
          </w:p>
        </w:tc>
        <w:tc>
          <w:tcPr>
            <w:tcW w:w="980" w:type="dxa"/>
            <w:tcBorders>
              <w:top w:val="nil"/>
              <w:left w:val="nil"/>
              <w:bottom w:val="nil"/>
              <w:right w:val="nil"/>
            </w:tcBorders>
            <w:shd w:val="clear" w:color="auto" w:fill="auto"/>
            <w:noWrap/>
            <w:vAlign w:val="bottom"/>
            <w:hideMark/>
          </w:tcPr>
          <w:p w14:paraId="199AC52F" w14:textId="77777777" w:rsidR="00EC5CD4" w:rsidRPr="00EC5CD4" w:rsidRDefault="00EC5CD4" w:rsidP="00EC5CD4">
            <w:pPr>
              <w:jc w:val="right"/>
              <w:rPr>
                <w:sz w:val="20"/>
              </w:rPr>
            </w:pPr>
            <w:r w:rsidRPr="00EC5CD4">
              <w:rPr>
                <w:sz w:val="20"/>
              </w:rPr>
              <w:t>4.96%</w:t>
            </w:r>
          </w:p>
        </w:tc>
        <w:tc>
          <w:tcPr>
            <w:tcW w:w="980" w:type="dxa"/>
            <w:tcBorders>
              <w:top w:val="nil"/>
              <w:left w:val="single" w:sz="4" w:space="0" w:color="auto"/>
              <w:bottom w:val="nil"/>
              <w:right w:val="single" w:sz="4" w:space="0" w:color="auto"/>
            </w:tcBorders>
            <w:shd w:val="clear" w:color="auto" w:fill="auto"/>
            <w:noWrap/>
            <w:vAlign w:val="bottom"/>
            <w:hideMark/>
          </w:tcPr>
          <w:p w14:paraId="618B6CD8" w14:textId="77777777" w:rsidR="00EC5CD4" w:rsidRPr="00EC5CD4" w:rsidRDefault="00EC5CD4" w:rsidP="00EC5CD4">
            <w:pPr>
              <w:jc w:val="right"/>
              <w:rPr>
                <w:sz w:val="20"/>
              </w:rPr>
            </w:pPr>
            <w:r w:rsidRPr="00EC5CD4">
              <w:rPr>
                <w:sz w:val="20"/>
              </w:rPr>
              <w:t>4.96%</w:t>
            </w:r>
          </w:p>
        </w:tc>
        <w:tc>
          <w:tcPr>
            <w:tcW w:w="980" w:type="dxa"/>
            <w:tcBorders>
              <w:top w:val="nil"/>
              <w:left w:val="nil"/>
              <w:bottom w:val="nil"/>
              <w:right w:val="single" w:sz="4" w:space="0" w:color="auto"/>
            </w:tcBorders>
            <w:shd w:val="clear" w:color="auto" w:fill="auto"/>
            <w:noWrap/>
            <w:vAlign w:val="bottom"/>
            <w:hideMark/>
          </w:tcPr>
          <w:p w14:paraId="3CDB9354" w14:textId="77777777" w:rsidR="00EC5CD4" w:rsidRPr="00EC5CD4" w:rsidRDefault="00EC5CD4" w:rsidP="00EC5CD4">
            <w:pPr>
              <w:jc w:val="right"/>
              <w:rPr>
                <w:sz w:val="20"/>
              </w:rPr>
            </w:pPr>
            <w:r w:rsidRPr="00EC5CD4">
              <w:rPr>
                <w:sz w:val="20"/>
              </w:rPr>
              <w:t>4.96%</w:t>
            </w:r>
          </w:p>
        </w:tc>
        <w:tc>
          <w:tcPr>
            <w:tcW w:w="980" w:type="dxa"/>
            <w:tcBorders>
              <w:top w:val="nil"/>
              <w:left w:val="nil"/>
              <w:bottom w:val="nil"/>
              <w:right w:val="single" w:sz="4" w:space="0" w:color="auto"/>
            </w:tcBorders>
            <w:shd w:val="clear" w:color="auto" w:fill="auto"/>
            <w:noWrap/>
            <w:vAlign w:val="bottom"/>
            <w:hideMark/>
          </w:tcPr>
          <w:p w14:paraId="4EAFD6D4" w14:textId="77777777" w:rsidR="00EC5CD4" w:rsidRPr="00EC5CD4" w:rsidRDefault="00EC5CD4" w:rsidP="00EC5CD4">
            <w:pPr>
              <w:jc w:val="right"/>
              <w:rPr>
                <w:sz w:val="20"/>
              </w:rPr>
            </w:pPr>
            <w:r w:rsidRPr="00EC5CD4">
              <w:rPr>
                <w:sz w:val="20"/>
              </w:rPr>
              <w:t>3.75%</w:t>
            </w:r>
          </w:p>
        </w:tc>
      </w:tr>
      <w:tr w:rsidR="00EC5CD4" w:rsidRPr="00EC5CD4" w14:paraId="64CE911E"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5FDAED16"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CC656F5" w14:textId="77777777" w:rsidR="00EC5CD4" w:rsidRPr="00EC5CD4" w:rsidRDefault="00EC5CD4" w:rsidP="00EC5CD4">
            <w:pPr>
              <w:jc w:val="right"/>
              <w:rPr>
                <w:sz w:val="20"/>
              </w:rPr>
            </w:pPr>
            <w:r w:rsidRPr="00EC5CD4">
              <w:rPr>
                <w:sz w:val="20"/>
              </w:rPr>
              <w:t>23,501</w:t>
            </w:r>
          </w:p>
        </w:tc>
        <w:tc>
          <w:tcPr>
            <w:tcW w:w="980" w:type="dxa"/>
            <w:tcBorders>
              <w:top w:val="nil"/>
              <w:left w:val="nil"/>
              <w:bottom w:val="single" w:sz="4" w:space="0" w:color="auto"/>
              <w:right w:val="single" w:sz="4" w:space="0" w:color="auto"/>
            </w:tcBorders>
            <w:shd w:val="clear" w:color="auto" w:fill="auto"/>
            <w:noWrap/>
            <w:vAlign w:val="bottom"/>
            <w:hideMark/>
          </w:tcPr>
          <w:p w14:paraId="1002D969" w14:textId="77777777" w:rsidR="00EC5CD4" w:rsidRPr="00EC5CD4" w:rsidRDefault="00EC5CD4" w:rsidP="00EC5CD4">
            <w:pPr>
              <w:jc w:val="right"/>
              <w:rPr>
                <w:sz w:val="20"/>
              </w:rPr>
            </w:pPr>
            <w:r w:rsidRPr="00EC5CD4">
              <w:rPr>
                <w:sz w:val="20"/>
              </w:rPr>
              <w:t>2,676</w:t>
            </w:r>
          </w:p>
        </w:tc>
        <w:tc>
          <w:tcPr>
            <w:tcW w:w="980" w:type="dxa"/>
            <w:tcBorders>
              <w:top w:val="nil"/>
              <w:left w:val="nil"/>
              <w:bottom w:val="single" w:sz="4" w:space="0" w:color="auto"/>
              <w:right w:val="single" w:sz="4" w:space="0" w:color="auto"/>
            </w:tcBorders>
            <w:shd w:val="clear" w:color="auto" w:fill="auto"/>
            <w:noWrap/>
            <w:vAlign w:val="bottom"/>
            <w:hideMark/>
          </w:tcPr>
          <w:p w14:paraId="585B53E8" w14:textId="77777777" w:rsidR="00EC5CD4" w:rsidRPr="00EC5CD4" w:rsidRDefault="00EC5CD4" w:rsidP="00EC5CD4">
            <w:pPr>
              <w:jc w:val="right"/>
              <w:rPr>
                <w:sz w:val="20"/>
              </w:rPr>
            </w:pPr>
            <w:r w:rsidRPr="00EC5CD4">
              <w:rPr>
                <w:sz w:val="20"/>
              </w:rPr>
              <w:t>1,528</w:t>
            </w:r>
          </w:p>
        </w:tc>
        <w:tc>
          <w:tcPr>
            <w:tcW w:w="980" w:type="dxa"/>
            <w:tcBorders>
              <w:top w:val="nil"/>
              <w:left w:val="nil"/>
              <w:bottom w:val="single" w:sz="4" w:space="0" w:color="auto"/>
              <w:right w:val="single" w:sz="4" w:space="0" w:color="auto"/>
            </w:tcBorders>
            <w:shd w:val="clear" w:color="auto" w:fill="auto"/>
            <w:noWrap/>
            <w:vAlign w:val="bottom"/>
            <w:hideMark/>
          </w:tcPr>
          <w:p w14:paraId="42AEBF0D" w14:textId="77777777" w:rsidR="00EC5CD4" w:rsidRPr="00EC5CD4" w:rsidRDefault="00EC5CD4" w:rsidP="00EC5CD4">
            <w:pPr>
              <w:jc w:val="right"/>
              <w:rPr>
                <w:sz w:val="20"/>
              </w:rPr>
            </w:pPr>
            <w:r w:rsidRPr="00EC5CD4">
              <w:rPr>
                <w:sz w:val="20"/>
              </w:rPr>
              <w:t>1,225</w:t>
            </w:r>
          </w:p>
        </w:tc>
        <w:tc>
          <w:tcPr>
            <w:tcW w:w="980" w:type="dxa"/>
            <w:tcBorders>
              <w:top w:val="nil"/>
              <w:left w:val="nil"/>
              <w:bottom w:val="single" w:sz="4" w:space="0" w:color="auto"/>
              <w:right w:val="single" w:sz="4" w:space="0" w:color="auto"/>
            </w:tcBorders>
            <w:shd w:val="clear" w:color="auto" w:fill="auto"/>
            <w:noWrap/>
            <w:vAlign w:val="bottom"/>
            <w:hideMark/>
          </w:tcPr>
          <w:p w14:paraId="44E43269" w14:textId="77777777" w:rsidR="00EC5CD4" w:rsidRPr="00EC5CD4" w:rsidRDefault="00EC5CD4" w:rsidP="00EC5CD4">
            <w:pPr>
              <w:jc w:val="right"/>
              <w:rPr>
                <w:sz w:val="20"/>
              </w:rPr>
            </w:pPr>
            <w:r w:rsidRPr="00EC5CD4">
              <w:rPr>
                <w:sz w:val="20"/>
              </w:rPr>
              <w:t>103</w:t>
            </w:r>
          </w:p>
        </w:tc>
        <w:tc>
          <w:tcPr>
            <w:tcW w:w="980" w:type="dxa"/>
            <w:tcBorders>
              <w:top w:val="nil"/>
              <w:left w:val="nil"/>
              <w:bottom w:val="single" w:sz="4" w:space="0" w:color="auto"/>
              <w:right w:val="single" w:sz="4" w:space="0" w:color="auto"/>
            </w:tcBorders>
            <w:shd w:val="clear" w:color="auto" w:fill="auto"/>
            <w:noWrap/>
            <w:vAlign w:val="bottom"/>
            <w:hideMark/>
          </w:tcPr>
          <w:p w14:paraId="016EB413" w14:textId="77777777" w:rsidR="00EC5CD4" w:rsidRPr="00EC5CD4" w:rsidRDefault="00EC5CD4" w:rsidP="00EC5CD4">
            <w:pPr>
              <w:jc w:val="right"/>
              <w:rPr>
                <w:sz w:val="20"/>
              </w:rPr>
            </w:pPr>
            <w:r w:rsidRPr="00EC5CD4">
              <w:rPr>
                <w:sz w:val="20"/>
              </w:rPr>
              <w:t>201</w:t>
            </w:r>
          </w:p>
        </w:tc>
        <w:tc>
          <w:tcPr>
            <w:tcW w:w="980" w:type="dxa"/>
            <w:tcBorders>
              <w:top w:val="nil"/>
              <w:left w:val="nil"/>
              <w:bottom w:val="single" w:sz="4" w:space="0" w:color="auto"/>
              <w:right w:val="single" w:sz="4" w:space="0" w:color="auto"/>
            </w:tcBorders>
            <w:shd w:val="clear" w:color="auto" w:fill="auto"/>
            <w:noWrap/>
            <w:vAlign w:val="bottom"/>
            <w:hideMark/>
          </w:tcPr>
          <w:p w14:paraId="0EFEECC9" w14:textId="77777777" w:rsidR="00EC5CD4" w:rsidRPr="00EC5CD4" w:rsidRDefault="00EC5CD4" w:rsidP="00EC5CD4">
            <w:pPr>
              <w:jc w:val="right"/>
              <w:rPr>
                <w:sz w:val="20"/>
              </w:rPr>
            </w:pPr>
            <w:r w:rsidRPr="00EC5CD4">
              <w:rPr>
                <w:sz w:val="20"/>
              </w:rPr>
              <w:t>1,139</w:t>
            </w:r>
          </w:p>
        </w:tc>
      </w:tr>
      <w:tr w:rsidR="00EC5CD4" w:rsidRPr="00EC5CD4" w14:paraId="3992E5C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3A216C8"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5C50E7F2"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26DF2155"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90E7B5D"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1B9F958D"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438F1E0"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27A40C4C"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5B7884FE" w14:textId="77777777" w:rsidR="00EC5CD4" w:rsidRPr="00EC5CD4" w:rsidRDefault="00EC5CD4" w:rsidP="00EC5CD4">
            <w:pPr>
              <w:rPr>
                <w:sz w:val="20"/>
              </w:rPr>
            </w:pPr>
            <w:r w:rsidRPr="00EC5CD4">
              <w:rPr>
                <w:sz w:val="20"/>
              </w:rPr>
              <w:t> </w:t>
            </w:r>
          </w:p>
        </w:tc>
      </w:tr>
      <w:tr w:rsidR="00EC5CD4" w:rsidRPr="00EC5CD4" w14:paraId="64E950D8"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3850304"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0D18B7E"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71E12ED9"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66CF1F02"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32E58A63"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2AFAB8B4"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6F8CA8D4"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0235CC3F" w14:textId="77777777" w:rsidR="00EC5CD4" w:rsidRPr="00EC5CD4" w:rsidRDefault="00EC5CD4" w:rsidP="00EC5CD4">
            <w:pPr>
              <w:jc w:val="right"/>
              <w:rPr>
                <w:sz w:val="20"/>
              </w:rPr>
            </w:pPr>
            <w:r w:rsidRPr="00EC5CD4">
              <w:rPr>
                <w:sz w:val="20"/>
              </w:rPr>
              <w:t>37,617</w:t>
            </w:r>
          </w:p>
        </w:tc>
      </w:tr>
      <w:tr w:rsidR="00EC5CD4" w:rsidRPr="00EC5CD4" w14:paraId="05A91213"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5CF6501" w14:textId="77777777" w:rsidR="00EC5CD4" w:rsidRPr="00EC5CD4" w:rsidRDefault="00EC5CD4" w:rsidP="00EC5CD4">
            <w:pPr>
              <w:rPr>
                <w:sz w:val="20"/>
              </w:rPr>
            </w:pPr>
            <w:r w:rsidRPr="00EC5CD4">
              <w:rPr>
                <w:sz w:val="20"/>
              </w:rPr>
              <w:t xml:space="preserve">    Rate (%) </w:t>
            </w:r>
            <w:r w:rsidRPr="00EC5CD4">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6062D5D7" w14:textId="77777777" w:rsidR="00EC5CD4" w:rsidRPr="00EC5CD4" w:rsidRDefault="00EC5CD4" w:rsidP="00EC5CD4">
            <w:pPr>
              <w:jc w:val="right"/>
              <w:rPr>
                <w:sz w:val="20"/>
              </w:rPr>
            </w:pPr>
            <w:r w:rsidRPr="00EC5CD4">
              <w:rPr>
                <w:sz w:val="20"/>
              </w:rPr>
              <w:t>33.93%</w:t>
            </w:r>
          </w:p>
        </w:tc>
        <w:tc>
          <w:tcPr>
            <w:tcW w:w="980" w:type="dxa"/>
            <w:tcBorders>
              <w:top w:val="nil"/>
              <w:left w:val="nil"/>
              <w:bottom w:val="nil"/>
              <w:right w:val="single" w:sz="4" w:space="0" w:color="auto"/>
            </w:tcBorders>
            <w:shd w:val="clear" w:color="auto" w:fill="auto"/>
            <w:noWrap/>
            <w:vAlign w:val="bottom"/>
            <w:hideMark/>
          </w:tcPr>
          <w:p w14:paraId="4AB28A52" w14:textId="77777777" w:rsidR="00EC5CD4" w:rsidRPr="00EC5CD4" w:rsidRDefault="00EC5CD4" w:rsidP="00EC5CD4">
            <w:pPr>
              <w:jc w:val="right"/>
              <w:rPr>
                <w:sz w:val="20"/>
              </w:rPr>
            </w:pPr>
            <w:r w:rsidRPr="00EC5CD4">
              <w:rPr>
                <w:sz w:val="20"/>
              </w:rPr>
              <w:t>29.16%</w:t>
            </w:r>
          </w:p>
        </w:tc>
        <w:tc>
          <w:tcPr>
            <w:tcW w:w="980" w:type="dxa"/>
            <w:tcBorders>
              <w:top w:val="nil"/>
              <w:left w:val="nil"/>
              <w:bottom w:val="nil"/>
              <w:right w:val="single" w:sz="4" w:space="0" w:color="auto"/>
            </w:tcBorders>
            <w:shd w:val="clear" w:color="000000" w:fill="FFD85B"/>
            <w:noWrap/>
            <w:vAlign w:val="bottom"/>
            <w:hideMark/>
          </w:tcPr>
          <w:p w14:paraId="3E71573D" w14:textId="77777777" w:rsidR="00EC5CD4" w:rsidRPr="00EC5CD4" w:rsidRDefault="00EC5CD4" w:rsidP="00EC5CD4">
            <w:pPr>
              <w:jc w:val="right"/>
              <w:rPr>
                <w:sz w:val="20"/>
              </w:rPr>
            </w:pPr>
            <w:r w:rsidRPr="00EC5CD4">
              <w:rPr>
                <w:sz w:val="20"/>
              </w:rPr>
              <w:t>29.16%</w:t>
            </w:r>
          </w:p>
        </w:tc>
        <w:tc>
          <w:tcPr>
            <w:tcW w:w="980" w:type="dxa"/>
            <w:tcBorders>
              <w:top w:val="nil"/>
              <w:left w:val="nil"/>
              <w:bottom w:val="nil"/>
              <w:right w:val="nil"/>
            </w:tcBorders>
            <w:shd w:val="clear" w:color="000000" w:fill="FFD85B"/>
            <w:noWrap/>
            <w:vAlign w:val="bottom"/>
            <w:hideMark/>
          </w:tcPr>
          <w:p w14:paraId="1D2C84C5" w14:textId="77777777" w:rsidR="00EC5CD4" w:rsidRPr="00EC5CD4" w:rsidRDefault="00EC5CD4" w:rsidP="00EC5CD4">
            <w:pPr>
              <w:jc w:val="right"/>
              <w:rPr>
                <w:sz w:val="20"/>
              </w:rPr>
            </w:pPr>
            <w:r w:rsidRPr="00EC5CD4">
              <w:rPr>
                <w:sz w:val="20"/>
              </w:rPr>
              <w:t>29.16%</w:t>
            </w:r>
          </w:p>
        </w:tc>
        <w:tc>
          <w:tcPr>
            <w:tcW w:w="980" w:type="dxa"/>
            <w:tcBorders>
              <w:top w:val="nil"/>
              <w:left w:val="single" w:sz="4" w:space="0" w:color="auto"/>
              <w:bottom w:val="nil"/>
              <w:right w:val="single" w:sz="4" w:space="0" w:color="auto"/>
            </w:tcBorders>
            <w:shd w:val="clear" w:color="000000" w:fill="FFD85B"/>
            <w:noWrap/>
            <w:vAlign w:val="bottom"/>
            <w:hideMark/>
          </w:tcPr>
          <w:p w14:paraId="4FEE4997" w14:textId="77777777" w:rsidR="00EC5CD4" w:rsidRPr="00EC5CD4" w:rsidRDefault="00EC5CD4" w:rsidP="00EC5CD4">
            <w:pPr>
              <w:jc w:val="right"/>
              <w:rPr>
                <w:sz w:val="20"/>
              </w:rPr>
            </w:pPr>
            <w:r w:rsidRPr="00EC5CD4">
              <w:rPr>
                <w:sz w:val="20"/>
              </w:rPr>
              <w:t>29.16%</w:t>
            </w:r>
          </w:p>
        </w:tc>
        <w:tc>
          <w:tcPr>
            <w:tcW w:w="980" w:type="dxa"/>
            <w:tcBorders>
              <w:top w:val="nil"/>
              <w:left w:val="nil"/>
              <w:bottom w:val="nil"/>
              <w:right w:val="single" w:sz="4" w:space="0" w:color="auto"/>
            </w:tcBorders>
            <w:shd w:val="clear" w:color="000000" w:fill="FFD85B"/>
            <w:noWrap/>
            <w:vAlign w:val="bottom"/>
            <w:hideMark/>
          </w:tcPr>
          <w:p w14:paraId="0389FF66" w14:textId="77777777" w:rsidR="00EC5CD4" w:rsidRPr="00EC5CD4" w:rsidRDefault="00EC5CD4" w:rsidP="00EC5CD4">
            <w:pPr>
              <w:jc w:val="right"/>
              <w:rPr>
                <w:sz w:val="20"/>
              </w:rPr>
            </w:pPr>
            <w:r w:rsidRPr="00EC5CD4">
              <w:rPr>
                <w:sz w:val="20"/>
              </w:rPr>
              <w:t>29.16%</w:t>
            </w:r>
          </w:p>
        </w:tc>
        <w:tc>
          <w:tcPr>
            <w:tcW w:w="980" w:type="dxa"/>
            <w:tcBorders>
              <w:top w:val="nil"/>
              <w:left w:val="nil"/>
              <w:bottom w:val="nil"/>
              <w:right w:val="single" w:sz="4" w:space="0" w:color="auto"/>
            </w:tcBorders>
            <w:shd w:val="clear" w:color="000000" w:fill="FFD85B"/>
            <w:noWrap/>
            <w:vAlign w:val="bottom"/>
            <w:hideMark/>
          </w:tcPr>
          <w:p w14:paraId="6017A1DA" w14:textId="77777777" w:rsidR="00EC5CD4" w:rsidRPr="00EC5CD4" w:rsidRDefault="00EC5CD4" w:rsidP="00EC5CD4">
            <w:pPr>
              <w:jc w:val="right"/>
              <w:rPr>
                <w:sz w:val="20"/>
              </w:rPr>
            </w:pPr>
            <w:r w:rsidRPr="00EC5CD4">
              <w:rPr>
                <w:sz w:val="20"/>
              </w:rPr>
              <w:t>29.16%</w:t>
            </w:r>
          </w:p>
        </w:tc>
      </w:tr>
      <w:tr w:rsidR="00EC5CD4" w:rsidRPr="00EC5CD4" w14:paraId="73861E9E"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42270944"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E9B4F8A" w14:textId="77777777" w:rsidR="00EC5CD4" w:rsidRPr="00EC5CD4" w:rsidRDefault="00EC5CD4" w:rsidP="00EC5CD4">
            <w:pPr>
              <w:jc w:val="right"/>
              <w:rPr>
                <w:sz w:val="20"/>
              </w:rPr>
            </w:pPr>
            <w:r w:rsidRPr="00EC5CD4">
              <w:rPr>
                <w:sz w:val="20"/>
              </w:rPr>
              <w:t>164,099</w:t>
            </w:r>
          </w:p>
        </w:tc>
        <w:tc>
          <w:tcPr>
            <w:tcW w:w="980" w:type="dxa"/>
            <w:tcBorders>
              <w:top w:val="nil"/>
              <w:left w:val="nil"/>
              <w:bottom w:val="single" w:sz="4" w:space="0" w:color="auto"/>
              <w:right w:val="single" w:sz="4" w:space="0" w:color="auto"/>
            </w:tcBorders>
            <w:shd w:val="clear" w:color="auto" w:fill="auto"/>
            <w:noWrap/>
            <w:vAlign w:val="bottom"/>
            <w:hideMark/>
          </w:tcPr>
          <w:p w14:paraId="5747592B" w14:textId="77777777" w:rsidR="00EC5CD4" w:rsidRPr="00EC5CD4" w:rsidRDefault="00EC5CD4" w:rsidP="00EC5CD4">
            <w:pPr>
              <w:jc w:val="right"/>
              <w:rPr>
                <w:sz w:val="20"/>
              </w:rPr>
            </w:pPr>
            <w:r w:rsidRPr="00EC5CD4">
              <w:rPr>
                <w:sz w:val="20"/>
              </w:rPr>
              <w:t>24,027</w:t>
            </w:r>
          </w:p>
        </w:tc>
        <w:tc>
          <w:tcPr>
            <w:tcW w:w="980" w:type="dxa"/>
            <w:tcBorders>
              <w:top w:val="nil"/>
              <w:left w:val="nil"/>
              <w:bottom w:val="single" w:sz="4" w:space="0" w:color="auto"/>
              <w:right w:val="single" w:sz="4" w:space="0" w:color="auto"/>
            </w:tcBorders>
            <w:shd w:val="clear" w:color="000000" w:fill="FFD85B"/>
            <w:noWrap/>
            <w:vAlign w:val="bottom"/>
            <w:hideMark/>
          </w:tcPr>
          <w:p w14:paraId="6734A029" w14:textId="77777777" w:rsidR="00EC5CD4" w:rsidRPr="00EC5CD4" w:rsidRDefault="00EC5CD4" w:rsidP="00EC5CD4">
            <w:pPr>
              <w:jc w:val="right"/>
              <w:rPr>
                <w:sz w:val="20"/>
              </w:rPr>
            </w:pPr>
            <w:r w:rsidRPr="00EC5CD4">
              <w:rPr>
                <w:sz w:val="20"/>
              </w:rPr>
              <w:t>13,059</w:t>
            </w:r>
          </w:p>
        </w:tc>
        <w:tc>
          <w:tcPr>
            <w:tcW w:w="980" w:type="dxa"/>
            <w:tcBorders>
              <w:top w:val="nil"/>
              <w:left w:val="nil"/>
              <w:bottom w:val="single" w:sz="4" w:space="0" w:color="auto"/>
              <w:right w:val="single" w:sz="4" w:space="0" w:color="auto"/>
            </w:tcBorders>
            <w:shd w:val="clear" w:color="000000" w:fill="FFD85B"/>
            <w:noWrap/>
            <w:vAlign w:val="bottom"/>
            <w:hideMark/>
          </w:tcPr>
          <w:p w14:paraId="68F1210E" w14:textId="77777777" w:rsidR="00EC5CD4" w:rsidRPr="00EC5CD4" w:rsidRDefault="00EC5CD4" w:rsidP="00EC5CD4">
            <w:pPr>
              <w:jc w:val="right"/>
              <w:rPr>
                <w:sz w:val="20"/>
              </w:rPr>
            </w:pPr>
            <w:r w:rsidRPr="00EC5CD4">
              <w:rPr>
                <w:sz w:val="20"/>
              </w:rPr>
              <w:t>11,194</w:t>
            </w:r>
          </w:p>
        </w:tc>
        <w:tc>
          <w:tcPr>
            <w:tcW w:w="980" w:type="dxa"/>
            <w:tcBorders>
              <w:top w:val="nil"/>
              <w:left w:val="nil"/>
              <w:bottom w:val="single" w:sz="4" w:space="0" w:color="auto"/>
              <w:right w:val="single" w:sz="4" w:space="0" w:color="auto"/>
            </w:tcBorders>
            <w:shd w:val="clear" w:color="000000" w:fill="FFD85B"/>
            <w:noWrap/>
            <w:vAlign w:val="bottom"/>
            <w:hideMark/>
          </w:tcPr>
          <w:p w14:paraId="058DFFF7" w14:textId="77777777" w:rsidR="00EC5CD4" w:rsidRPr="00EC5CD4" w:rsidRDefault="00EC5CD4" w:rsidP="00EC5CD4">
            <w:pPr>
              <w:jc w:val="right"/>
              <w:rPr>
                <w:sz w:val="20"/>
              </w:rPr>
            </w:pPr>
            <w:r w:rsidRPr="00EC5CD4">
              <w:rPr>
                <w:sz w:val="20"/>
              </w:rPr>
              <w:t>660</w:t>
            </w:r>
          </w:p>
        </w:tc>
        <w:tc>
          <w:tcPr>
            <w:tcW w:w="980" w:type="dxa"/>
            <w:tcBorders>
              <w:top w:val="nil"/>
              <w:left w:val="nil"/>
              <w:bottom w:val="single" w:sz="4" w:space="0" w:color="auto"/>
              <w:right w:val="single" w:sz="4" w:space="0" w:color="auto"/>
            </w:tcBorders>
            <w:shd w:val="clear" w:color="000000" w:fill="FFD85B"/>
            <w:noWrap/>
            <w:vAlign w:val="bottom"/>
            <w:hideMark/>
          </w:tcPr>
          <w:p w14:paraId="33A14D18" w14:textId="77777777" w:rsidR="00EC5CD4" w:rsidRPr="00EC5CD4" w:rsidRDefault="00EC5CD4" w:rsidP="00EC5CD4">
            <w:pPr>
              <w:jc w:val="right"/>
              <w:rPr>
                <w:sz w:val="20"/>
              </w:rPr>
            </w:pPr>
            <w:r w:rsidRPr="00EC5CD4">
              <w:rPr>
                <w:sz w:val="20"/>
              </w:rPr>
              <w:t>1,205</w:t>
            </w:r>
          </w:p>
        </w:tc>
        <w:tc>
          <w:tcPr>
            <w:tcW w:w="980" w:type="dxa"/>
            <w:tcBorders>
              <w:top w:val="nil"/>
              <w:left w:val="nil"/>
              <w:bottom w:val="single" w:sz="4" w:space="0" w:color="auto"/>
              <w:right w:val="single" w:sz="4" w:space="0" w:color="auto"/>
            </w:tcBorders>
            <w:shd w:val="clear" w:color="000000" w:fill="FFD85B"/>
            <w:noWrap/>
            <w:vAlign w:val="bottom"/>
            <w:hideMark/>
          </w:tcPr>
          <w:p w14:paraId="4E176B8F" w14:textId="77777777" w:rsidR="00EC5CD4" w:rsidRPr="00EC5CD4" w:rsidRDefault="00EC5CD4" w:rsidP="00EC5CD4">
            <w:pPr>
              <w:jc w:val="right"/>
              <w:rPr>
                <w:sz w:val="20"/>
              </w:rPr>
            </w:pPr>
            <w:r w:rsidRPr="00EC5CD4">
              <w:rPr>
                <w:sz w:val="20"/>
              </w:rPr>
              <w:t>10,968</w:t>
            </w:r>
          </w:p>
        </w:tc>
      </w:tr>
      <w:tr w:rsidR="00EC5CD4" w:rsidRPr="00EC5CD4" w14:paraId="7B639290"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7B519326" w14:textId="3E1BCAD3" w:rsidR="00EC5CD4" w:rsidRPr="00EC5CD4" w:rsidRDefault="00EC5CD4" w:rsidP="00EC5CD4">
            <w:pPr>
              <w:rPr>
                <w:sz w:val="20"/>
              </w:rPr>
            </w:pPr>
            <w:r w:rsidRPr="00EC5CD4">
              <w:rPr>
                <w:sz w:val="20"/>
              </w:rPr>
              <w:t xml:space="preserve">Older Adults </w:t>
            </w:r>
            <w:r w:rsidR="00240C80">
              <w:rPr>
                <w:sz w:val="20"/>
              </w:rPr>
              <w:t>26+</w:t>
            </w:r>
            <w:r w:rsidRPr="00EC5CD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03870D79"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6F1C8763"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3482D627"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1A5E734E"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347A48B6"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52442BA2"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1C4AC490" w14:textId="77777777" w:rsidR="00EC5CD4" w:rsidRPr="00EC5CD4" w:rsidRDefault="00EC5CD4" w:rsidP="00EC5CD4">
            <w:pPr>
              <w:rPr>
                <w:sz w:val="20"/>
              </w:rPr>
            </w:pPr>
            <w:r w:rsidRPr="00EC5CD4">
              <w:rPr>
                <w:sz w:val="20"/>
              </w:rPr>
              <w:t> </w:t>
            </w:r>
          </w:p>
        </w:tc>
      </w:tr>
      <w:tr w:rsidR="00EC5CD4" w:rsidRPr="00EC5CD4" w14:paraId="4D81E0AE"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5FA9EBE"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6AA89F62"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61F773ED"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6D273891"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14B1FAFB"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0AF61CAB"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1EB6896A"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5BC27150" w14:textId="77777777" w:rsidR="00EC5CD4" w:rsidRPr="00EC5CD4" w:rsidRDefault="00EC5CD4" w:rsidP="00EC5CD4">
            <w:pPr>
              <w:jc w:val="right"/>
              <w:rPr>
                <w:sz w:val="20"/>
              </w:rPr>
            </w:pPr>
            <w:r w:rsidRPr="00EC5CD4">
              <w:rPr>
                <w:sz w:val="20"/>
              </w:rPr>
              <w:t>299,579</w:t>
            </w:r>
          </w:p>
        </w:tc>
      </w:tr>
      <w:tr w:rsidR="00EC5CD4" w:rsidRPr="00EC5CD4" w14:paraId="471D6C07"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A954C28"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1C973EF3" w14:textId="77777777" w:rsidR="00EC5CD4" w:rsidRPr="00EC5CD4" w:rsidRDefault="00EC5CD4" w:rsidP="00EC5CD4">
            <w:pPr>
              <w:jc w:val="right"/>
              <w:rPr>
                <w:sz w:val="20"/>
              </w:rPr>
            </w:pPr>
            <w:r w:rsidRPr="00EC5CD4">
              <w:rPr>
                <w:sz w:val="20"/>
              </w:rPr>
              <w:t>31.73%</w:t>
            </w:r>
          </w:p>
        </w:tc>
        <w:tc>
          <w:tcPr>
            <w:tcW w:w="980" w:type="dxa"/>
            <w:tcBorders>
              <w:top w:val="nil"/>
              <w:left w:val="nil"/>
              <w:bottom w:val="nil"/>
              <w:right w:val="single" w:sz="4" w:space="0" w:color="auto"/>
            </w:tcBorders>
            <w:shd w:val="clear" w:color="auto" w:fill="auto"/>
            <w:noWrap/>
            <w:vAlign w:val="bottom"/>
            <w:hideMark/>
          </w:tcPr>
          <w:p w14:paraId="7156AE64" w14:textId="77777777" w:rsidR="00EC5CD4" w:rsidRPr="00EC5CD4" w:rsidRDefault="00EC5CD4" w:rsidP="00EC5CD4">
            <w:pPr>
              <w:jc w:val="right"/>
              <w:rPr>
                <w:sz w:val="20"/>
              </w:rPr>
            </w:pPr>
            <w:r w:rsidRPr="00EC5CD4">
              <w:rPr>
                <w:sz w:val="20"/>
              </w:rPr>
              <w:t>25.56%</w:t>
            </w:r>
          </w:p>
        </w:tc>
        <w:tc>
          <w:tcPr>
            <w:tcW w:w="980" w:type="dxa"/>
            <w:tcBorders>
              <w:top w:val="nil"/>
              <w:left w:val="nil"/>
              <w:bottom w:val="nil"/>
              <w:right w:val="single" w:sz="4" w:space="0" w:color="auto"/>
            </w:tcBorders>
            <w:shd w:val="clear" w:color="auto" w:fill="auto"/>
            <w:noWrap/>
            <w:vAlign w:val="bottom"/>
            <w:hideMark/>
          </w:tcPr>
          <w:p w14:paraId="256D226C" w14:textId="77777777" w:rsidR="00EC5CD4" w:rsidRPr="00EC5CD4" w:rsidRDefault="00EC5CD4" w:rsidP="00EC5CD4">
            <w:pPr>
              <w:jc w:val="right"/>
              <w:rPr>
                <w:sz w:val="20"/>
              </w:rPr>
            </w:pPr>
            <w:r w:rsidRPr="00EC5CD4">
              <w:rPr>
                <w:sz w:val="20"/>
              </w:rPr>
              <w:t>25.94%</w:t>
            </w:r>
          </w:p>
        </w:tc>
        <w:tc>
          <w:tcPr>
            <w:tcW w:w="980" w:type="dxa"/>
            <w:tcBorders>
              <w:top w:val="nil"/>
              <w:left w:val="nil"/>
              <w:bottom w:val="nil"/>
              <w:right w:val="nil"/>
            </w:tcBorders>
            <w:shd w:val="clear" w:color="auto" w:fill="auto"/>
            <w:noWrap/>
            <w:vAlign w:val="bottom"/>
            <w:hideMark/>
          </w:tcPr>
          <w:p w14:paraId="66CE58E2" w14:textId="77777777" w:rsidR="00EC5CD4" w:rsidRPr="00EC5CD4" w:rsidRDefault="00EC5CD4" w:rsidP="00EC5CD4">
            <w:pPr>
              <w:jc w:val="right"/>
              <w:rPr>
                <w:sz w:val="20"/>
              </w:rPr>
            </w:pPr>
            <w:r w:rsidRPr="00EC5CD4">
              <w:rPr>
                <w:sz w:val="20"/>
              </w:rPr>
              <w:t>25.94%</w:t>
            </w:r>
          </w:p>
        </w:tc>
        <w:tc>
          <w:tcPr>
            <w:tcW w:w="980" w:type="dxa"/>
            <w:tcBorders>
              <w:top w:val="nil"/>
              <w:left w:val="single" w:sz="4" w:space="0" w:color="auto"/>
              <w:bottom w:val="nil"/>
              <w:right w:val="single" w:sz="4" w:space="0" w:color="auto"/>
            </w:tcBorders>
            <w:shd w:val="clear" w:color="auto" w:fill="auto"/>
            <w:noWrap/>
            <w:vAlign w:val="bottom"/>
            <w:hideMark/>
          </w:tcPr>
          <w:p w14:paraId="1534B32A" w14:textId="77777777" w:rsidR="00EC5CD4" w:rsidRPr="00EC5CD4" w:rsidRDefault="00EC5CD4" w:rsidP="00EC5CD4">
            <w:pPr>
              <w:jc w:val="right"/>
              <w:rPr>
                <w:sz w:val="20"/>
              </w:rPr>
            </w:pPr>
            <w:r w:rsidRPr="00EC5CD4">
              <w:rPr>
                <w:sz w:val="20"/>
              </w:rPr>
              <w:t>25.94%</w:t>
            </w:r>
          </w:p>
        </w:tc>
        <w:tc>
          <w:tcPr>
            <w:tcW w:w="980" w:type="dxa"/>
            <w:tcBorders>
              <w:top w:val="nil"/>
              <w:left w:val="nil"/>
              <w:bottom w:val="nil"/>
              <w:right w:val="single" w:sz="4" w:space="0" w:color="auto"/>
            </w:tcBorders>
            <w:shd w:val="clear" w:color="auto" w:fill="auto"/>
            <w:noWrap/>
            <w:vAlign w:val="bottom"/>
            <w:hideMark/>
          </w:tcPr>
          <w:p w14:paraId="21CA1CAA" w14:textId="77777777" w:rsidR="00EC5CD4" w:rsidRPr="00EC5CD4" w:rsidRDefault="00EC5CD4" w:rsidP="00EC5CD4">
            <w:pPr>
              <w:jc w:val="right"/>
              <w:rPr>
                <w:sz w:val="20"/>
              </w:rPr>
            </w:pPr>
            <w:r w:rsidRPr="00EC5CD4">
              <w:rPr>
                <w:sz w:val="20"/>
              </w:rPr>
              <w:t>25.94%</w:t>
            </w:r>
          </w:p>
        </w:tc>
        <w:tc>
          <w:tcPr>
            <w:tcW w:w="980" w:type="dxa"/>
            <w:tcBorders>
              <w:top w:val="nil"/>
              <w:left w:val="nil"/>
              <w:bottom w:val="nil"/>
              <w:right w:val="single" w:sz="4" w:space="0" w:color="auto"/>
            </w:tcBorders>
            <w:shd w:val="clear" w:color="auto" w:fill="auto"/>
            <w:noWrap/>
            <w:vAlign w:val="bottom"/>
            <w:hideMark/>
          </w:tcPr>
          <w:p w14:paraId="61BA6765" w14:textId="77777777" w:rsidR="00EC5CD4" w:rsidRPr="00EC5CD4" w:rsidRDefault="00EC5CD4" w:rsidP="00EC5CD4">
            <w:pPr>
              <w:jc w:val="right"/>
              <w:rPr>
                <w:sz w:val="20"/>
              </w:rPr>
            </w:pPr>
            <w:r w:rsidRPr="00EC5CD4">
              <w:rPr>
                <w:sz w:val="20"/>
              </w:rPr>
              <w:t>25.14%</w:t>
            </w:r>
          </w:p>
        </w:tc>
      </w:tr>
      <w:tr w:rsidR="00EC5CD4" w:rsidRPr="00EC5CD4" w14:paraId="254E8E9C"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4EC61651"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0531019" w14:textId="77777777" w:rsidR="00EC5CD4" w:rsidRPr="00EC5CD4" w:rsidRDefault="00EC5CD4" w:rsidP="00EC5CD4">
            <w:pPr>
              <w:jc w:val="right"/>
              <w:rPr>
                <w:sz w:val="20"/>
              </w:rPr>
            </w:pPr>
            <w:r w:rsidRPr="00EC5CD4">
              <w:rPr>
                <w:sz w:val="20"/>
              </w:rPr>
              <w:t>976,532</w:t>
            </w:r>
          </w:p>
        </w:tc>
        <w:tc>
          <w:tcPr>
            <w:tcW w:w="980" w:type="dxa"/>
            <w:tcBorders>
              <w:top w:val="nil"/>
              <w:left w:val="nil"/>
              <w:bottom w:val="single" w:sz="4" w:space="0" w:color="auto"/>
              <w:right w:val="single" w:sz="4" w:space="0" w:color="auto"/>
            </w:tcBorders>
            <w:shd w:val="clear" w:color="auto" w:fill="auto"/>
            <w:noWrap/>
            <w:vAlign w:val="bottom"/>
            <w:hideMark/>
          </w:tcPr>
          <w:p w14:paraId="2D9D4D6C" w14:textId="77777777" w:rsidR="00EC5CD4" w:rsidRPr="00EC5CD4" w:rsidRDefault="00EC5CD4" w:rsidP="00EC5CD4">
            <w:pPr>
              <w:jc w:val="right"/>
              <w:rPr>
                <w:sz w:val="20"/>
              </w:rPr>
            </w:pPr>
            <w:r w:rsidRPr="00EC5CD4">
              <w:rPr>
                <w:sz w:val="20"/>
              </w:rPr>
              <w:t>158,382</w:t>
            </w:r>
          </w:p>
        </w:tc>
        <w:tc>
          <w:tcPr>
            <w:tcW w:w="980" w:type="dxa"/>
            <w:tcBorders>
              <w:top w:val="nil"/>
              <w:left w:val="nil"/>
              <w:bottom w:val="single" w:sz="4" w:space="0" w:color="auto"/>
              <w:right w:val="single" w:sz="4" w:space="0" w:color="auto"/>
            </w:tcBorders>
            <w:shd w:val="clear" w:color="auto" w:fill="auto"/>
            <w:noWrap/>
            <w:vAlign w:val="bottom"/>
            <w:hideMark/>
          </w:tcPr>
          <w:p w14:paraId="06B006DF" w14:textId="77777777" w:rsidR="00EC5CD4" w:rsidRPr="00EC5CD4" w:rsidRDefault="00EC5CD4" w:rsidP="00EC5CD4">
            <w:pPr>
              <w:jc w:val="right"/>
              <w:rPr>
                <w:sz w:val="20"/>
              </w:rPr>
            </w:pPr>
            <w:r w:rsidRPr="00EC5CD4">
              <w:rPr>
                <w:sz w:val="20"/>
              </w:rPr>
              <w:t>83,016</w:t>
            </w:r>
          </w:p>
        </w:tc>
        <w:tc>
          <w:tcPr>
            <w:tcW w:w="980" w:type="dxa"/>
            <w:tcBorders>
              <w:top w:val="nil"/>
              <w:left w:val="nil"/>
              <w:bottom w:val="single" w:sz="4" w:space="0" w:color="auto"/>
              <w:right w:val="single" w:sz="4" w:space="0" w:color="auto"/>
            </w:tcBorders>
            <w:shd w:val="clear" w:color="auto" w:fill="auto"/>
            <w:noWrap/>
            <w:vAlign w:val="bottom"/>
            <w:hideMark/>
          </w:tcPr>
          <w:p w14:paraId="2A045C4D" w14:textId="77777777" w:rsidR="00EC5CD4" w:rsidRPr="00EC5CD4" w:rsidRDefault="00EC5CD4" w:rsidP="00EC5CD4">
            <w:pPr>
              <w:jc w:val="right"/>
              <w:rPr>
                <w:sz w:val="20"/>
              </w:rPr>
            </w:pPr>
            <w:r w:rsidRPr="00EC5CD4">
              <w:rPr>
                <w:sz w:val="20"/>
              </w:rPr>
              <w:t>71,196</w:t>
            </w:r>
          </w:p>
        </w:tc>
        <w:tc>
          <w:tcPr>
            <w:tcW w:w="980" w:type="dxa"/>
            <w:tcBorders>
              <w:top w:val="nil"/>
              <w:left w:val="nil"/>
              <w:bottom w:val="single" w:sz="4" w:space="0" w:color="auto"/>
              <w:right w:val="single" w:sz="4" w:space="0" w:color="auto"/>
            </w:tcBorders>
            <w:shd w:val="clear" w:color="auto" w:fill="auto"/>
            <w:noWrap/>
            <w:vAlign w:val="bottom"/>
            <w:hideMark/>
          </w:tcPr>
          <w:p w14:paraId="0455ADCC" w14:textId="77777777" w:rsidR="00EC5CD4" w:rsidRPr="00EC5CD4" w:rsidRDefault="00EC5CD4" w:rsidP="00EC5CD4">
            <w:pPr>
              <w:jc w:val="right"/>
              <w:rPr>
                <w:sz w:val="20"/>
              </w:rPr>
            </w:pPr>
            <w:r w:rsidRPr="00EC5CD4">
              <w:rPr>
                <w:sz w:val="20"/>
              </w:rPr>
              <w:t>3,879</w:t>
            </w:r>
          </w:p>
        </w:tc>
        <w:tc>
          <w:tcPr>
            <w:tcW w:w="980" w:type="dxa"/>
            <w:tcBorders>
              <w:top w:val="nil"/>
              <w:left w:val="nil"/>
              <w:bottom w:val="single" w:sz="4" w:space="0" w:color="auto"/>
              <w:right w:val="single" w:sz="4" w:space="0" w:color="auto"/>
            </w:tcBorders>
            <w:shd w:val="clear" w:color="auto" w:fill="auto"/>
            <w:noWrap/>
            <w:vAlign w:val="bottom"/>
            <w:hideMark/>
          </w:tcPr>
          <w:p w14:paraId="65F92AF2" w14:textId="77777777" w:rsidR="00EC5CD4" w:rsidRPr="00EC5CD4" w:rsidRDefault="00EC5CD4" w:rsidP="00EC5CD4">
            <w:pPr>
              <w:jc w:val="right"/>
              <w:rPr>
                <w:sz w:val="20"/>
              </w:rPr>
            </w:pPr>
            <w:r w:rsidRPr="00EC5CD4">
              <w:rPr>
                <w:sz w:val="20"/>
              </w:rPr>
              <w:t>7,940</w:t>
            </w:r>
          </w:p>
        </w:tc>
        <w:tc>
          <w:tcPr>
            <w:tcW w:w="980" w:type="dxa"/>
            <w:tcBorders>
              <w:top w:val="nil"/>
              <w:left w:val="nil"/>
              <w:bottom w:val="single" w:sz="4" w:space="0" w:color="auto"/>
              <w:right w:val="single" w:sz="4" w:space="0" w:color="auto"/>
            </w:tcBorders>
            <w:shd w:val="clear" w:color="auto" w:fill="auto"/>
            <w:noWrap/>
            <w:vAlign w:val="bottom"/>
            <w:hideMark/>
          </w:tcPr>
          <w:p w14:paraId="22F17CD4" w14:textId="77777777" w:rsidR="00EC5CD4" w:rsidRPr="00EC5CD4" w:rsidRDefault="00EC5CD4" w:rsidP="00EC5CD4">
            <w:pPr>
              <w:jc w:val="right"/>
              <w:rPr>
                <w:sz w:val="20"/>
              </w:rPr>
            </w:pPr>
            <w:r w:rsidRPr="00EC5CD4">
              <w:rPr>
                <w:sz w:val="20"/>
              </w:rPr>
              <w:t>75,305</w:t>
            </w:r>
          </w:p>
        </w:tc>
      </w:tr>
      <w:tr w:rsidR="00EC5CD4" w:rsidRPr="00EC5CD4" w14:paraId="0AF2AA6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1C1B5FC"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0F6F710C"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1508D6F"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A4EBE61"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9EA6E06"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18BAD67"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26881E5D"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4F01965F" w14:textId="77777777" w:rsidR="00EC5CD4" w:rsidRPr="00EC5CD4" w:rsidRDefault="00EC5CD4" w:rsidP="00EC5CD4">
            <w:pPr>
              <w:rPr>
                <w:sz w:val="20"/>
              </w:rPr>
            </w:pPr>
            <w:r w:rsidRPr="00EC5CD4">
              <w:rPr>
                <w:sz w:val="20"/>
              </w:rPr>
              <w:t> </w:t>
            </w:r>
          </w:p>
        </w:tc>
      </w:tr>
      <w:tr w:rsidR="00EC5CD4" w:rsidRPr="00EC5CD4" w14:paraId="58BA5227"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A7F2C59"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BD51565"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58A28CF8"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6F06F8A8"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797E3AD1"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7AA35271"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669EB641"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71C2C988" w14:textId="77777777" w:rsidR="00EC5CD4" w:rsidRPr="00EC5CD4" w:rsidRDefault="00EC5CD4" w:rsidP="00EC5CD4">
            <w:pPr>
              <w:jc w:val="right"/>
              <w:rPr>
                <w:sz w:val="20"/>
              </w:rPr>
            </w:pPr>
            <w:r w:rsidRPr="00EC5CD4">
              <w:rPr>
                <w:sz w:val="20"/>
              </w:rPr>
              <w:t>337,196</w:t>
            </w:r>
          </w:p>
        </w:tc>
      </w:tr>
      <w:tr w:rsidR="00EC5CD4" w:rsidRPr="00EC5CD4" w14:paraId="1B0FCF7D"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EEE83CC"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1F431CF3" w14:textId="77777777" w:rsidR="00EC5CD4" w:rsidRPr="00EC5CD4" w:rsidRDefault="00EC5CD4" w:rsidP="00EC5CD4">
            <w:pPr>
              <w:jc w:val="right"/>
              <w:rPr>
                <w:sz w:val="20"/>
              </w:rPr>
            </w:pPr>
            <w:r w:rsidRPr="00EC5CD4">
              <w:rPr>
                <w:sz w:val="20"/>
              </w:rPr>
              <w:t>32.04%</w:t>
            </w:r>
          </w:p>
        </w:tc>
        <w:tc>
          <w:tcPr>
            <w:tcW w:w="980" w:type="dxa"/>
            <w:tcBorders>
              <w:top w:val="nil"/>
              <w:left w:val="nil"/>
              <w:bottom w:val="nil"/>
              <w:right w:val="single" w:sz="4" w:space="0" w:color="auto"/>
            </w:tcBorders>
            <w:shd w:val="clear" w:color="auto" w:fill="auto"/>
            <w:noWrap/>
            <w:vAlign w:val="bottom"/>
            <w:hideMark/>
          </w:tcPr>
          <w:p w14:paraId="6CBA6938" w14:textId="77777777" w:rsidR="00EC5CD4" w:rsidRPr="00EC5CD4" w:rsidRDefault="00EC5CD4" w:rsidP="00EC5CD4">
            <w:pPr>
              <w:jc w:val="right"/>
              <w:rPr>
                <w:sz w:val="20"/>
              </w:rPr>
            </w:pPr>
            <w:r w:rsidRPr="00EC5CD4">
              <w:rPr>
                <w:sz w:val="20"/>
              </w:rPr>
              <w:t>26.02%</w:t>
            </w:r>
          </w:p>
        </w:tc>
        <w:tc>
          <w:tcPr>
            <w:tcW w:w="980" w:type="dxa"/>
            <w:tcBorders>
              <w:top w:val="nil"/>
              <w:left w:val="nil"/>
              <w:bottom w:val="nil"/>
              <w:right w:val="single" w:sz="4" w:space="0" w:color="auto"/>
            </w:tcBorders>
            <w:shd w:val="clear" w:color="auto" w:fill="auto"/>
            <w:noWrap/>
            <w:vAlign w:val="bottom"/>
            <w:hideMark/>
          </w:tcPr>
          <w:p w14:paraId="46638C78" w14:textId="77777777" w:rsidR="00EC5CD4" w:rsidRPr="00EC5CD4" w:rsidRDefault="00EC5CD4" w:rsidP="00EC5CD4">
            <w:pPr>
              <w:jc w:val="right"/>
              <w:rPr>
                <w:sz w:val="20"/>
              </w:rPr>
            </w:pPr>
            <w:r w:rsidRPr="00EC5CD4">
              <w:rPr>
                <w:sz w:val="20"/>
              </w:rPr>
              <w:t>26.59%</w:t>
            </w:r>
          </w:p>
        </w:tc>
        <w:tc>
          <w:tcPr>
            <w:tcW w:w="980" w:type="dxa"/>
            <w:tcBorders>
              <w:top w:val="nil"/>
              <w:left w:val="nil"/>
              <w:bottom w:val="nil"/>
              <w:right w:val="nil"/>
            </w:tcBorders>
            <w:shd w:val="clear" w:color="auto" w:fill="auto"/>
            <w:noWrap/>
            <w:vAlign w:val="bottom"/>
            <w:hideMark/>
          </w:tcPr>
          <w:p w14:paraId="7410ACA2" w14:textId="77777777" w:rsidR="00EC5CD4" w:rsidRPr="00EC5CD4" w:rsidRDefault="00EC5CD4" w:rsidP="00EC5CD4">
            <w:pPr>
              <w:jc w:val="right"/>
              <w:rPr>
                <w:sz w:val="20"/>
              </w:rPr>
            </w:pPr>
            <w:r w:rsidRPr="00EC5CD4">
              <w:rPr>
                <w:sz w:val="20"/>
              </w:rPr>
              <w:t>26.59%</w:t>
            </w:r>
          </w:p>
        </w:tc>
        <w:tc>
          <w:tcPr>
            <w:tcW w:w="980" w:type="dxa"/>
            <w:tcBorders>
              <w:top w:val="nil"/>
              <w:left w:val="single" w:sz="4" w:space="0" w:color="auto"/>
              <w:bottom w:val="nil"/>
              <w:right w:val="single" w:sz="4" w:space="0" w:color="auto"/>
            </w:tcBorders>
            <w:shd w:val="clear" w:color="auto" w:fill="auto"/>
            <w:noWrap/>
            <w:vAlign w:val="bottom"/>
            <w:hideMark/>
          </w:tcPr>
          <w:p w14:paraId="3EBBC946" w14:textId="77777777" w:rsidR="00EC5CD4" w:rsidRPr="00EC5CD4" w:rsidRDefault="00EC5CD4" w:rsidP="00EC5CD4">
            <w:pPr>
              <w:jc w:val="right"/>
              <w:rPr>
                <w:sz w:val="20"/>
              </w:rPr>
            </w:pPr>
            <w:r w:rsidRPr="00EC5CD4">
              <w:rPr>
                <w:sz w:val="20"/>
              </w:rPr>
              <w:t>26.59%</w:t>
            </w:r>
          </w:p>
        </w:tc>
        <w:tc>
          <w:tcPr>
            <w:tcW w:w="980" w:type="dxa"/>
            <w:tcBorders>
              <w:top w:val="nil"/>
              <w:left w:val="nil"/>
              <w:bottom w:val="nil"/>
              <w:right w:val="single" w:sz="4" w:space="0" w:color="auto"/>
            </w:tcBorders>
            <w:shd w:val="clear" w:color="auto" w:fill="auto"/>
            <w:noWrap/>
            <w:vAlign w:val="bottom"/>
            <w:hideMark/>
          </w:tcPr>
          <w:p w14:paraId="4525572C" w14:textId="77777777" w:rsidR="00EC5CD4" w:rsidRPr="00EC5CD4" w:rsidRDefault="00EC5CD4" w:rsidP="00EC5CD4">
            <w:pPr>
              <w:jc w:val="right"/>
              <w:rPr>
                <w:sz w:val="20"/>
              </w:rPr>
            </w:pPr>
            <w:r w:rsidRPr="00EC5CD4">
              <w:rPr>
                <w:sz w:val="20"/>
              </w:rPr>
              <w:t>26.59%</w:t>
            </w:r>
          </w:p>
        </w:tc>
        <w:tc>
          <w:tcPr>
            <w:tcW w:w="980" w:type="dxa"/>
            <w:tcBorders>
              <w:top w:val="nil"/>
              <w:left w:val="nil"/>
              <w:bottom w:val="nil"/>
              <w:right w:val="single" w:sz="4" w:space="0" w:color="auto"/>
            </w:tcBorders>
            <w:shd w:val="clear" w:color="auto" w:fill="auto"/>
            <w:noWrap/>
            <w:vAlign w:val="bottom"/>
            <w:hideMark/>
          </w:tcPr>
          <w:p w14:paraId="448E1D88" w14:textId="77777777" w:rsidR="00EC5CD4" w:rsidRPr="00EC5CD4" w:rsidRDefault="00EC5CD4" w:rsidP="00EC5CD4">
            <w:pPr>
              <w:jc w:val="right"/>
              <w:rPr>
                <w:sz w:val="20"/>
              </w:rPr>
            </w:pPr>
            <w:r w:rsidRPr="00EC5CD4">
              <w:rPr>
                <w:sz w:val="20"/>
              </w:rPr>
              <w:t>25.37%</w:t>
            </w:r>
          </w:p>
        </w:tc>
      </w:tr>
      <w:tr w:rsidR="00EC5CD4" w:rsidRPr="00EC5CD4" w14:paraId="3852E0FF"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4897A329"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C5B30EF" w14:textId="77777777" w:rsidR="00EC5CD4" w:rsidRPr="00EC5CD4" w:rsidRDefault="00EC5CD4" w:rsidP="00EC5CD4">
            <w:pPr>
              <w:jc w:val="right"/>
              <w:rPr>
                <w:sz w:val="20"/>
              </w:rPr>
            </w:pPr>
            <w:r w:rsidRPr="00EC5CD4">
              <w:rPr>
                <w:sz w:val="20"/>
              </w:rPr>
              <w:t>1,140,948</w:t>
            </w:r>
          </w:p>
        </w:tc>
        <w:tc>
          <w:tcPr>
            <w:tcW w:w="980" w:type="dxa"/>
            <w:tcBorders>
              <w:top w:val="nil"/>
              <w:left w:val="nil"/>
              <w:bottom w:val="single" w:sz="4" w:space="0" w:color="auto"/>
              <w:right w:val="single" w:sz="4" w:space="0" w:color="auto"/>
            </w:tcBorders>
            <w:shd w:val="clear" w:color="auto" w:fill="auto"/>
            <w:noWrap/>
            <w:vAlign w:val="bottom"/>
            <w:hideMark/>
          </w:tcPr>
          <w:p w14:paraId="5171473F" w14:textId="77777777" w:rsidR="00EC5CD4" w:rsidRPr="00EC5CD4" w:rsidRDefault="00EC5CD4" w:rsidP="00EC5CD4">
            <w:pPr>
              <w:jc w:val="right"/>
              <w:rPr>
                <w:sz w:val="20"/>
              </w:rPr>
            </w:pPr>
            <w:r w:rsidRPr="00EC5CD4">
              <w:rPr>
                <w:sz w:val="20"/>
              </w:rPr>
              <w:t>182,687</w:t>
            </w:r>
          </w:p>
        </w:tc>
        <w:tc>
          <w:tcPr>
            <w:tcW w:w="980" w:type="dxa"/>
            <w:tcBorders>
              <w:top w:val="nil"/>
              <w:left w:val="nil"/>
              <w:bottom w:val="single" w:sz="4" w:space="0" w:color="auto"/>
              <w:right w:val="single" w:sz="4" w:space="0" w:color="auto"/>
            </w:tcBorders>
            <w:shd w:val="clear" w:color="auto" w:fill="auto"/>
            <w:noWrap/>
            <w:vAlign w:val="bottom"/>
            <w:hideMark/>
          </w:tcPr>
          <w:p w14:paraId="01C710A2" w14:textId="77777777" w:rsidR="00EC5CD4" w:rsidRPr="00EC5CD4" w:rsidRDefault="00EC5CD4" w:rsidP="00EC5CD4">
            <w:pPr>
              <w:jc w:val="right"/>
              <w:rPr>
                <w:sz w:val="20"/>
              </w:rPr>
            </w:pPr>
            <w:r w:rsidRPr="00EC5CD4">
              <w:rPr>
                <w:sz w:val="20"/>
              </w:rPr>
              <w:t>97,011</w:t>
            </w:r>
          </w:p>
        </w:tc>
        <w:tc>
          <w:tcPr>
            <w:tcW w:w="980" w:type="dxa"/>
            <w:tcBorders>
              <w:top w:val="nil"/>
              <w:left w:val="nil"/>
              <w:bottom w:val="single" w:sz="4" w:space="0" w:color="auto"/>
              <w:right w:val="single" w:sz="4" w:space="0" w:color="auto"/>
            </w:tcBorders>
            <w:shd w:val="clear" w:color="auto" w:fill="auto"/>
            <w:noWrap/>
            <w:vAlign w:val="bottom"/>
            <w:hideMark/>
          </w:tcPr>
          <w:p w14:paraId="4CD5DB09" w14:textId="77777777" w:rsidR="00EC5CD4" w:rsidRPr="00EC5CD4" w:rsidRDefault="00EC5CD4" w:rsidP="00EC5CD4">
            <w:pPr>
              <w:jc w:val="right"/>
              <w:rPr>
                <w:sz w:val="20"/>
              </w:rPr>
            </w:pPr>
            <w:r w:rsidRPr="00EC5CD4">
              <w:rPr>
                <w:sz w:val="20"/>
              </w:rPr>
              <w:t>83,193</w:t>
            </w:r>
          </w:p>
        </w:tc>
        <w:tc>
          <w:tcPr>
            <w:tcW w:w="980" w:type="dxa"/>
            <w:tcBorders>
              <w:top w:val="nil"/>
              <w:left w:val="nil"/>
              <w:bottom w:val="single" w:sz="4" w:space="0" w:color="auto"/>
              <w:right w:val="single" w:sz="4" w:space="0" w:color="auto"/>
            </w:tcBorders>
            <w:shd w:val="clear" w:color="auto" w:fill="auto"/>
            <w:noWrap/>
            <w:vAlign w:val="bottom"/>
            <w:hideMark/>
          </w:tcPr>
          <w:p w14:paraId="4340CD5A" w14:textId="77777777" w:rsidR="00EC5CD4" w:rsidRPr="00EC5CD4" w:rsidRDefault="00EC5CD4" w:rsidP="00EC5CD4">
            <w:pPr>
              <w:jc w:val="right"/>
              <w:rPr>
                <w:sz w:val="20"/>
              </w:rPr>
            </w:pPr>
            <w:r w:rsidRPr="00EC5CD4">
              <w:rPr>
                <w:sz w:val="20"/>
              </w:rPr>
              <w:t>4,579</w:t>
            </w:r>
          </w:p>
        </w:tc>
        <w:tc>
          <w:tcPr>
            <w:tcW w:w="980" w:type="dxa"/>
            <w:tcBorders>
              <w:top w:val="nil"/>
              <w:left w:val="nil"/>
              <w:bottom w:val="single" w:sz="4" w:space="0" w:color="auto"/>
              <w:right w:val="single" w:sz="4" w:space="0" w:color="auto"/>
            </w:tcBorders>
            <w:shd w:val="clear" w:color="auto" w:fill="auto"/>
            <w:noWrap/>
            <w:vAlign w:val="bottom"/>
            <w:hideMark/>
          </w:tcPr>
          <w:p w14:paraId="2812C173" w14:textId="77777777" w:rsidR="00EC5CD4" w:rsidRPr="00EC5CD4" w:rsidRDefault="00EC5CD4" w:rsidP="00EC5CD4">
            <w:pPr>
              <w:jc w:val="right"/>
              <w:rPr>
                <w:sz w:val="20"/>
              </w:rPr>
            </w:pPr>
            <w:r w:rsidRPr="00EC5CD4">
              <w:rPr>
                <w:sz w:val="20"/>
              </w:rPr>
              <w:t>9,239</w:t>
            </w:r>
          </w:p>
        </w:tc>
        <w:tc>
          <w:tcPr>
            <w:tcW w:w="980" w:type="dxa"/>
            <w:tcBorders>
              <w:top w:val="nil"/>
              <w:left w:val="nil"/>
              <w:bottom w:val="single" w:sz="4" w:space="0" w:color="auto"/>
              <w:right w:val="single" w:sz="4" w:space="0" w:color="auto"/>
            </w:tcBorders>
            <w:shd w:val="clear" w:color="auto" w:fill="auto"/>
            <w:noWrap/>
            <w:vAlign w:val="bottom"/>
            <w:hideMark/>
          </w:tcPr>
          <w:p w14:paraId="729424C0" w14:textId="77777777" w:rsidR="00EC5CD4" w:rsidRPr="00EC5CD4" w:rsidRDefault="00EC5CD4" w:rsidP="00EC5CD4">
            <w:pPr>
              <w:jc w:val="right"/>
              <w:rPr>
                <w:sz w:val="20"/>
              </w:rPr>
            </w:pPr>
            <w:r w:rsidRPr="00EC5CD4">
              <w:rPr>
                <w:sz w:val="20"/>
              </w:rPr>
              <w:t>85,533</w:t>
            </w:r>
          </w:p>
        </w:tc>
      </w:tr>
      <w:tr w:rsidR="00EC5CD4" w:rsidRPr="00EC5CD4" w14:paraId="18B4930C" w14:textId="77777777" w:rsidTr="00BF315B">
        <w:trPr>
          <w:trHeight w:val="1385"/>
        </w:trPr>
        <w:tc>
          <w:tcPr>
            <w:tcW w:w="8980" w:type="dxa"/>
            <w:gridSpan w:val="8"/>
            <w:tcBorders>
              <w:top w:val="single" w:sz="4" w:space="0" w:color="auto"/>
              <w:left w:val="nil"/>
              <w:bottom w:val="nil"/>
              <w:right w:val="nil"/>
            </w:tcBorders>
            <w:shd w:val="clear" w:color="auto" w:fill="auto"/>
            <w:vAlign w:val="bottom"/>
            <w:hideMark/>
          </w:tcPr>
          <w:p w14:paraId="29EE54B6"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r w:rsidRPr="00EC5CD4">
              <w:rPr>
                <w:sz w:val="18"/>
                <w:szCs w:val="18"/>
              </w:rPr>
              <w:br/>
            </w:r>
            <w:r w:rsidRPr="00EC5CD4">
              <w:rPr>
                <w:b/>
                <w:bCs/>
                <w:sz w:val="18"/>
                <w:szCs w:val="18"/>
              </w:rPr>
              <w:t>**</w:t>
            </w:r>
            <w:r w:rsidRPr="00EC5CD4">
              <w:rPr>
                <w:sz w:val="18"/>
                <w:szCs w:val="18"/>
              </w:rPr>
              <w:t xml:space="preserve"> NSDUH did not </w:t>
            </w:r>
            <w:r w:rsidR="00BF315B">
              <w:rPr>
                <w:sz w:val="18"/>
                <w:szCs w:val="18"/>
              </w:rPr>
              <w:t>estimate rates</w:t>
            </w:r>
            <w:r w:rsidRPr="00EC5CD4">
              <w:rPr>
                <w:sz w:val="18"/>
                <w:szCs w:val="18"/>
              </w:rPr>
              <w:t xml:space="preserve"> </w:t>
            </w:r>
            <w:r w:rsidR="00BF315B">
              <w:rPr>
                <w:sz w:val="18"/>
                <w:szCs w:val="18"/>
              </w:rPr>
              <w:t xml:space="preserve">for Jefferson </w:t>
            </w:r>
            <w:r w:rsidRPr="00EC5CD4">
              <w:rPr>
                <w:sz w:val="18"/>
                <w:szCs w:val="18"/>
              </w:rPr>
              <w:t xml:space="preserve">Parish and the Metropolitan District; therefore, the rate for Greater New Orleans is applied to both Jefferson Parish and the Metropolitan District and its constituent parishes. </w:t>
            </w:r>
          </w:p>
          <w:p w14:paraId="5E8E6B3B" w14:textId="14372CAB"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4F580CF1" w14:textId="7FF55CD4" w:rsidR="00EC5CD4" w:rsidRDefault="00EC5CD4" w:rsidP="001549F4"/>
    <w:p w14:paraId="02F724B5" w14:textId="5E47F89D" w:rsidR="00EC5CD4" w:rsidRDefault="00EC5CD4">
      <w:r>
        <w:br w:type="page"/>
      </w:r>
    </w:p>
    <w:p w14:paraId="0A19761C" w14:textId="3ED5B0F0" w:rsidR="00EC5CD4" w:rsidRDefault="00EC5CD4" w:rsidP="00130E39">
      <w:pPr>
        <w:pStyle w:val="ListParagraph"/>
        <w:numPr>
          <w:ilvl w:val="0"/>
          <w:numId w:val="7"/>
        </w:numPr>
      </w:pPr>
      <w:bookmarkStart w:id="14" w:name="_Hlk58488759"/>
      <w:r w:rsidRPr="00EC5CD4">
        <w:lastRenderedPageBreak/>
        <w:t xml:space="preserve">Cigarette Use in the </w:t>
      </w:r>
      <w:r w:rsidRPr="00130E39">
        <w:rPr>
          <w:i/>
          <w:iCs/>
        </w:rPr>
        <w:t>Past Month</w:t>
      </w:r>
    </w:p>
    <w:bookmarkEnd w:id="14"/>
    <w:p w14:paraId="3476FF18" w14:textId="5424FCE8" w:rsidR="00EC5CD4" w:rsidRDefault="00EC5CD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0D4916D0"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38AAD8BA" w14:textId="10F9D3FE" w:rsidR="00EC5CD4" w:rsidRPr="00EC5CD4" w:rsidRDefault="00EC5CD4" w:rsidP="00EC5CD4">
            <w:pPr>
              <w:jc w:val="center"/>
              <w:rPr>
                <w:b/>
                <w:bCs/>
                <w:sz w:val="20"/>
              </w:rPr>
            </w:pPr>
            <w:r w:rsidRPr="00EC5CD4">
              <w:rPr>
                <w:b/>
                <w:bCs/>
                <w:sz w:val="20"/>
              </w:rPr>
              <w:t xml:space="preserve">Cigarette Use in the </w:t>
            </w:r>
            <w:r w:rsidRPr="00EC5CD4">
              <w:rPr>
                <w:b/>
                <w:bCs/>
                <w:i/>
                <w:iCs/>
                <w:sz w:val="20"/>
                <w:u w:val="single"/>
              </w:rPr>
              <w:t>Past Month</w:t>
            </w:r>
            <w:r w:rsidRPr="00EC5CD4">
              <w:rPr>
                <w:b/>
                <w:bCs/>
                <w:sz w:val="20"/>
              </w:rPr>
              <w:t xml:space="preserve"> by Age Group Among Residents of</w:t>
            </w:r>
            <w:r w:rsidRPr="00EC5CD4">
              <w:rPr>
                <w:b/>
                <w:bCs/>
                <w:sz w:val="20"/>
              </w:rPr>
              <w:br/>
              <w:t>Greater New Orleans Parishes and Statewide, 2019*</w:t>
            </w:r>
          </w:p>
        </w:tc>
      </w:tr>
      <w:tr w:rsidR="00EC5CD4" w:rsidRPr="00EC5CD4" w14:paraId="78F49073"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7FCE8BA"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4C790621" w14:textId="25C3CC62"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59ED02AB"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748C3C6D"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42F7076D"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19E4B4BF"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75F6B62F"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14B82F20" w14:textId="77777777" w:rsidR="00EC5CD4" w:rsidRPr="00EC5CD4" w:rsidRDefault="00EC5CD4" w:rsidP="00EC5CD4">
            <w:pPr>
              <w:jc w:val="center"/>
              <w:rPr>
                <w:sz w:val="20"/>
              </w:rPr>
            </w:pPr>
            <w:r w:rsidRPr="00EC5CD4">
              <w:rPr>
                <w:sz w:val="20"/>
              </w:rPr>
              <w:t>Jefferson Parish HSA</w:t>
            </w:r>
          </w:p>
        </w:tc>
      </w:tr>
      <w:tr w:rsidR="00EC5CD4" w:rsidRPr="00EC5CD4" w14:paraId="040388EB"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95683F6"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67115BB1"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1FF781A6"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53589CE"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21F48F23"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3E23E963"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02BD533C"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342ED73A" w14:textId="77777777" w:rsidR="00EC5CD4" w:rsidRPr="00EC5CD4" w:rsidRDefault="00EC5CD4" w:rsidP="00EC5CD4">
            <w:pPr>
              <w:rPr>
                <w:sz w:val="20"/>
              </w:rPr>
            </w:pPr>
            <w:r w:rsidRPr="00EC5CD4">
              <w:rPr>
                <w:sz w:val="20"/>
              </w:rPr>
              <w:t> </w:t>
            </w:r>
          </w:p>
        </w:tc>
      </w:tr>
      <w:tr w:rsidR="00EC5CD4" w:rsidRPr="00EC5CD4" w14:paraId="414D2765"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6A8565F"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3063A6D"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30FC3F1D"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580E1B5E"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303CCB34"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274C4C81"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351FB6B3"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1CB0AF98" w14:textId="77777777" w:rsidR="00EC5CD4" w:rsidRPr="00EC5CD4" w:rsidRDefault="00EC5CD4" w:rsidP="00EC5CD4">
            <w:pPr>
              <w:jc w:val="right"/>
              <w:rPr>
                <w:sz w:val="20"/>
              </w:rPr>
            </w:pPr>
            <w:r w:rsidRPr="00EC5CD4">
              <w:rPr>
                <w:sz w:val="20"/>
              </w:rPr>
              <w:t>30,385</w:t>
            </w:r>
          </w:p>
        </w:tc>
      </w:tr>
      <w:tr w:rsidR="00EC5CD4" w:rsidRPr="00EC5CD4" w14:paraId="22EAEEA4"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47ED2AFA" w14:textId="623877BB" w:rsidR="00EC5CD4" w:rsidRPr="00EC5CD4" w:rsidRDefault="00EC5CD4" w:rsidP="00EC5CD4">
            <w:pPr>
              <w:rPr>
                <w:sz w:val="20"/>
              </w:rPr>
            </w:pPr>
            <w:r w:rsidRPr="00EC5CD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70969820" w14:textId="77777777" w:rsidR="00EC5CD4" w:rsidRPr="00EC5CD4" w:rsidRDefault="00EC5CD4" w:rsidP="00EC5CD4">
            <w:pPr>
              <w:jc w:val="right"/>
              <w:rPr>
                <w:sz w:val="20"/>
              </w:rPr>
            </w:pPr>
            <w:r w:rsidRPr="00EC5CD4">
              <w:rPr>
                <w:sz w:val="20"/>
              </w:rPr>
              <w:t>3.98%</w:t>
            </w:r>
          </w:p>
        </w:tc>
        <w:tc>
          <w:tcPr>
            <w:tcW w:w="980" w:type="dxa"/>
            <w:tcBorders>
              <w:top w:val="nil"/>
              <w:left w:val="nil"/>
              <w:bottom w:val="nil"/>
              <w:right w:val="single" w:sz="4" w:space="0" w:color="auto"/>
            </w:tcBorders>
            <w:shd w:val="clear" w:color="auto" w:fill="auto"/>
            <w:noWrap/>
            <w:vAlign w:val="bottom"/>
            <w:hideMark/>
          </w:tcPr>
          <w:p w14:paraId="5C5705A0" w14:textId="77777777" w:rsidR="00EC5CD4" w:rsidRPr="00EC5CD4" w:rsidRDefault="00EC5CD4" w:rsidP="00EC5CD4">
            <w:pPr>
              <w:jc w:val="right"/>
              <w:rPr>
                <w:sz w:val="20"/>
              </w:rPr>
            </w:pPr>
            <w:r w:rsidRPr="00EC5CD4">
              <w:rPr>
                <w:sz w:val="20"/>
              </w:rPr>
              <w:t>2.38%</w:t>
            </w:r>
          </w:p>
        </w:tc>
        <w:tc>
          <w:tcPr>
            <w:tcW w:w="980" w:type="dxa"/>
            <w:tcBorders>
              <w:top w:val="nil"/>
              <w:left w:val="nil"/>
              <w:bottom w:val="nil"/>
              <w:right w:val="single" w:sz="4" w:space="0" w:color="auto"/>
            </w:tcBorders>
            <w:shd w:val="clear" w:color="auto" w:fill="auto"/>
            <w:noWrap/>
            <w:vAlign w:val="bottom"/>
            <w:hideMark/>
          </w:tcPr>
          <w:p w14:paraId="117FAAA9" w14:textId="77777777" w:rsidR="00EC5CD4" w:rsidRPr="00EC5CD4" w:rsidRDefault="00EC5CD4" w:rsidP="00EC5CD4">
            <w:pPr>
              <w:jc w:val="right"/>
              <w:rPr>
                <w:sz w:val="20"/>
              </w:rPr>
            </w:pPr>
            <w:r w:rsidRPr="00EC5CD4">
              <w:rPr>
                <w:sz w:val="20"/>
              </w:rPr>
              <w:t>2.43%</w:t>
            </w:r>
          </w:p>
        </w:tc>
        <w:tc>
          <w:tcPr>
            <w:tcW w:w="980" w:type="dxa"/>
            <w:tcBorders>
              <w:top w:val="nil"/>
              <w:left w:val="nil"/>
              <w:bottom w:val="nil"/>
              <w:right w:val="nil"/>
            </w:tcBorders>
            <w:shd w:val="clear" w:color="auto" w:fill="auto"/>
            <w:noWrap/>
            <w:vAlign w:val="bottom"/>
            <w:hideMark/>
          </w:tcPr>
          <w:p w14:paraId="69C2DF92" w14:textId="77777777" w:rsidR="00EC5CD4" w:rsidRPr="00EC5CD4" w:rsidRDefault="00EC5CD4" w:rsidP="00EC5CD4">
            <w:pPr>
              <w:jc w:val="right"/>
              <w:rPr>
                <w:sz w:val="20"/>
              </w:rPr>
            </w:pPr>
            <w:r w:rsidRPr="00EC5CD4">
              <w:rPr>
                <w:sz w:val="20"/>
              </w:rPr>
              <w:t>2.43%</w:t>
            </w:r>
          </w:p>
        </w:tc>
        <w:tc>
          <w:tcPr>
            <w:tcW w:w="980" w:type="dxa"/>
            <w:tcBorders>
              <w:top w:val="nil"/>
              <w:left w:val="single" w:sz="4" w:space="0" w:color="auto"/>
              <w:bottom w:val="nil"/>
              <w:right w:val="single" w:sz="4" w:space="0" w:color="auto"/>
            </w:tcBorders>
            <w:shd w:val="clear" w:color="auto" w:fill="auto"/>
            <w:noWrap/>
            <w:vAlign w:val="bottom"/>
            <w:hideMark/>
          </w:tcPr>
          <w:p w14:paraId="7407DD7F" w14:textId="77777777" w:rsidR="00EC5CD4" w:rsidRPr="00EC5CD4" w:rsidRDefault="00EC5CD4" w:rsidP="00EC5CD4">
            <w:pPr>
              <w:jc w:val="right"/>
              <w:rPr>
                <w:sz w:val="20"/>
              </w:rPr>
            </w:pPr>
            <w:r w:rsidRPr="00EC5CD4">
              <w:rPr>
                <w:sz w:val="20"/>
              </w:rPr>
              <w:t>2.43%</w:t>
            </w:r>
          </w:p>
        </w:tc>
        <w:tc>
          <w:tcPr>
            <w:tcW w:w="980" w:type="dxa"/>
            <w:tcBorders>
              <w:top w:val="nil"/>
              <w:left w:val="nil"/>
              <w:bottom w:val="nil"/>
              <w:right w:val="single" w:sz="4" w:space="0" w:color="auto"/>
            </w:tcBorders>
            <w:shd w:val="clear" w:color="auto" w:fill="auto"/>
            <w:noWrap/>
            <w:vAlign w:val="bottom"/>
            <w:hideMark/>
          </w:tcPr>
          <w:p w14:paraId="6CC93BD5" w14:textId="77777777" w:rsidR="00EC5CD4" w:rsidRPr="00EC5CD4" w:rsidRDefault="00EC5CD4" w:rsidP="00EC5CD4">
            <w:pPr>
              <w:jc w:val="right"/>
              <w:rPr>
                <w:sz w:val="20"/>
              </w:rPr>
            </w:pPr>
            <w:r w:rsidRPr="00EC5CD4">
              <w:rPr>
                <w:sz w:val="20"/>
              </w:rPr>
              <w:t>2.43%</w:t>
            </w:r>
          </w:p>
        </w:tc>
        <w:tc>
          <w:tcPr>
            <w:tcW w:w="980" w:type="dxa"/>
            <w:tcBorders>
              <w:top w:val="nil"/>
              <w:left w:val="nil"/>
              <w:bottom w:val="nil"/>
              <w:right w:val="single" w:sz="4" w:space="0" w:color="auto"/>
            </w:tcBorders>
            <w:shd w:val="clear" w:color="auto" w:fill="auto"/>
            <w:noWrap/>
            <w:vAlign w:val="bottom"/>
            <w:hideMark/>
          </w:tcPr>
          <w:p w14:paraId="7F094D64" w14:textId="77777777" w:rsidR="00EC5CD4" w:rsidRPr="00EC5CD4" w:rsidRDefault="00EC5CD4" w:rsidP="00EC5CD4">
            <w:pPr>
              <w:jc w:val="right"/>
              <w:rPr>
                <w:sz w:val="20"/>
              </w:rPr>
            </w:pPr>
            <w:r w:rsidRPr="00EC5CD4">
              <w:rPr>
                <w:sz w:val="20"/>
              </w:rPr>
              <w:t>2.33%</w:t>
            </w:r>
          </w:p>
        </w:tc>
      </w:tr>
      <w:tr w:rsidR="00EC5CD4" w:rsidRPr="00EC5CD4" w14:paraId="5475B354"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29D1C00D"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EC18E95" w14:textId="77777777" w:rsidR="00EC5CD4" w:rsidRPr="00EC5CD4" w:rsidRDefault="00EC5CD4" w:rsidP="00EC5CD4">
            <w:pPr>
              <w:jc w:val="right"/>
              <w:rPr>
                <w:sz w:val="20"/>
              </w:rPr>
            </w:pPr>
            <w:r w:rsidRPr="00EC5CD4">
              <w:rPr>
                <w:sz w:val="20"/>
              </w:rPr>
              <w:t>14,368</w:t>
            </w:r>
          </w:p>
        </w:tc>
        <w:tc>
          <w:tcPr>
            <w:tcW w:w="980" w:type="dxa"/>
            <w:tcBorders>
              <w:top w:val="nil"/>
              <w:left w:val="nil"/>
              <w:bottom w:val="single" w:sz="4" w:space="0" w:color="auto"/>
              <w:right w:val="single" w:sz="4" w:space="0" w:color="auto"/>
            </w:tcBorders>
            <w:shd w:val="clear" w:color="auto" w:fill="auto"/>
            <w:noWrap/>
            <w:vAlign w:val="bottom"/>
            <w:hideMark/>
          </w:tcPr>
          <w:p w14:paraId="1287DE7F" w14:textId="77777777" w:rsidR="00EC5CD4" w:rsidRPr="00EC5CD4" w:rsidRDefault="00EC5CD4" w:rsidP="00EC5CD4">
            <w:pPr>
              <w:jc w:val="right"/>
              <w:rPr>
                <w:sz w:val="20"/>
              </w:rPr>
            </w:pPr>
            <w:r w:rsidRPr="00EC5CD4">
              <w:rPr>
                <w:sz w:val="20"/>
              </w:rPr>
              <w:t>1,459</w:t>
            </w:r>
          </w:p>
        </w:tc>
        <w:tc>
          <w:tcPr>
            <w:tcW w:w="980" w:type="dxa"/>
            <w:tcBorders>
              <w:top w:val="nil"/>
              <w:left w:val="nil"/>
              <w:bottom w:val="single" w:sz="4" w:space="0" w:color="auto"/>
              <w:right w:val="single" w:sz="4" w:space="0" w:color="auto"/>
            </w:tcBorders>
            <w:shd w:val="clear" w:color="auto" w:fill="auto"/>
            <w:noWrap/>
            <w:vAlign w:val="bottom"/>
            <w:hideMark/>
          </w:tcPr>
          <w:p w14:paraId="016F6510" w14:textId="77777777" w:rsidR="00EC5CD4" w:rsidRPr="00EC5CD4" w:rsidRDefault="00EC5CD4" w:rsidP="00EC5CD4">
            <w:pPr>
              <w:jc w:val="right"/>
              <w:rPr>
                <w:sz w:val="20"/>
              </w:rPr>
            </w:pPr>
            <w:r w:rsidRPr="00EC5CD4">
              <w:rPr>
                <w:sz w:val="20"/>
              </w:rPr>
              <w:t>749</w:t>
            </w:r>
          </w:p>
        </w:tc>
        <w:tc>
          <w:tcPr>
            <w:tcW w:w="980" w:type="dxa"/>
            <w:tcBorders>
              <w:top w:val="nil"/>
              <w:left w:val="nil"/>
              <w:bottom w:val="single" w:sz="4" w:space="0" w:color="auto"/>
              <w:right w:val="single" w:sz="4" w:space="0" w:color="auto"/>
            </w:tcBorders>
            <w:shd w:val="clear" w:color="auto" w:fill="auto"/>
            <w:noWrap/>
            <w:vAlign w:val="bottom"/>
            <w:hideMark/>
          </w:tcPr>
          <w:p w14:paraId="2984CFC2" w14:textId="77777777" w:rsidR="00EC5CD4" w:rsidRPr="00EC5CD4" w:rsidRDefault="00EC5CD4" w:rsidP="00EC5CD4">
            <w:pPr>
              <w:jc w:val="right"/>
              <w:rPr>
                <w:sz w:val="20"/>
              </w:rPr>
            </w:pPr>
            <w:r w:rsidRPr="00EC5CD4">
              <w:rPr>
                <w:sz w:val="20"/>
              </w:rPr>
              <w:t>600</w:t>
            </w:r>
          </w:p>
        </w:tc>
        <w:tc>
          <w:tcPr>
            <w:tcW w:w="980" w:type="dxa"/>
            <w:tcBorders>
              <w:top w:val="nil"/>
              <w:left w:val="nil"/>
              <w:bottom w:val="single" w:sz="4" w:space="0" w:color="auto"/>
              <w:right w:val="single" w:sz="4" w:space="0" w:color="auto"/>
            </w:tcBorders>
            <w:shd w:val="clear" w:color="auto" w:fill="auto"/>
            <w:noWrap/>
            <w:vAlign w:val="bottom"/>
            <w:hideMark/>
          </w:tcPr>
          <w:p w14:paraId="6723211D" w14:textId="77777777" w:rsidR="00EC5CD4" w:rsidRPr="00EC5CD4" w:rsidRDefault="00EC5CD4" w:rsidP="00EC5CD4">
            <w:pPr>
              <w:jc w:val="right"/>
              <w:rPr>
                <w:sz w:val="20"/>
              </w:rPr>
            </w:pPr>
            <w:r w:rsidRPr="00EC5CD4">
              <w:rPr>
                <w:sz w:val="20"/>
              </w:rPr>
              <w:t>51</w:t>
            </w:r>
          </w:p>
        </w:tc>
        <w:tc>
          <w:tcPr>
            <w:tcW w:w="980" w:type="dxa"/>
            <w:tcBorders>
              <w:top w:val="nil"/>
              <w:left w:val="nil"/>
              <w:bottom w:val="single" w:sz="4" w:space="0" w:color="auto"/>
              <w:right w:val="single" w:sz="4" w:space="0" w:color="auto"/>
            </w:tcBorders>
            <w:shd w:val="clear" w:color="auto" w:fill="auto"/>
            <w:noWrap/>
            <w:vAlign w:val="bottom"/>
            <w:hideMark/>
          </w:tcPr>
          <w:p w14:paraId="49BA407F" w14:textId="77777777" w:rsidR="00EC5CD4" w:rsidRPr="00EC5CD4" w:rsidRDefault="00EC5CD4" w:rsidP="00EC5CD4">
            <w:pPr>
              <w:jc w:val="right"/>
              <w:rPr>
                <w:sz w:val="20"/>
              </w:rPr>
            </w:pPr>
            <w:r w:rsidRPr="00EC5CD4">
              <w:rPr>
                <w:sz w:val="20"/>
              </w:rPr>
              <w:t>98</w:t>
            </w:r>
          </w:p>
        </w:tc>
        <w:tc>
          <w:tcPr>
            <w:tcW w:w="980" w:type="dxa"/>
            <w:tcBorders>
              <w:top w:val="nil"/>
              <w:left w:val="nil"/>
              <w:bottom w:val="single" w:sz="4" w:space="0" w:color="auto"/>
              <w:right w:val="single" w:sz="4" w:space="0" w:color="auto"/>
            </w:tcBorders>
            <w:shd w:val="clear" w:color="auto" w:fill="auto"/>
            <w:noWrap/>
            <w:vAlign w:val="bottom"/>
            <w:hideMark/>
          </w:tcPr>
          <w:p w14:paraId="094919F6" w14:textId="77777777" w:rsidR="00EC5CD4" w:rsidRPr="00EC5CD4" w:rsidRDefault="00EC5CD4" w:rsidP="00EC5CD4">
            <w:pPr>
              <w:jc w:val="right"/>
              <w:rPr>
                <w:sz w:val="20"/>
              </w:rPr>
            </w:pPr>
            <w:r w:rsidRPr="00EC5CD4">
              <w:rPr>
                <w:sz w:val="20"/>
              </w:rPr>
              <w:t>709</w:t>
            </w:r>
          </w:p>
        </w:tc>
      </w:tr>
      <w:tr w:rsidR="00EC5CD4" w:rsidRPr="00EC5CD4" w14:paraId="0BBB5F05"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426D89DD"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7F4EAFC9"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08BA9D52"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A320A75"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6CC82921"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5DED64A"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60CFC619"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1DEF9888" w14:textId="77777777" w:rsidR="00EC5CD4" w:rsidRPr="00EC5CD4" w:rsidRDefault="00EC5CD4" w:rsidP="00EC5CD4">
            <w:pPr>
              <w:rPr>
                <w:sz w:val="20"/>
              </w:rPr>
            </w:pPr>
            <w:r w:rsidRPr="00EC5CD4">
              <w:rPr>
                <w:sz w:val="20"/>
              </w:rPr>
              <w:t> </w:t>
            </w:r>
          </w:p>
        </w:tc>
      </w:tr>
      <w:tr w:rsidR="00EC5CD4" w:rsidRPr="00EC5CD4" w14:paraId="53D7317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E38EC7A"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8D4DDDC"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79501D15"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11789881"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5A7F59AA"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629FAF90"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231F1B3B"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7B6459D5" w14:textId="77777777" w:rsidR="00EC5CD4" w:rsidRPr="00EC5CD4" w:rsidRDefault="00EC5CD4" w:rsidP="00EC5CD4">
            <w:pPr>
              <w:jc w:val="right"/>
              <w:rPr>
                <w:sz w:val="20"/>
              </w:rPr>
            </w:pPr>
            <w:r w:rsidRPr="00EC5CD4">
              <w:rPr>
                <w:sz w:val="20"/>
              </w:rPr>
              <w:t>37,617</w:t>
            </w:r>
          </w:p>
        </w:tc>
      </w:tr>
      <w:tr w:rsidR="00EC5CD4" w:rsidRPr="00EC5CD4" w14:paraId="479D296F"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190C001" w14:textId="77777777" w:rsidR="00EC5CD4" w:rsidRPr="00EC5CD4" w:rsidRDefault="00EC5CD4" w:rsidP="00EC5CD4">
            <w:pPr>
              <w:rPr>
                <w:sz w:val="20"/>
              </w:rPr>
            </w:pPr>
            <w:r w:rsidRPr="00EC5CD4">
              <w:rPr>
                <w:sz w:val="20"/>
              </w:rPr>
              <w:t xml:space="preserve">    Rate (%) </w:t>
            </w:r>
            <w:r w:rsidRPr="00EC5CD4">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292294D2" w14:textId="77777777" w:rsidR="00EC5CD4" w:rsidRPr="00EC5CD4" w:rsidRDefault="00EC5CD4" w:rsidP="00EC5CD4">
            <w:pPr>
              <w:jc w:val="right"/>
              <w:rPr>
                <w:sz w:val="20"/>
              </w:rPr>
            </w:pPr>
            <w:r w:rsidRPr="00EC5CD4">
              <w:rPr>
                <w:sz w:val="20"/>
              </w:rPr>
              <w:t>26.22%</w:t>
            </w:r>
          </w:p>
        </w:tc>
        <w:tc>
          <w:tcPr>
            <w:tcW w:w="980" w:type="dxa"/>
            <w:tcBorders>
              <w:top w:val="nil"/>
              <w:left w:val="nil"/>
              <w:bottom w:val="nil"/>
              <w:right w:val="single" w:sz="4" w:space="0" w:color="auto"/>
            </w:tcBorders>
            <w:shd w:val="clear" w:color="auto" w:fill="auto"/>
            <w:noWrap/>
            <w:vAlign w:val="bottom"/>
            <w:hideMark/>
          </w:tcPr>
          <w:p w14:paraId="2EB40772" w14:textId="77777777" w:rsidR="00EC5CD4" w:rsidRPr="00EC5CD4" w:rsidRDefault="00EC5CD4" w:rsidP="00EC5CD4">
            <w:pPr>
              <w:jc w:val="right"/>
              <w:rPr>
                <w:sz w:val="20"/>
              </w:rPr>
            </w:pPr>
            <w:r w:rsidRPr="00EC5CD4">
              <w:rPr>
                <w:sz w:val="20"/>
              </w:rPr>
              <w:t>21.70%</w:t>
            </w:r>
          </w:p>
        </w:tc>
        <w:tc>
          <w:tcPr>
            <w:tcW w:w="980" w:type="dxa"/>
            <w:tcBorders>
              <w:top w:val="nil"/>
              <w:left w:val="nil"/>
              <w:bottom w:val="nil"/>
              <w:right w:val="single" w:sz="4" w:space="0" w:color="auto"/>
            </w:tcBorders>
            <w:shd w:val="clear" w:color="000000" w:fill="FFD85B"/>
            <w:noWrap/>
            <w:vAlign w:val="bottom"/>
            <w:hideMark/>
          </w:tcPr>
          <w:p w14:paraId="4B8E6682" w14:textId="77777777" w:rsidR="00EC5CD4" w:rsidRPr="00EC5CD4" w:rsidRDefault="00EC5CD4" w:rsidP="00EC5CD4">
            <w:pPr>
              <w:jc w:val="right"/>
              <w:rPr>
                <w:sz w:val="20"/>
              </w:rPr>
            </w:pPr>
            <w:r w:rsidRPr="00EC5CD4">
              <w:rPr>
                <w:sz w:val="20"/>
              </w:rPr>
              <w:t>21.70%</w:t>
            </w:r>
          </w:p>
        </w:tc>
        <w:tc>
          <w:tcPr>
            <w:tcW w:w="980" w:type="dxa"/>
            <w:tcBorders>
              <w:top w:val="nil"/>
              <w:left w:val="nil"/>
              <w:bottom w:val="nil"/>
              <w:right w:val="nil"/>
            </w:tcBorders>
            <w:shd w:val="clear" w:color="000000" w:fill="FFD85B"/>
            <w:noWrap/>
            <w:vAlign w:val="bottom"/>
            <w:hideMark/>
          </w:tcPr>
          <w:p w14:paraId="30FF735D" w14:textId="77777777" w:rsidR="00EC5CD4" w:rsidRPr="00EC5CD4" w:rsidRDefault="00EC5CD4" w:rsidP="00EC5CD4">
            <w:pPr>
              <w:jc w:val="right"/>
              <w:rPr>
                <w:sz w:val="20"/>
              </w:rPr>
            </w:pPr>
            <w:r w:rsidRPr="00EC5CD4">
              <w:rPr>
                <w:sz w:val="20"/>
              </w:rPr>
              <w:t>21.70%</w:t>
            </w:r>
          </w:p>
        </w:tc>
        <w:tc>
          <w:tcPr>
            <w:tcW w:w="980" w:type="dxa"/>
            <w:tcBorders>
              <w:top w:val="nil"/>
              <w:left w:val="single" w:sz="4" w:space="0" w:color="auto"/>
              <w:bottom w:val="nil"/>
              <w:right w:val="single" w:sz="4" w:space="0" w:color="auto"/>
            </w:tcBorders>
            <w:shd w:val="clear" w:color="000000" w:fill="FFD85B"/>
            <w:noWrap/>
            <w:vAlign w:val="bottom"/>
            <w:hideMark/>
          </w:tcPr>
          <w:p w14:paraId="52F988C2" w14:textId="77777777" w:rsidR="00EC5CD4" w:rsidRPr="00EC5CD4" w:rsidRDefault="00EC5CD4" w:rsidP="00EC5CD4">
            <w:pPr>
              <w:jc w:val="right"/>
              <w:rPr>
                <w:sz w:val="20"/>
              </w:rPr>
            </w:pPr>
            <w:r w:rsidRPr="00EC5CD4">
              <w:rPr>
                <w:sz w:val="20"/>
              </w:rPr>
              <w:t>21.70%</w:t>
            </w:r>
          </w:p>
        </w:tc>
        <w:tc>
          <w:tcPr>
            <w:tcW w:w="980" w:type="dxa"/>
            <w:tcBorders>
              <w:top w:val="nil"/>
              <w:left w:val="nil"/>
              <w:bottom w:val="nil"/>
              <w:right w:val="single" w:sz="4" w:space="0" w:color="auto"/>
            </w:tcBorders>
            <w:shd w:val="clear" w:color="000000" w:fill="FFD85B"/>
            <w:noWrap/>
            <w:vAlign w:val="bottom"/>
            <w:hideMark/>
          </w:tcPr>
          <w:p w14:paraId="4A004960" w14:textId="77777777" w:rsidR="00EC5CD4" w:rsidRPr="00EC5CD4" w:rsidRDefault="00EC5CD4" w:rsidP="00EC5CD4">
            <w:pPr>
              <w:jc w:val="right"/>
              <w:rPr>
                <w:sz w:val="20"/>
              </w:rPr>
            </w:pPr>
            <w:r w:rsidRPr="00EC5CD4">
              <w:rPr>
                <w:sz w:val="20"/>
              </w:rPr>
              <w:t>21.70%</w:t>
            </w:r>
          </w:p>
        </w:tc>
        <w:tc>
          <w:tcPr>
            <w:tcW w:w="980" w:type="dxa"/>
            <w:tcBorders>
              <w:top w:val="nil"/>
              <w:left w:val="nil"/>
              <w:bottom w:val="nil"/>
              <w:right w:val="single" w:sz="4" w:space="0" w:color="auto"/>
            </w:tcBorders>
            <w:shd w:val="clear" w:color="000000" w:fill="FFD85B"/>
            <w:noWrap/>
            <w:vAlign w:val="bottom"/>
            <w:hideMark/>
          </w:tcPr>
          <w:p w14:paraId="080BCBFC" w14:textId="77777777" w:rsidR="00EC5CD4" w:rsidRPr="00EC5CD4" w:rsidRDefault="00EC5CD4" w:rsidP="00EC5CD4">
            <w:pPr>
              <w:jc w:val="right"/>
              <w:rPr>
                <w:sz w:val="20"/>
              </w:rPr>
            </w:pPr>
            <w:r w:rsidRPr="00EC5CD4">
              <w:rPr>
                <w:sz w:val="20"/>
              </w:rPr>
              <w:t>21.70%</w:t>
            </w:r>
          </w:p>
        </w:tc>
      </w:tr>
      <w:tr w:rsidR="00EC5CD4" w:rsidRPr="00EC5CD4" w14:paraId="1D90B5D7"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34B6B93"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F6AE7F4" w14:textId="77777777" w:rsidR="00EC5CD4" w:rsidRPr="00EC5CD4" w:rsidRDefault="00EC5CD4" w:rsidP="00EC5CD4">
            <w:pPr>
              <w:jc w:val="right"/>
              <w:rPr>
                <w:sz w:val="20"/>
              </w:rPr>
            </w:pPr>
            <w:r w:rsidRPr="00EC5CD4">
              <w:rPr>
                <w:sz w:val="20"/>
              </w:rPr>
              <w:t>126,835</w:t>
            </w:r>
          </w:p>
        </w:tc>
        <w:tc>
          <w:tcPr>
            <w:tcW w:w="980" w:type="dxa"/>
            <w:tcBorders>
              <w:top w:val="nil"/>
              <w:left w:val="nil"/>
              <w:bottom w:val="single" w:sz="4" w:space="0" w:color="auto"/>
              <w:right w:val="single" w:sz="4" w:space="0" w:color="auto"/>
            </w:tcBorders>
            <w:shd w:val="clear" w:color="auto" w:fill="auto"/>
            <w:noWrap/>
            <w:vAlign w:val="bottom"/>
            <w:hideMark/>
          </w:tcPr>
          <w:p w14:paraId="335157BB" w14:textId="77777777" w:rsidR="00EC5CD4" w:rsidRPr="00EC5CD4" w:rsidRDefault="00EC5CD4" w:rsidP="00EC5CD4">
            <w:pPr>
              <w:jc w:val="right"/>
              <w:rPr>
                <w:sz w:val="20"/>
              </w:rPr>
            </w:pPr>
            <w:r w:rsidRPr="00EC5CD4">
              <w:rPr>
                <w:sz w:val="20"/>
              </w:rPr>
              <w:t>17,886</w:t>
            </w:r>
          </w:p>
        </w:tc>
        <w:tc>
          <w:tcPr>
            <w:tcW w:w="980" w:type="dxa"/>
            <w:tcBorders>
              <w:top w:val="nil"/>
              <w:left w:val="nil"/>
              <w:bottom w:val="single" w:sz="4" w:space="0" w:color="auto"/>
              <w:right w:val="single" w:sz="4" w:space="0" w:color="auto"/>
            </w:tcBorders>
            <w:shd w:val="clear" w:color="000000" w:fill="FFD85B"/>
            <w:noWrap/>
            <w:vAlign w:val="bottom"/>
            <w:hideMark/>
          </w:tcPr>
          <w:p w14:paraId="529F5D7A" w14:textId="77777777" w:rsidR="00EC5CD4" w:rsidRPr="00EC5CD4" w:rsidRDefault="00EC5CD4" w:rsidP="00EC5CD4">
            <w:pPr>
              <w:jc w:val="right"/>
              <w:rPr>
                <w:sz w:val="20"/>
              </w:rPr>
            </w:pPr>
            <w:r w:rsidRPr="00EC5CD4">
              <w:rPr>
                <w:sz w:val="20"/>
              </w:rPr>
              <w:t>9,721</w:t>
            </w:r>
          </w:p>
        </w:tc>
        <w:tc>
          <w:tcPr>
            <w:tcW w:w="980" w:type="dxa"/>
            <w:tcBorders>
              <w:top w:val="nil"/>
              <w:left w:val="nil"/>
              <w:bottom w:val="single" w:sz="4" w:space="0" w:color="auto"/>
              <w:right w:val="single" w:sz="4" w:space="0" w:color="auto"/>
            </w:tcBorders>
            <w:shd w:val="clear" w:color="000000" w:fill="FFD85B"/>
            <w:noWrap/>
            <w:vAlign w:val="bottom"/>
            <w:hideMark/>
          </w:tcPr>
          <w:p w14:paraId="46D1E22B" w14:textId="77777777" w:rsidR="00EC5CD4" w:rsidRPr="00EC5CD4" w:rsidRDefault="00EC5CD4" w:rsidP="00EC5CD4">
            <w:pPr>
              <w:jc w:val="right"/>
              <w:rPr>
                <w:sz w:val="20"/>
              </w:rPr>
            </w:pPr>
            <w:r w:rsidRPr="00EC5CD4">
              <w:rPr>
                <w:sz w:val="20"/>
              </w:rPr>
              <w:t>8,333</w:t>
            </w:r>
          </w:p>
        </w:tc>
        <w:tc>
          <w:tcPr>
            <w:tcW w:w="980" w:type="dxa"/>
            <w:tcBorders>
              <w:top w:val="nil"/>
              <w:left w:val="nil"/>
              <w:bottom w:val="single" w:sz="4" w:space="0" w:color="auto"/>
              <w:right w:val="single" w:sz="4" w:space="0" w:color="auto"/>
            </w:tcBorders>
            <w:shd w:val="clear" w:color="000000" w:fill="FFD85B"/>
            <w:noWrap/>
            <w:vAlign w:val="bottom"/>
            <w:hideMark/>
          </w:tcPr>
          <w:p w14:paraId="7CDE6515" w14:textId="77777777" w:rsidR="00EC5CD4" w:rsidRPr="00EC5CD4" w:rsidRDefault="00EC5CD4" w:rsidP="00EC5CD4">
            <w:pPr>
              <w:jc w:val="right"/>
              <w:rPr>
                <w:sz w:val="20"/>
              </w:rPr>
            </w:pPr>
            <w:r w:rsidRPr="00EC5CD4">
              <w:rPr>
                <w:sz w:val="20"/>
              </w:rPr>
              <w:t>492</w:t>
            </w:r>
          </w:p>
        </w:tc>
        <w:tc>
          <w:tcPr>
            <w:tcW w:w="980" w:type="dxa"/>
            <w:tcBorders>
              <w:top w:val="nil"/>
              <w:left w:val="nil"/>
              <w:bottom w:val="single" w:sz="4" w:space="0" w:color="auto"/>
              <w:right w:val="single" w:sz="4" w:space="0" w:color="auto"/>
            </w:tcBorders>
            <w:shd w:val="clear" w:color="000000" w:fill="FFD85B"/>
            <w:noWrap/>
            <w:vAlign w:val="bottom"/>
            <w:hideMark/>
          </w:tcPr>
          <w:p w14:paraId="7AD8D22F" w14:textId="77777777" w:rsidR="00EC5CD4" w:rsidRPr="00EC5CD4" w:rsidRDefault="00EC5CD4" w:rsidP="00EC5CD4">
            <w:pPr>
              <w:jc w:val="right"/>
              <w:rPr>
                <w:sz w:val="20"/>
              </w:rPr>
            </w:pPr>
            <w:r w:rsidRPr="00EC5CD4">
              <w:rPr>
                <w:sz w:val="20"/>
              </w:rPr>
              <w:t>897</w:t>
            </w:r>
          </w:p>
        </w:tc>
        <w:tc>
          <w:tcPr>
            <w:tcW w:w="980" w:type="dxa"/>
            <w:tcBorders>
              <w:top w:val="nil"/>
              <w:left w:val="nil"/>
              <w:bottom w:val="single" w:sz="4" w:space="0" w:color="auto"/>
              <w:right w:val="single" w:sz="4" w:space="0" w:color="auto"/>
            </w:tcBorders>
            <w:shd w:val="clear" w:color="000000" w:fill="FFD85B"/>
            <w:noWrap/>
            <w:vAlign w:val="bottom"/>
            <w:hideMark/>
          </w:tcPr>
          <w:p w14:paraId="6B044324" w14:textId="77777777" w:rsidR="00EC5CD4" w:rsidRPr="00EC5CD4" w:rsidRDefault="00EC5CD4" w:rsidP="00EC5CD4">
            <w:pPr>
              <w:jc w:val="right"/>
              <w:rPr>
                <w:sz w:val="20"/>
              </w:rPr>
            </w:pPr>
            <w:r w:rsidRPr="00EC5CD4">
              <w:rPr>
                <w:sz w:val="20"/>
              </w:rPr>
              <w:t>8,165</w:t>
            </w:r>
          </w:p>
        </w:tc>
      </w:tr>
      <w:tr w:rsidR="00EC5CD4" w:rsidRPr="00EC5CD4" w14:paraId="6F3338BE"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539CB306" w14:textId="1083F709" w:rsidR="00EC5CD4" w:rsidRPr="00EC5CD4" w:rsidRDefault="00EC5CD4" w:rsidP="00EC5CD4">
            <w:pPr>
              <w:rPr>
                <w:sz w:val="20"/>
              </w:rPr>
            </w:pPr>
            <w:r w:rsidRPr="00EC5CD4">
              <w:rPr>
                <w:sz w:val="20"/>
              </w:rPr>
              <w:t xml:space="preserve">Older Adults </w:t>
            </w:r>
            <w:r w:rsidR="00240C80">
              <w:rPr>
                <w:sz w:val="20"/>
              </w:rPr>
              <w:t>26+</w:t>
            </w:r>
            <w:r w:rsidRPr="00EC5CD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3D8CD6AE"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5F14A175"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3582F3F3"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7BD58113"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48C5A0E6"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60BA8014"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6DD06803" w14:textId="77777777" w:rsidR="00EC5CD4" w:rsidRPr="00EC5CD4" w:rsidRDefault="00EC5CD4" w:rsidP="00EC5CD4">
            <w:pPr>
              <w:rPr>
                <w:sz w:val="20"/>
              </w:rPr>
            </w:pPr>
            <w:r w:rsidRPr="00EC5CD4">
              <w:rPr>
                <w:sz w:val="20"/>
              </w:rPr>
              <w:t> </w:t>
            </w:r>
          </w:p>
        </w:tc>
      </w:tr>
      <w:tr w:rsidR="00EC5CD4" w:rsidRPr="00EC5CD4" w14:paraId="3D0B3ADB"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B14C264"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672496D"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69779EEE"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2D19037A"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33A73231"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303D5798"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3C563B3C"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532B3E8B" w14:textId="77777777" w:rsidR="00EC5CD4" w:rsidRPr="00EC5CD4" w:rsidRDefault="00EC5CD4" w:rsidP="00EC5CD4">
            <w:pPr>
              <w:jc w:val="right"/>
              <w:rPr>
                <w:sz w:val="20"/>
              </w:rPr>
            </w:pPr>
            <w:r w:rsidRPr="00EC5CD4">
              <w:rPr>
                <w:sz w:val="20"/>
              </w:rPr>
              <w:t>299,579</w:t>
            </w:r>
          </w:p>
        </w:tc>
      </w:tr>
      <w:tr w:rsidR="00EC5CD4" w:rsidRPr="00EC5CD4" w14:paraId="7CDAC03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2DDADA9"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3D5C1EE3" w14:textId="77777777" w:rsidR="00EC5CD4" w:rsidRPr="00EC5CD4" w:rsidRDefault="00EC5CD4" w:rsidP="00EC5CD4">
            <w:pPr>
              <w:jc w:val="right"/>
              <w:rPr>
                <w:sz w:val="20"/>
              </w:rPr>
            </w:pPr>
            <w:r w:rsidRPr="00EC5CD4">
              <w:rPr>
                <w:sz w:val="20"/>
              </w:rPr>
              <w:t>24.73%</w:t>
            </w:r>
          </w:p>
        </w:tc>
        <w:tc>
          <w:tcPr>
            <w:tcW w:w="980" w:type="dxa"/>
            <w:tcBorders>
              <w:top w:val="nil"/>
              <w:left w:val="nil"/>
              <w:bottom w:val="nil"/>
              <w:right w:val="single" w:sz="4" w:space="0" w:color="auto"/>
            </w:tcBorders>
            <w:shd w:val="clear" w:color="auto" w:fill="auto"/>
            <w:noWrap/>
            <w:vAlign w:val="bottom"/>
            <w:hideMark/>
          </w:tcPr>
          <w:p w14:paraId="1219B2EC" w14:textId="77777777" w:rsidR="00EC5CD4" w:rsidRPr="00EC5CD4" w:rsidRDefault="00EC5CD4" w:rsidP="00EC5CD4">
            <w:pPr>
              <w:jc w:val="right"/>
              <w:rPr>
                <w:sz w:val="20"/>
              </w:rPr>
            </w:pPr>
            <w:r w:rsidRPr="00EC5CD4">
              <w:rPr>
                <w:sz w:val="20"/>
              </w:rPr>
              <w:t>19.65%</w:t>
            </w:r>
          </w:p>
        </w:tc>
        <w:tc>
          <w:tcPr>
            <w:tcW w:w="980" w:type="dxa"/>
            <w:tcBorders>
              <w:top w:val="nil"/>
              <w:left w:val="nil"/>
              <w:bottom w:val="nil"/>
              <w:right w:val="single" w:sz="4" w:space="0" w:color="auto"/>
            </w:tcBorders>
            <w:shd w:val="clear" w:color="auto" w:fill="auto"/>
            <w:noWrap/>
            <w:vAlign w:val="bottom"/>
            <w:hideMark/>
          </w:tcPr>
          <w:p w14:paraId="7EF1D402" w14:textId="77777777" w:rsidR="00EC5CD4" w:rsidRPr="00EC5CD4" w:rsidRDefault="00EC5CD4" w:rsidP="00EC5CD4">
            <w:pPr>
              <w:jc w:val="right"/>
              <w:rPr>
                <w:sz w:val="20"/>
              </w:rPr>
            </w:pPr>
            <w:r w:rsidRPr="00EC5CD4">
              <w:rPr>
                <w:sz w:val="20"/>
              </w:rPr>
              <w:t>19.84%</w:t>
            </w:r>
          </w:p>
        </w:tc>
        <w:tc>
          <w:tcPr>
            <w:tcW w:w="980" w:type="dxa"/>
            <w:tcBorders>
              <w:top w:val="nil"/>
              <w:left w:val="nil"/>
              <w:bottom w:val="nil"/>
              <w:right w:val="nil"/>
            </w:tcBorders>
            <w:shd w:val="clear" w:color="auto" w:fill="auto"/>
            <w:noWrap/>
            <w:vAlign w:val="bottom"/>
            <w:hideMark/>
          </w:tcPr>
          <w:p w14:paraId="1E5F4D7C" w14:textId="77777777" w:rsidR="00EC5CD4" w:rsidRPr="00EC5CD4" w:rsidRDefault="00EC5CD4" w:rsidP="00EC5CD4">
            <w:pPr>
              <w:jc w:val="right"/>
              <w:rPr>
                <w:sz w:val="20"/>
              </w:rPr>
            </w:pPr>
            <w:r w:rsidRPr="00EC5CD4">
              <w:rPr>
                <w:sz w:val="20"/>
              </w:rPr>
              <w:t>19.84%</w:t>
            </w:r>
          </w:p>
        </w:tc>
        <w:tc>
          <w:tcPr>
            <w:tcW w:w="980" w:type="dxa"/>
            <w:tcBorders>
              <w:top w:val="nil"/>
              <w:left w:val="single" w:sz="4" w:space="0" w:color="auto"/>
              <w:bottom w:val="nil"/>
              <w:right w:val="single" w:sz="4" w:space="0" w:color="auto"/>
            </w:tcBorders>
            <w:shd w:val="clear" w:color="auto" w:fill="auto"/>
            <w:noWrap/>
            <w:vAlign w:val="bottom"/>
            <w:hideMark/>
          </w:tcPr>
          <w:p w14:paraId="492C5228" w14:textId="77777777" w:rsidR="00EC5CD4" w:rsidRPr="00EC5CD4" w:rsidRDefault="00EC5CD4" w:rsidP="00EC5CD4">
            <w:pPr>
              <w:jc w:val="right"/>
              <w:rPr>
                <w:sz w:val="20"/>
              </w:rPr>
            </w:pPr>
            <w:r w:rsidRPr="00EC5CD4">
              <w:rPr>
                <w:sz w:val="20"/>
              </w:rPr>
              <w:t>19.84%</w:t>
            </w:r>
          </w:p>
        </w:tc>
        <w:tc>
          <w:tcPr>
            <w:tcW w:w="980" w:type="dxa"/>
            <w:tcBorders>
              <w:top w:val="nil"/>
              <w:left w:val="nil"/>
              <w:bottom w:val="nil"/>
              <w:right w:val="single" w:sz="4" w:space="0" w:color="auto"/>
            </w:tcBorders>
            <w:shd w:val="clear" w:color="auto" w:fill="auto"/>
            <w:noWrap/>
            <w:vAlign w:val="bottom"/>
            <w:hideMark/>
          </w:tcPr>
          <w:p w14:paraId="4458A6A4" w14:textId="77777777" w:rsidR="00EC5CD4" w:rsidRPr="00EC5CD4" w:rsidRDefault="00EC5CD4" w:rsidP="00EC5CD4">
            <w:pPr>
              <w:jc w:val="right"/>
              <w:rPr>
                <w:sz w:val="20"/>
              </w:rPr>
            </w:pPr>
            <w:r w:rsidRPr="00EC5CD4">
              <w:rPr>
                <w:sz w:val="20"/>
              </w:rPr>
              <w:t>19.84%</w:t>
            </w:r>
          </w:p>
        </w:tc>
        <w:tc>
          <w:tcPr>
            <w:tcW w:w="980" w:type="dxa"/>
            <w:tcBorders>
              <w:top w:val="nil"/>
              <w:left w:val="nil"/>
              <w:bottom w:val="nil"/>
              <w:right w:val="single" w:sz="4" w:space="0" w:color="auto"/>
            </w:tcBorders>
            <w:shd w:val="clear" w:color="auto" w:fill="auto"/>
            <w:noWrap/>
            <w:vAlign w:val="bottom"/>
            <w:hideMark/>
          </w:tcPr>
          <w:p w14:paraId="17FDC0D1" w14:textId="77777777" w:rsidR="00EC5CD4" w:rsidRPr="00EC5CD4" w:rsidRDefault="00EC5CD4" w:rsidP="00EC5CD4">
            <w:pPr>
              <w:jc w:val="right"/>
              <w:rPr>
                <w:sz w:val="20"/>
              </w:rPr>
            </w:pPr>
            <w:r w:rsidRPr="00EC5CD4">
              <w:rPr>
                <w:sz w:val="20"/>
              </w:rPr>
              <w:t>19.43%</w:t>
            </w:r>
          </w:p>
        </w:tc>
      </w:tr>
      <w:tr w:rsidR="00EC5CD4" w:rsidRPr="00EC5CD4" w14:paraId="661F7326"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F0D7B03"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3350B5C" w14:textId="77777777" w:rsidR="00EC5CD4" w:rsidRPr="00EC5CD4" w:rsidRDefault="00EC5CD4" w:rsidP="00EC5CD4">
            <w:pPr>
              <w:jc w:val="right"/>
              <w:rPr>
                <w:sz w:val="20"/>
              </w:rPr>
            </w:pPr>
            <w:r w:rsidRPr="00EC5CD4">
              <w:rPr>
                <w:sz w:val="20"/>
              </w:rPr>
              <w:t>761,076</w:t>
            </w:r>
          </w:p>
        </w:tc>
        <w:tc>
          <w:tcPr>
            <w:tcW w:w="980" w:type="dxa"/>
            <w:tcBorders>
              <w:top w:val="nil"/>
              <w:left w:val="nil"/>
              <w:bottom w:val="single" w:sz="4" w:space="0" w:color="auto"/>
              <w:right w:val="single" w:sz="4" w:space="0" w:color="auto"/>
            </w:tcBorders>
            <w:shd w:val="clear" w:color="auto" w:fill="auto"/>
            <w:noWrap/>
            <w:vAlign w:val="bottom"/>
            <w:hideMark/>
          </w:tcPr>
          <w:p w14:paraId="5501D091" w14:textId="77777777" w:rsidR="00EC5CD4" w:rsidRPr="00EC5CD4" w:rsidRDefault="00EC5CD4" w:rsidP="00EC5CD4">
            <w:pPr>
              <w:jc w:val="right"/>
              <w:rPr>
                <w:sz w:val="20"/>
              </w:rPr>
            </w:pPr>
            <w:r w:rsidRPr="00EC5CD4">
              <w:rPr>
                <w:sz w:val="20"/>
              </w:rPr>
              <w:t>121,727</w:t>
            </w:r>
          </w:p>
        </w:tc>
        <w:tc>
          <w:tcPr>
            <w:tcW w:w="980" w:type="dxa"/>
            <w:tcBorders>
              <w:top w:val="nil"/>
              <w:left w:val="nil"/>
              <w:bottom w:val="single" w:sz="4" w:space="0" w:color="auto"/>
              <w:right w:val="single" w:sz="4" w:space="0" w:color="auto"/>
            </w:tcBorders>
            <w:shd w:val="clear" w:color="auto" w:fill="auto"/>
            <w:noWrap/>
            <w:vAlign w:val="bottom"/>
            <w:hideMark/>
          </w:tcPr>
          <w:p w14:paraId="41AB262A" w14:textId="77777777" w:rsidR="00EC5CD4" w:rsidRPr="00EC5CD4" w:rsidRDefault="00EC5CD4" w:rsidP="00EC5CD4">
            <w:pPr>
              <w:jc w:val="right"/>
              <w:rPr>
                <w:sz w:val="20"/>
              </w:rPr>
            </w:pPr>
            <w:r w:rsidRPr="00EC5CD4">
              <w:rPr>
                <w:sz w:val="20"/>
              </w:rPr>
              <w:t>63,480</w:t>
            </w:r>
          </w:p>
        </w:tc>
        <w:tc>
          <w:tcPr>
            <w:tcW w:w="980" w:type="dxa"/>
            <w:tcBorders>
              <w:top w:val="nil"/>
              <w:left w:val="nil"/>
              <w:bottom w:val="single" w:sz="4" w:space="0" w:color="auto"/>
              <w:right w:val="single" w:sz="4" w:space="0" w:color="auto"/>
            </w:tcBorders>
            <w:shd w:val="clear" w:color="auto" w:fill="auto"/>
            <w:noWrap/>
            <w:vAlign w:val="bottom"/>
            <w:hideMark/>
          </w:tcPr>
          <w:p w14:paraId="5DE3EAC7" w14:textId="77777777" w:rsidR="00EC5CD4" w:rsidRPr="00EC5CD4" w:rsidRDefault="00EC5CD4" w:rsidP="00EC5CD4">
            <w:pPr>
              <w:jc w:val="right"/>
              <w:rPr>
                <w:sz w:val="20"/>
              </w:rPr>
            </w:pPr>
            <w:r w:rsidRPr="00EC5CD4">
              <w:rPr>
                <w:sz w:val="20"/>
              </w:rPr>
              <w:t>54,442</w:t>
            </w:r>
          </w:p>
        </w:tc>
        <w:tc>
          <w:tcPr>
            <w:tcW w:w="980" w:type="dxa"/>
            <w:tcBorders>
              <w:top w:val="nil"/>
              <w:left w:val="nil"/>
              <w:bottom w:val="single" w:sz="4" w:space="0" w:color="auto"/>
              <w:right w:val="single" w:sz="4" w:space="0" w:color="auto"/>
            </w:tcBorders>
            <w:shd w:val="clear" w:color="auto" w:fill="auto"/>
            <w:noWrap/>
            <w:vAlign w:val="bottom"/>
            <w:hideMark/>
          </w:tcPr>
          <w:p w14:paraId="0BB2C61D" w14:textId="77777777" w:rsidR="00EC5CD4" w:rsidRPr="00EC5CD4" w:rsidRDefault="00EC5CD4" w:rsidP="00EC5CD4">
            <w:pPr>
              <w:jc w:val="right"/>
              <w:rPr>
                <w:sz w:val="20"/>
              </w:rPr>
            </w:pPr>
            <w:r w:rsidRPr="00EC5CD4">
              <w:rPr>
                <w:sz w:val="20"/>
              </w:rPr>
              <w:t>2,967</w:t>
            </w:r>
          </w:p>
        </w:tc>
        <w:tc>
          <w:tcPr>
            <w:tcW w:w="980" w:type="dxa"/>
            <w:tcBorders>
              <w:top w:val="nil"/>
              <w:left w:val="nil"/>
              <w:bottom w:val="single" w:sz="4" w:space="0" w:color="auto"/>
              <w:right w:val="single" w:sz="4" w:space="0" w:color="auto"/>
            </w:tcBorders>
            <w:shd w:val="clear" w:color="auto" w:fill="auto"/>
            <w:noWrap/>
            <w:vAlign w:val="bottom"/>
            <w:hideMark/>
          </w:tcPr>
          <w:p w14:paraId="6466F6A3" w14:textId="77777777" w:rsidR="00EC5CD4" w:rsidRPr="00EC5CD4" w:rsidRDefault="00EC5CD4" w:rsidP="00EC5CD4">
            <w:pPr>
              <w:jc w:val="right"/>
              <w:rPr>
                <w:sz w:val="20"/>
              </w:rPr>
            </w:pPr>
            <w:r w:rsidRPr="00EC5CD4">
              <w:rPr>
                <w:sz w:val="20"/>
              </w:rPr>
              <w:t>6,072</w:t>
            </w:r>
          </w:p>
        </w:tc>
        <w:tc>
          <w:tcPr>
            <w:tcW w:w="980" w:type="dxa"/>
            <w:tcBorders>
              <w:top w:val="nil"/>
              <w:left w:val="nil"/>
              <w:bottom w:val="single" w:sz="4" w:space="0" w:color="auto"/>
              <w:right w:val="single" w:sz="4" w:space="0" w:color="auto"/>
            </w:tcBorders>
            <w:shd w:val="clear" w:color="auto" w:fill="auto"/>
            <w:noWrap/>
            <w:vAlign w:val="bottom"/>
            <w:hideMark/>
          </w:tcPr>
          <w:p w14:paraId="5D10BC94" w14:textId="77777777" w:rsidR="00EC5CD4" w:rsidRPr="00EC5CD4" w:rsidRDefault="00EC5CD4" w:rsidP="00EC5CD4">
            <w:pPr>
              <w:jc w:val="right"/>
              <w:rPr>
                <w:sz w:val="20"/>
              </w:rPr>
            </w:pPr>
            <w:r w:rsidRPr="00EC5CD4">
              <w:rPr>
                <w:sz w:val="20"/>
              </w:rPr>
              <w:t>58,217</w:t>
            </w:r>
          </w:p>
        </w:tc>
      </w:tr>
      <w:tr w:rsidR="00EC5CD4" w:rsidRPr="00EC5CD4" w14:paraId="6C715373"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F915C88"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6697C48A"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675BDAFD"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9ED1B96"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2848371D"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5772368"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76963EBF"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7CF209DD" w14:textId="77777777" w:rsidR="00EC5CD4" w:rsidRPr="00EC5CD4" w:rsidRDefault="00EC5CD4" w:rsidP="00EC5CD4">
            <w:pPr>
              <w:rPr>
                <w:sz w:val="20"/>
              </w:rPr>
            </w:pPr>
            <w:r w:rsidRPr="00EC5CD4">
              <w:rPr>
                <w:sz w:val="20"/>
              </w:rPr>
              <w:t> </w:t>
            </w:r>
          </w:p>
        </w:tc>
      </w:tr>
      <w:tr w:rsidR="00EC5CD4" w:rsidRPr="00EC5CD4" w14:paraId="175CC5B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29B5FD5"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DB84E5D"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12A3136A"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152C83E1"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67CC1552"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1B5AC8AD"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04D15F2E"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6F3D2261" w14:textId="77777777" w:rsidR="00EC5CD4" w:rsidRPr="00EC5CD4" w:rsidRDefault="00EC5CD4" w:rsidP="00EC5CD4">
            <w:pPr>
              <w:jc w:val="right"/>
              <w:rPr>
                <w:sz w:val="20"/>
              </w:rPr>
            </w:pPr>
            <w:r w:rsidRPr="00EC5CD4">
              <w:rPr>
                <w:sz w:val="20"/>
              </w:rPr>
              <w:t>337,196</w:t>
            </w:r>
          </w:p>
        </w:tc>
      </w:tr>
      <w:tr w:rsidR="00EC5CD4" w:rsidRPr="00EC5CD4" w14:paraId="55FD2DB5"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D190B37"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24D016BF" w14:textId="77777777" w:rsidR="00EC5CD4" w:rsidRPr="00EC5CD4" w:rsidRDefault="00EC5CD4" w:rsidP="00EC5CD4">
            <w:pPr>
              <w:jc w:val="right"/>
              <w:rPr>
                <w:sz w:val="20"/>
              </w:rPr>
            </w:pPr>
            <w:r w:rsidRPr="00EC5CD4">
              <w:rPr>
                <w:sz w:val="20"/>
              </w:rPr>
              <w:t>24.94%</w:t>
            </w:r>
          </w:p>
        </w:tc>
        <w:tc>
          <w:tcPr>
            <w:tcW w:w="980" w:type="dxa"/>
            <w:tcBorders>
              <w:top w:val="nil"/>
              <w:left w:val="nil"/>
              <w:bottom w:val="nil"/>
              <w:right w:val="single" w:sz="4" w:space="0" w:color="auto"/>
            </w:tcBorders>
            <w:shd w:val="clear" w:color="auto" w:fill="auto"/>
            <w:noWrap/>
            <w:vAlign w:val="bottom"/>
            <w:hideMark/>
          </w:tcPr>
          <w:p w14:paraId="5E056817" w14:textId="77777777" w:rsidR="00EC5CD4" w:rsidRPr="00EC5CD4" w:rsidRDefault="00EC5CD4" w:rsidP="00EC5CD4">
            <w:pPr>
              <w:jc w:val="right"/>
              <w:rPr>
                <w:sz w:val="20"/>
              </w:rPr>
            </w:pPr>
            <w:r w:rsidRPr="00EC5CD4">
              <w:rPr>
                <w:sz w:val="20"/>
              </w:rPr>
              <w:t>19.91%</w:t>
            </w:r>
          </w:p>
        </w:tc>
        <w:tc>
          <w:tcPr>
            <w:tcW w:w="980" w:type="dxa"/>
            <w:tcBorders>
              <w:top w:val="nil"/>
              <w:left w:val="nil"/>
              <w:bottom w:val="nil"/>
              <w:right w:val="single" w:sz="4" w:space="0" w:color="auto"/>
            </w:tcBorders>
            <w:shd w:val="clear" w:color="auto" w:fill="auto"/>
            <w:noWrap/>
            <w:vAlign w:val="bottom"/>
            <w:hideMark/>
          </w:tcPr>
          <w:p w14:paraId="107717DF" w14:textId="77777777" w:rsidR="00EC5CD4" w:rsidRPr="00EC5CD4" w:rsidRDefault="00EC5CD4" w:rsidP="00EC5CD4">
            <w:pPr>
              <w:jc w:val="right"/>
              <w:rPr>
                <w:sz w:val="20"/>
              </w:rPr>
            </w:pPr>
            <w:r w:rsidRPr="00EC5CD4">
              <w:rPr>
                <w:sz w:val="20"/>
              </w:rPr>
              <w:t>20.13%</w:t>
            </w:r>
          </w:p>
        </w:tc>
        <w:tc>
          <w:tcPr>
            <w:tcW w:w="980" w:type="dxa"/>
            <w:tcBorders>
              <w:top w:val="nil"/>
              <w:left w:val="nil"/>
              <w:bottom w:val="nil"/>
              <w:right w:val="nil"/>
            </w:tcBorders>
            <w:shd w:val="clear" w:color="auto" w:fill="auto"/>
            <w:noWrap/>
            <w:vAlign w:val="bottom"/>
            <w:hideMark/>
          </w:tcPr>
          <w:p w14:paraId="43DB6D80" w14:textId="77777777" w:rsidR="00EC5CD4" w:rsidRPr="00EC5CD4" w:rsidRDefault="00EC5CD4" w:rsidP="00EC5CD4">
            <w:pPr>
              <w:jc w:val="right"/>
              <w:rPr>
                <w:sz w:val="20"/>
              </w:rPr>
            </w:pPr>
            <w:r w:rsidRPr="00EC5CD4">
              <w:rPr>
                <w:sz w:val="20"/>
              </w:rPr>
              <w:t>20.13%</w:t>
            </w:r>
          </w:p>
        </w:tc>
        <w:tc>
          <w:tcPr>
            <w:tcW w:w="980" w:type="dxa"/>
            <w:tcBorders>
              <w:top w:val="nil"/>
              <w:left w:val="single" w:sz="4" w:space="0" w:color="auto"/>
              <w:bottom w:val="nil"/>
              <w:right w:val="single" w:sz="4" w:space="0" w:color="auto"/>
            </w:tcBorders>
            <w:shd w:val="clear" w:color="auto" w:fill="auto"/>
            <w:noWrap/>
            <w:vAlign w:val="bottom"/>
            <w:hideMark/>
          </w:tcPr>
          <w:p w14:paraId="540496C6" w14:textId="77777777" w:rsidR="00EC5CD4" w:rsidRPr="00EC5CD4" w:rsidRDefault="00EC5CD4" w:rsidP="00EC5CD4">
            <w:pPr>
              <w:jc w:val="right"/>
              <w:rPr>
                <w:sz w:val="20"/>
              </w:rPr>
            </w:pPr>
            <w:r w:rsidRPr="00EC5CD4">
              <w:rPr>
                <w:sz w:val="20"/>
              </w:rPr>
              <w:t>20.13%</w:t>
            </w:r>
          </w:p>
        </w:tc>
        <w:tc>
          <w:tcPr>
            <w:tcW w:w="980" w:type="dxa"/>
            <w:tcBorders>
              <w:top w:val="nil"/>
              <w:left w:val="nil"/>
              <w:bottom w:val="nil"/>
              <w:right w:val="single" w:sz="4" w:space="0" w:color="auto"/>
            </w:tcBorders>
            <w:shd w:val="clear" w:color="auto" w:fill="auto"/>
            <w:noWrap/>
            <w:vAlign w:val="bottom"/>
            <w:hideMark/>
          </w:tcPr>
          <w:p w14:paraId="4F190A83" w14:textId="77777777" w:rsidR="00EC5CD4" w:rsidRPr="00EC5CD4" w:rsidRDefault="00EC5CD4" w:rsidP="00EC5CD4">
            <w:pPr>
              <w:jc w:val="right"/>
              <w:rPr>
                <w:sz w:val="20"/>
              </w:rPr>
            </w:pPr>
            <w:r w:rsidRPr="00EC5CD4">
              <w:rPr>
                <w:sz w:val="20"/>
              </w:rPr>
              <w:t>20.13%</w:t>
            </w:r>
          </w:p>
        </w:tc>
        <w:tc>
          <w:tcPr>
            <w:tcW w:w="980" w:type="dxa"/>
            <w:tcBorders>
              <w:top w:val="nil"/>
              <w:left w:val="nil"/>
              <w:bottom w:val="nil"/>
              <w:right w:val="single" w:sz="4" w:space="0" w:color="auto"/>
            </w:tcBorders>
            <w:shd w:val="clear" w:color="auto" w:fill="auto"/>
            <w:noWrap/>
            <w:vAlign w:val="bottom"/>
            <w:hideMark/>
          </w:tcPr>
          <w:p w14:paraId="0EB5229A" w14:textId="77777777" w:rsidR="00EC5CD4" w:rsidRPr="00EC5CD4" w:rsidRDefault="00EC5CD4" w:rsidP="00EC5CD4">
            <w:pPr>
              <w:jc w:val="right"/>
              <w:rPr>
                <w:sz w:val="20"/>
              </w:rPr>
            </w:pPr>
            <w:r w:rsidRPr="00EC5CD4">
              <w:rPr>
                <w:sz w:val="20"/>
              </w:rPr>
              <w:t>19.66%</w:t>
            </w:r>
          </w:p>
        </w:tc>
      </w:tr>
      <w:tr w:rsidR="00EC5CD4" w:rsidRPr="00EC5CD4" w14:paraId="496AEF03"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CCF68B2"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BF05CBD" w14:textId="77777777" w:rsidR="00EC5CD4" w:rsidRPr="00EC5CD4" w:rsidRDefault="00EC5CD4" w:rsidP="00EC5CD4">
            <w:pPr>
              <w:jc w:val="right"/>
              <w:rPr>
                <w:sz w:val="20"/>
              </w:rPr>
            </w:pPr>
            <w:r w:rsidRPr="00EC5CD4">
              <w:rPr>
                <w:sz w:val="20"/>
              </w:rPr>
              <w:t>888,121</w:t>
            </w:r>
          </w:p>
        </w:tc>
        <w:tc>
          <w:tcPr>
            <w:tcW w:w="980" w:type="dxa"/>
            <w:tcBorders>
              <w:top w:val="nil"/>
              <w:left w:val="nil"/>
              <w:bottom w:val="single" w:sz="4" w:space="0" w:color="auto"/>
              <w:right w:val="single" w:sz="4" w:space="0" w:color="auto"/>
            </w:tcBorders>
            <w:shd w:val="clear" w:color="auto" w:fill="auto"/>
            <w:noWrap/>
            <w:vAlign w:val="bottom"/>
            <w:hideMark/>
          </w:tcPr>
          <w:p w14:paraId="7F22A409" w14:textId="77777777" w:rsidR="00EC5CD4" w:rsidRPr="00EC5CD4" w:rsidRDefault="00EC5CD4" w:rsidP="00EC5CD4">
            <w:pPr>
              <w:jc w:val="right"/>
              <w:rPr>
                <w:sz w:val="20"/>
              </w:rPr>
            </w:pPr>
            <w:r w:rsidRPr="00EC5CD4">
              <w:rPr>
                <w:sz w:val="20"/>
              </w:rPr>
              <w:t>139,788</w:t>
            </w:r>
          </w:p>
        </w:tc>
        <w:tc>
          <w:tcPr>
            <w:tcW w:w="980" w:type="dxa"/>
            <w:tcBorders>
              <w:top w:val="nil"/>
              <w:left w:val="nil"/>
              <w:bottom w:val="single" w:sz="4" w:space="0" w:color="auto"/>
              <w:right w:val="single" w:sz="4" w:space="0" w:color="auto"/>
            </w:tcBorders>
            <w:shd w:val="clear" w:color="auto" w:fill="auto"/>
            <w:noWrap/>
            <w:vAlign w:val="bottom"/>
            <w:hideMark/>
          </w:tcPr>
          <w:p w14:paraId="6EFBE454" w14:textId="77777777" w:rsidR="00EC5CD4" w:rsidRPr="00EC5CD4" w:rsidRDefault="00EC5CD4" w:rsidP="00EC5CD4">
            <w:pPr>
              <w:jc w:val="right"/>
              <w:rPr>
                <w:sz w:val="20"/>
              </w:rPr>
            </w:pPr>
            <w:r w:rsidRPr="00EC5CD4">
              <w:rPr>
                <w:sz w:val="20"/>
              </w:rPr>
              <w:t>73,454</w:t>
            </w:r>
          </w:p>
        </w:tc>
        <w:tc>
          <w:tcPr>
            <w:tcW w:w="980" w:type="dxa"/>
            <w:tcBorders>
              <w:top w:val="nil"/>
              <w:left w:val="nil"/>
              <w:bottom w:val="single" w:sz="4" w:space="0" w:color="auto"/>
              <w:right w:val="single" w:sz="4" w:space="0" w:color="auto"/>
            </w:tcBorders>
            <w:shd w:val="clear" w:color="auto" w:fill="auto"/>
            <w:noWrap/>
            <w:vAlign w:val="bottom"/>
            <w:hideMark/>
          </w:tcPr>
          <w:p w14:paraId="50735C7B" w14:textId="77777777" w:rsidR="00EC5CD4" w:rsidRPr="00EC5CD4" w:rsidRDefault="00EC5CD4" w:rsidP="00EC5CD4">
            <w:pPr>
              <w:jc w:val="right"/>
              <w:rPr>
                <w:sz w:val="20"/>
              </w:rPr>
            </w:pPr>
            <w:r w:rsidRPr="00EC5CD4">
              <w:rPr>
                <w:sz w:val="20"/>
              </w:rPr>
              <w:t>62,992</w:t>
            </w:r>
          </w:p>
        </w:tc>
        <w:tc>
          <w:tcPr>
            <w:tcW w:w="980" w:type="dxa"/>
            <w:tcBorders>
              <w:top w:val="nil"/>
              <w:left w:val="nil"/>
              <w:bottom w:val="single" w:sz="4" w:space="0" w:color="auto"/>
              <w:right w:val="single" w:sz="4" w:space="0" w:color="auto"/>
            </w:tcBorders>
            <w:shd w:val="clear" w:color="auto" w:fill="auto"/>
            <w:noWrap/>
            <w:vAlign w:val="bottom"/>
            <w:hideMark/>
          </w:tcPr>
          <w:p w14:paraId="74AFBF29" w14:textId="77777777" w:rsidR="00EC5CD4" w:rsidRPr="00EC5CD4" w:rsidRDefault="00EC5CD4" w:rsidP="00EC5CD4">
            <w:pPr>
              <w:jc w:val="right"/>
              <w:rPr>
                <w:sz w:val="20"/>
              </w:rPr>
            </w:pPr>
            <w:r w:rsidRPr="00EC5CD4">
              <w:rPr>
                <w:sz w:val="20"/>
              </w:rPr>
              <w:t>3,467</w:t>
            </w:r>
          </w:p>
        </w:tc>
        <w:tc>
          <w:tcPr>
            <w:tcW w:w="980" w:type="dxa"/>
            <w:tcBorders>
              <w:top w:val="nil"/>
              <w:left w:val="nil"/>
              <w:bottom w:val="single" w:sz="4" w:space="0" w:color="auto"/>
              <w:right w:val="single" w:sz="4" w:space="0" w:color="auto"/>
            </w:tcBorders>
            <w:shd w:val="clear" w:color="auto" w:fill="auto"/>
            <w:noWrap/>
            <w:vAlign w:val="bottom"/>
            <w:hideMark/>
          </w:tcPr>
          <w:p w14:paraId="154577FD" w14:textId="77777777" w:rsidR="00EC5CD4" w:rsidRPr="00EC5CD4" w:rsidRDefault="00EC5CD4" w:rsidP="00EC5CD4">
            <w:pPr>
              <w:jc w:val="right"/>
              <w:rPr>
                <w:sz w:val="20"/>
              </w:rPr>
            </w:pPr>
            <w:r w:rsidRPr="00EC5CD4">
              <w:rPr>
                <w:sz w:val="20"/>
              </w:rPr>
              <w:t>6,995</w:t>
            </w:r>
          </w:p>
        </w:tc>
        <w:tc>
          <w:tcPr>
            <w:tcW w:w="980" w:type="dxa"/>
            <w:tcBorders>
              <w:top w:val="nil"/>
              <w:left w:val="nil"/>
              <w:bottom w:val="single" w:sz="4" w:space="0" w:color="auto"/>
              <w:right w:val="single" w:sz="4" w:space="0" w:color="auto"/>
            </w:tcBorders>
            <w:shd w:val="clear" w:color="auto" w:fill="auto"/>
            <w:noWrap/>
            <w:vAlign w:val="bottom"/>
            <w:hideMark/>
          </w:tcPr>
          <w:p w14:paraId="2518F490" w14:textId="77777777" w:rsidR="00EC5CD4" w:rsidRPr="00EC5CD4" w:rsidRDefault="00EC5CD4" w:rsidP="00EC5CD4">
            <w:pPr>
              <w:jc w:val="right"/>
              <w:rPr>
                <w:sz w:val="20"/>
              </w:rPr>
            </w:pPr>
            <w:r w:rsidRPr="00EC5CD4">
              <w:rPr>
                <w:sz w:val="20"/>
              </w:rPr>
              <w:t>66,278</w:t>
            </w:r>
          </w:p>
        </w:tc>
      </w:tr>
      <w:tr w:rsidR="00EC5CD4" w:rsidRPr="00EC5CD4" w14:paraId="4E6599C6" w14:textId="77777777" w:rsidTr="00BF315B">
        <w:trPr>
          <w:trHeight w:val="1385"/>
        </w:trPr>
        <w:tc>
          <w:tcPr>
            <w:tcW w:w="8980" w:type="dxa"/>
            <w:gridSpan w:val="8"/>
            <w:tcBorders>
              <w:top w:val="single" w:sz="4" w:space="0" w:color="auto"/>
              <w:left w:val="nil"/>
              <w:bottom w:val="nil"/>
              <w:right w:val="nil"/>
            </w:tcBorders>
            <w:shd w:val="clear" w:color="auto" w:fill="auto"/>
            <w:vAlign w:val="bottom"/>
            <w:hideMark/>
          </w:tcPr>
          <w:p w14:paraId="5693A4BC"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r w:rsidRPr="00EC5CD4">
              <w:rPr>
                <w:sz w:val="18"/>
                <w:szCs w:val="18"/>
              </w:rPr>
              <w:br/>
            </w:r>
            <w:r w:rsidRPr="00EC5CD4">
              <w:rPr>
                <w:b/>
                <w:bCs/>
                <w:sz w:val="18"/>
                <w:szCs w:val="18"/>
              </w:rPr>
              <w:t>**</w:t>
            </w:r>
            <w:r w:rsidRPr="00EC5CD4">
              <w:rPr>
                <w:sz w:val="18"/>
                <w:szCs w:val="18"/>
              </w:rPr>
              <w:t xml:space="preserve"> NSDUH did not </w:t>
            </w:r>
            <w:r w:rsidR="00BF315B">
              <w:rPr>
                <w:sz w:val="18"/>
                <w:szCs w:val="18"/>
              </w:rPr>
              <w:t>estimate rates</w:t>
            </w:r>
            <w:r w:rsidRPr="00EC5CD4">
              <w:rPr>
                <w:sz w:val="18"/>
                <w:szCs w:val="18"/>
              </w:rPr>
              <w:t xml:space="preserve"> </w:t>
            </w:r>
            <w:r w:rsidR="00BF315B">
              <w:rPr>
                <w:sz w:val="18"/>
                <w:szCs w:val="18"/>
              </w:rPr>
              <w:t xml:space="preserve">for Jefferson </w:t>
            </w:r>
            <w:r w:rsidRPr="00EC5CD4">
              <w:rPr>
                <w:sz w:val="18"/>
                <w:szCs w:val="18"/>
              </w:rPr>
              <w:t xml:space="preserve">Parish and the Metropolitan District; therefore, the rate for Greater New Orleans is applied to both Jefferson Parish and the Metropolitan District and its constituent parishes. </w:t>
            </w:r>
          </w:p>
          <w:p w14:paraId="2660107F" w14:textId="1B26249B"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2A072B2C" w14:textId="700FF71F" w:rsidR="00EC5CD4" w:rsidRDefault="00EC5CD4" w:rsidP="001549F4"/>
    <w:p w14:paraId="2F884CAF" w14:textId="1AF2A91F" w:rsidR="00EC5CD4" w:rsidRDefault="00EC5CD4">
      <w:r>
        <w:br w:type="page"/>
      </w:r>
    </w:p>
    <w:p w14:paraId="6A4ED20A" w14:textId="7DB9F916" w:rsidR="00EC5CD4" w:rsidRDefault="00EC5CD4" w:rsidP="00130E39">
      <w:pPr>
        <w:pStyle w:val="ListParagraph"/>
        <w:numPr>
          <w:ilvl w:val="0"/>
          <w:numId w:val="7"/>
        </w:numPr>
      </w:pPr>
      <w:r w:rsidRPr="00EC5CD4">
        <w:lastRenderedPageBreak/>
        <w:t xml:space="preserve">Substance Use Disorder (SUD) in the </w:t>
      </w:r>
      <w:r w:rsidRPr="00130E39">
        <w:rPr>
          <w:i/>
          <w:iCs/>
        </w:rPr>
        <w:t>Past Year</w:t>
      </w:r>
    </w:p>
    <w:p w14:paraId="6D4927A3" w14:textId="2A827F3E" w:rsidR="00EC5CD4" w:rsidRDefault="00EC5CD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4ED195ED"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1A4E7455" w14:textId="77777777" w:rsidR="00EC5CD4" w:rsidRPr="00EC5CD4" w:rsidRDefault="00EC5CD4" w:rsidP="00EC5CD4">
            <w:pPr>
              <w:jc w:val="center"/>
              <w:rPr>
                <w:b/>
                <w:bCs/>
                <w:sz w:val="20"/>
              </w:rPr>
            </w:pPr>
            <w:r w:rsidRPr="00EC5CD4">
              <w:rPr>
                <w:b/>
                <w:bCs/>
                <w:sz w:val="20"/>
              </w:rPr>
              <w:t xml:space="preserve">Substance Use Disorder (SUD) in the </w:t>
            </w:r>
            <w:r w:rsidRPr="00EC5CD4">
              <w:rPr>
                <w:b/>
                <w:bCs/>
                <w:i/>
                <w:iCs/>
                <w:sz w:val="20"/>
                <w:u w:val="single"/>
              </w:rPr>
              <w:t>Past Year</w:t>
            </w:r>
            <w:r w:rsidRPr="00EC5CD4">
              <w:rPr>
                <w:b/>
                <w:bCs/>
                <w:sz w:val="20"/>
              </w:rPr>
              <w:t xml:space="preserve"> by Age Group Among Residents of</w:t>
            </w:r>
            <w:r w:rsidRPr="00EC5CD4">
              <w:rPr>
                <w:b/>
                <w:bCs/>
                <w:sz w:val="20"/>
              </w:rPr>
              <w:br/>
              <w:t>Greater New Orleans Parishes and Statewide, 2019*</w:t>
            </w:r>
          </w:p>
        </w:tc>
      </w:tr>
      <w:tr w:rsidR="00EC5CD4" w:rsidRPr="00EC5CD4" w14:paraId="41C1AD5E"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9719603"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7594E706" w14:textId="715322A9"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6C6FCDA2"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1830B4D1"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1F957E3C"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45188223"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58455759"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7734DAFA" w14:textId="77777777" w:rsidR="00EC5CD4" w:rsidRPr="00EC5CD4" w:rsidRDefault="00EC5CD4" w:rsidP="00EC5CD4">
            <w:pPr>
              <w:jc w:val="center"/>
              <w:rPr>
                <w:sz w:val="20"/>
              </w:rPr>
            </w:pPr>
            <w:r w:rsidRPr="00EC5CD4">
              <w:rPr>
                <w:sz w:val="20"/>
              </w:rPr>
              <w:t>Jefferson Parish HSA</w:t>
            </w:r>
          </w:p>
        </w:tc>
      </w:tr>
      <w:tr w:rsidR="00EC5CD4" w:rsidRPr="00EC5CD4" w14:paraId="5F40F641"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E24D56D"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261C8E1E"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3084CE5F"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1EDD233"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BA5D780"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344935C6"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77A0B276"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6AEB4849" w14:textId="77777777" w:rsidR="00EC5CD4" w:rsidRPr="00EC5CD4" w:rsidRDefault="00EC5CD4" w:rsidP="00EC5CD4">
            <w:pPr>
              <w:rPr>
                <w:sz w:val="20"/>
              </w:rPr>
            </w:pPr>
            <w:r w:rsidRPr="00EC5CD4">
              <w:rPr>
                <w:sz w:val="20"/>
              </w:rPr>
              <w:t> </w:t>
            </w:r>
          </w:p>
        </w:tc>
      </w:tr>
      <w:tr w:rsidR="00EC5CD4" w:rsidRPr="00EC5CD4" w14:paraId="4FFE0A5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A33FE71"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7B5254C"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1B648BD6"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7B553F32"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106652AF"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407EBE3E"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595532FA"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34919496" w14:textId="77777777" w:rsidR="00EC5CD4" w:rsidRPr="00EC5CD4" w:rsidRDefault="00EC5CD4" w:rsidP="00EC5CD4">
            <w:pPr>
              <w:jc w:val="right"/>
              <w:rPr>
                <w:sz w:val="20"/>
              </w:rPr>
            </w:pPr>
            <w:r w:rsidRPr="00EC5CD4">
              <w:rPr>
                <w:sz w:val="20"/>
              </w:rPr>
              <w:t>30,385</w:t>
            </w:r>
          </w:p>
        </w:tc>
      </w:tr>
      <w:tr w:rsidR="00EC5CD4" w:rsidRPr="00EC5CD4" w14:paraId="1FB0FF3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FDEBEBC" w14:textId="2267A2EE" w:rsidR="00EC5CD4" w:rsidRPr="00EC5CD4" w:rsidRDefault="00EC5CD4" w:rsidP="00EC5CD4">
            <w:pPr>
              <w:rPr>
                <w:sz w:val="20"/>
              </w:rPr>
            </w:pPr>
            <w:r w:rsidRPr="00EC5CD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7F480F0E" w14:textId="77777777" w:rsidR="00EC5CD4" w:rsidRPr="00EC5CD4" w:rsidRDefault="00EC5CD4" w:rsidP="00EC5CD4">
            <w:pPr>
              <w:jc w:val="right"/>
              <w:rPr>
                <w:sz w:val="20"/>
              </w:rPr>
            </w:pPr>
            <w:r w:rsidRPr="00EC5CD4">
              <w:rPr>
                <w:sz w:val="20"/>
              </w:rPr>
              <w:t>3.74%</w:t>
            </w:r>
          </w:p>
        </w:tc>
        <w:tc>
          <w:tcPr>
            <w:tcW w:w="980" w:type="dxa"/>
            <w:tcBorders>
              <w:top w:val="nil"/>
              <w:left w:val="nil"/>
              <w:bottom w:val="nil"/>
              <w:right w:val="single" w:sz="4" w:space="0" w:color="auto"/>
            </w:tcBorders>
            <w:shd w:val="clear" w:color="auto" w:fill="auto"/>
            <w:noWrap/>
            <w:vAlign w:val="bottom"/>
            <w:hideMark/>
          </w:tcPr>
          <w:p w14:paraId="0A768759" w14:textId="77777777" w:rsidR="00EC5CD4" w:rsidRPr="00EC5CD4" w:rsidRDefault="00EC5CD4" w:rsidP="00EC5CD4">
            <w:pPr>
              <w:jc w:val="right"/>
              <w:rPr>
                <w:sz w:val="20"/>
              </w:rPr>
            </w:pPr>
            <w:r w:rsidRPr="00EC5CD4">
              <w:rPr>
                <w:sz w:val="20"/>
              </w:rPr>
              <w:t>3.53%</w:t>
            </w:r>
          </w:p>
        </w:tc>
        <w:tc>
          <w:tcPr>
            <w:tcW w:w="980" w:type="dxa"/>
            <w:tcBorders>
              <w:top w:val="nil"/>
              <w:left w:val="nil"/>
              <w:bottom w:val="nil"/>
              <w:right w:val="single" w:sz="4" w:space="0" w:color="auto"/>
            </w:tcBorders>
            <w:shd w:val="clear" w:color="auto" w:fill="auto"/>
            <w:noWrap/>
            <w:vAlign w:val="bottom"/>
            <w:hideMark/>
          </w:tcPr>
          <w:p w14:paraId="00330D2B" w14:textId="77777777" w:rsidR="00EC5CD4" w:rsidRPr="00EC5CD4" w:rsidRDefault="00EC5CD4" w:rsidP="00EC5CD4">
            <w:pPr>
              <w:jc w:val="right"/>
              <w:rPr>
                <w:sz w:val="20"/>
              </w:rPr>
            </w:pPr>
            <w:r w:rsidRPr="00EC5CD4">
              <w:rPr>
                <w:sz w:val="20"/>
              </w:rPr>
              <w:t>3.73%</w:t>
            </w:r>
          </w:p>
        </w:tc>
        <w:tc>
          <w:tcPr>
            <w:tcW w:w="980" w:type="dxa"/>
            <w:tcBorders>
              <w:top w:val="nil"/>
              <w:left w:val="nil"/>
              <w:bottom w:val="nil"/>
              <w:right w:val="nil"/>
            </w:tcBorders>
            <w:shd w:val="clear" w:color="auto" w:fill="auto"/>
            <w:noWrap/>
            <w:vAlign w:val="bottom"/>
            <w:hideMark/>
          </w:tcPr>
          <w:p w14:paraId="418CE810" w14:textId="77777777" w:rsidR="00EC5CD4" w:rsidRPr="00EC5CD4" w:rsidRDefault="00EC5CD4" w:rsidP="00EC5CD4">
            <w:pPr>
              <w:jc w:val="right"/>
              <w:rPr>
                <w:sz w:val="20"/>
              </w:rPr>
            </w:pPr>
            <w:r w:rsidRPr="00EC5CD4">
              <w:rPr>
                <w:sz w:val="20"/>
              </w:rPr>
              <w:t>3.73%</w:t>
            </w:r>
          </w:p>
        </w:tc>
        <w:tc>
          <w:tcPr>
            <w:tcW w:w="980" w:type="dxa"/>
            <w:tcBorders>
              <w:top w:val="nil"/>
              <w:left w:val="single" w:sz="4" w:space="0" w:color="auto"/>
              <w:bottom w:val="nil"/>
              <w:right w:val="single" w:sz="4" w:space="0" w:color="auto"/>
            </w:tcBorders>
            <w:shd w:val="clear" w:color="auto" w:fill="auto"/>
            <w:noWrap/>
            <w:vAlign w:val="bottom"/>
            <w:hideMark/>
          </w:tcPr>
          <w:p w14:paraId="55AF858E" w14:textId="77777777" w:rsidR="00EC5CD4" w:rsidRPr="00EC5CD4" w:rsidRDefault="00EC5CD4" w:rsidP="00EC5CD4">
            <w:pPr>
              <w:jc w:val="right"/>
              <w:rPr>
                <w:sz w:val="20"/>
              </w:rPr>
            </w:pPr>
            <w:r w:rsidRPr="00EC5CD4">
              <w:rPr>
                <w:sz w:val="20"/>
              </w:rPr>
              <w:t>3.73%</w:t>
            </w:r>
          </w:p>
        </w:tc>
        <w:tc>
          <w:tcPr>
            <w:tcW w:w="980" w:type="dxa"/>
            <w:tcBorders>
              <w:top w:val="nil"/>
              <w:left w:val="nil"/>
              <w:bottom w:val="nil"/>
              <w:right w:val="single" w:sz="4" w:space="0" w:color="auto"/>
            </w:tcBorders>
            <w:shd w:val="clear" w:color="auto" w:fill="auto"/>
            <w:noWrap/>
            <w:vAlign w:val="bottom"/>
            <w:hideMark/>
          </w:tcPr>
          <w:p w14:paraId="49A37559" w14:textId="77777777" w:rsidR="00EC5CD4" w:rsidRPr="00EC5CD4" w:rsidRDefault="00EC5CD4" w:rsidP="00EC5CD4">
            <w:pPr>
              <w:jc w:val="right"/>
              <w:rPr>
                <w:sz w:val="20"/>
              </w:rPr>
            </w:pPr>
            <w:r w:rsidRPr="00EC5CD4">
              <w:rPr>
                <w:sz w:val="20"/>
              </w:rPr>
              <w:t>3.73%</w:t>
            </w:r>
          </w:p>
        </w:tc>
        <w:tc>
          <w:tcPr>
            <w:tcW w:w="980" w:type="dxa"/>
            <w:tcBorders>
              <w:top w:val="nil"/>
              <w:left w:val="nil"/>
              <w:bottom w:val="nil"/>
              <w:right w:val="single" w:sz="4" w:space="0" w:color="auto"/>
            </w:tcBorders>
            <w:shd w:val="clear" w:color="auto" w:fill="auto"/>
            <w:noWrap/>
            <w:vAlign w:val="bottom"/>
            <w:hideMark/>
          </w:tcPr>
          <w:p w14:paraId="1ED9AC3A" w14:textId="77777777" w:rsidR="00EC5CD4" w:rsidRPr="00EC5CD4" w:rsidRDefault="00EC5CD4" w:rsidP="00EC5CD4">
            <w:pPr>
              <w:jc w:val="right"/>
              <w:rPr>
                <w:sz w:val="20"/>
              </w:rPr>
            </w:pPr>
            <w:r w:rsidRPr="00EC5CD4">
              <w:rPr>
                <w:sz w:val="20"/>
              </w:rPr>
              <w:t>3.32%</w:t>
            </w:r>
          </w:p>
        </w:tc>
      </w:tr>
      <w:tr w:rsidR="00EC5CD4" w:rsidRPr="00EC5CD4" w14:paraId="0E899B43"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43AD7A3"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6F6414" w14:textId="77777777" w:rsidR="00EC5CD4" w:rsidRPr="00EC5CD4" w:rsidRDefault="00EC5CD4" w:rsidP="00EC5CD4">
            <w:pPr>
              <w:jc w:val="right"/>
              <w:rPr>
                <w:sz w:val="20"/>
              </w:rPr>
            </w:pPr>
            <w:r w:rsidRPr="00EC5CD4">
              <w:rPr>
                <w:sz w:val="20"/>
              </w:rPr>
              <w:t>13,497</w:t>
            </w:r>
          </w:p>
        </w:tc>
        <w:tc>
          <w:tcPr>
            <w:tcW w:w="980" w:type="dxa"/>
            <w:tcBorders>
              <w:top w:val="nil"/>
              <w:left w:val="nil"/>
              <w:bottom w:val="single" w:sz="4" w:space="0" w:color="auto"/>
              <w:right w:val="single" w:sz="4" w:space="0" w:color="auto"/>
            </w:tcBorders>
            <w:shd w:val="clear" w:color="auto" w:fill="auto"/>
            <w:noWrap/>
            <w:vAlign w:val="bottom"/>
            <w:hideMark/>
          </w:tcPr>
          <w:p w14:paraId="0C5F2145" w14:textId="77777777" w:rsidR="00EC5CD4" w:rsidRPr="00EC5CD4" w:rsidRDefault="00EC5CD4" w:rsidP="00EC5CD4">
            <w:pPr>
              <w:jc w:val="right"/>
              <w:rPr>
                <w:sz w:val="20"/>
              </w:rPr>
            </w:pPr>
            <w:r w:rsidRPr="00EC5CD4">
              <w:rPr>
                <w:sz w:val="20"/>
              </w:rPr>
              <w:t>2,161</w:t>
            </w:r>
          </w:p>
        </w:tc>
        <w:tc>
          <w:tcPr>
            <w:tcW w:w="980" w:type="dxa"/>
            <w:tcBorders>
              <w:top w:val="nil"/>
              <w:left w:val="nil"/>
              <w:bottom w:val="single" w:sz="4" w:space="0" w:color="auto"/>
              <w:right w:val="single" w:sz="4" w:space="0" w:color="auto"/>
            </w:tcBorders>
            <w:shd w:val="clear" w:color="auto" w:fill="auto"/>
            <w:noWrap/>
            <w:vAlign w:val="bottom"/>
            <w:hideMark/>
          </w:tcPr>
          <w:p w14:paraId="388C0AEA" w14:textId="77777777" w:rsidR="00EC5CD4" w:rsidRPr="00EC5CD4" w:rsidRDefault="00EC5CD4" w:rsidP="00EC5CD4">
            <w:pPr>
              <w:jc w:val="right"/>
              <w:rPr>
                <w:sz w:val="20"/>
              </w:rPr>
            </w:pPr>
            <w:r w:rsidRPr="00EC5CD4">
              <w:rPr>
                <w:sz w:val="20"/>
              </w:rPr>
              <w:t>1,149</w:t>
            </w:r>
          </w:p>
        </w:tc>
        <w:tc>
          <w:tcPr>
            <w:tcW w:w="980" w:type="dxa"/>
            <w:tcBorders>
              <w:top w:val="nil"/>
              <w:left w:val="nil"/>
              <w:bottom w:val="single" w:sz="4" w:space="0" w:color="auto"/>
              <w:right w:val="single" w:sz="4" w:space="0" w:color="auto"/>
            </w:tcBorders>
            <w:shd w:val="clear" w:color="auto" w:fill="auto"/>
            <w:noWrap/>
            <w:vAlign w:val="bottom"/>
            <w:hideMark/>
          </w:tcPr>
          <w:p w14:paraId="6F8B8B58" w14:textId="77777777" w:rsidR="00EC5CD4" w:rsidRPr="00EC5CD4" w:rsidRDefault="00EC5CD4" w:rsidP="00EC5CD4">
            <w:pPr>
              <w:jc w:val="right"/>
              <w:rPr>
                <w:sz w:val="20"/>
              </w:rPr>
            </w:pPr>
            <w:r w:rsidRPr="00EC5CD4">
              <w:rPr>
                <w:sz w:val="20"/>
              </w:rPr>
              <w:t>921</w:t>
            </w:r>
          </w:p>
        </w:tc>
        <w:tc>
          <w:tcPr>
            <w:tcW w:w="980" w:type="dxa"/>
            <w:tcBorders>
              <w:top w:val="nil"/>
              <w:left w:val="nil"/>
              <w:bottom w:val="single" w:sz="4" w:space="0" w:color="auto"/>
              <w:right w:val="single" w:sz="4" w:space="0" w:color="auto"/>
            </w:tcBorders>
            <w:shd w:val="clear" w:color="auto" w:fill="auto"/>
            <w:noWrap/>
            <w:vAlign w:val="bottom"/>
            <w:hideMark/>
          </w:tcPr>
          <w:p w14:paraId="576DB517" w14:textId="77777777" w:rsidR="00EC5CD4" w:rsidRPr="00EC5CD4" w:rsidRDefault="00EC5CD4" w:rsidP="00EC5CD4">
            <w:pPr>
              <w:jc w:val="right"/>
              <w:rPr>
                <w:sz w:val="20"/>
              </w:rPr>
            </w:pPr>
            <w:r w:rsidRPr="00EC5CD4">
              <w:rPr>
                <w:sz w:val="20"/>
              </w:rPr>
              <w:t>78</w:t>
            </w:r>
          </w:p>
        </w:tc>
        <w:tc>
          <w:tcPr>
            <w:tcW w:w="980" w:type="dxa"/>
            <w:tcBorders>
              <w:top w:val="nil"/>
              <w:left w:val="nil"/>
              <w:bottom w:val="single" w:sz="4" w:space="0" w:color="auto"/>
              <w:right w:val="single" w:sz="4" w:space="0" w:color="auto"/>
            </w:tcBorders>
            <w:shd w:val="clear" w:color="auto" w:fill="auto"/>
            <w:noWrap/>
            <w:vAlign w:val="bottom"/>
            <w:hideMark/>
          </w:tcPr>
          <w:p w14:paraId="26C91297" w14:textId="77777777" w:rsidR="00EC5CD4" w:rsidRPr="00EC5CD4" w:rsidRDefault="00EC5CD4" w:rsidP="00EC5CD4">
            <w:pPr>
              <w:jc w:val="right"/>
              <w:rPr>
                <w:sz w:val="20"/>
              </w:rPr>
            </w:pPr>
            <w:r w:rsidRPr="00EC5CD4">
              <w:rPr>
                <w:sz w:val="20"/>
              </w:rPr>
              <w:t>151</w:t>
            </w:r>
          </w:p>
        </w:tc>
        <w:tc>
          <w:tcPr>
            <w:tcW w:w="980" w:type="dxa"/>
            <w:tcBorders>
              <w:top w:val="nil"/>
              <w:left w:val="nil"/>
              <w:bottom w:val="single" w:sz="4" w:space="0" w:color="auto"/>
              <w:right w:val="single" w:sz="4" w:space="0" w:color="auto"/>
            </w:tcBorders>
            <w:shd w:val="clear" w:color="auto" w:fill="auto"/>
            <w:noWrap/>
            <w:vAlign w:val="bottom"/>
            <w:hideMark/>
          </w:tcPr>
          <w:p w14:paraId="0ADAFF87" w14:textId="77777777" w:rsidR="00EC5CD4" w:rsidRPr="00EC5CD4" w:rsidRDefault="00EC5CD4" w:rsidP="00EC5CD4">
            <w:pPr>
              <w:jc w:val="right"/>
              <w:rPr>
                <w:sz w:val="20"/>
              </w:rPr>
            </w:pPr>
            <w:r w:rsidRPr="00EC5CD4">
              <w:rPr>
                <w:sz w:val="20"/>
              </w:rPr>
              <w:t>1,009</w:t>
            </w:r>
          </w:p>
        </w:tc>
      </w:tr>
      <w:tr w:rsidR="00EC5CD4" w:rsidRPr="00EC5CD4" w14:paraId="44338D9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0161C2D"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7B43C515"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71ECB58E"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0FDFD67"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AEF12C9"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0B095F7"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2176029E"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474F31BA" w14:textId="77777777" w:rsidR="00EC5CD4" w:rsidRPr="00EC5CD4" w:rsidRDefault="00EC5CD4" w:rsidP="00EC5CD4">
            <w:pPr>
              <w:rPr>
                <w:sz w:val="20"/>
              </w:rPr>
            </w:pPr>
            <w:r w:rsidRPr="00EC5CD4">
              <w:rPr>
                <w:sz w:val="20"/>
              </w:rPr>
              <w:t> </w:t>
            </w:r>
          </w:p>
        </w:tc>
      </w:tr>
      <w:tr w:rsidR="00EC5CD4" w:rsidRPr="00EC5CD4" w14:paraId="7F3773E1"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8CC2F68"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C434FD2"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5D59F71D"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5F6A0CD8"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027B973C"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5A658753"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040573A5"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6032280D" w14:textId="77777777" w:rsidR="00EC5CD4" w:rsidRPr="00EC5CD4" w:rsidRDefault="00EC5CD4" w:rsidP="00EC5CD4">
            <w:pPr>
              <w:jc w:val="right"/>
              <w:rPr>
                <w:sz w:val="20"/>
              </w:rPr>
            </w:pPr>
            <w:r w:rsidRPr="00EC5CD4">
              <w:rPr>
                <w:sz w:val="20"/>
              </w:rPr>
              <w:t>37,617</w:t>
            </w:r>
          </w:p>
        </w:tc>
      </w:tr>
      <w:tr w:rsidR="00EC5CD4" w:rsidRPr="00EC5CD4" w14:paraId="516BFDB6"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D6573EE" w14:textId="77777777" w:rsidR="00EC5CD4" w:rsidRPr="00EC5CD4" w:rsidRDefault="00EC5CD4" w:rsidP="00EC5CD4">
            <w:pPr>
              <w:rPr>
                <w:sz w:val="20"/>
              </w:rPr>
            </w:pPr>
            <w:r w:rsidRPr="00EC5CD4">
              <w:rPr>
                <w:sz w:val="20"/>
              </w:rPr>
              <w:t xml:space="preserve">    Rate (%) </w:t>
            </w:r>
            <w:r w:rsidRPr="00EC5CD4">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081D283D" w14:textId="77777777" w:rsidR="00EC5CD4" w:rsidRPr="00EC5CD4" w:rsidRDefault="00EC5CD4" w:rsidP="00EC5CD4">
            <w:pPr>
              <w:jc w:val="right"/>
              <w:rPr>
                <w:sz w:val="20"/>
              </w:rPr>
            </w:pPr>
            <w:r w:rsidRPr="00EC5CD4">
              <w:rPr>
                <w:sz w:val="20"/>
              </w:rPr>
              <w:t>14.14%</w:t>
            </w:r>
          </w:p>
        </w:tc>
        <w:tc>
          <w:tcPr>
            <w:tcW w:w="980" w:type="dxa"/>
            <w:tcBorders>
              <w:top w:val="nil"/>
              <w:left w:val="nil"/>
              <w:bottom w:val="nil"/>
              <w:right w:val="single" w:sz="4" w:space="0" w:color="auto"/>
            </w:tcBorders>
            <w:shd w:val="clear" w:color="auto" w:fill="auto"/>
            <w:noWrap/>
            <w:vAlign w:val="bottom"/>
            <w:hideMark/>
          </w:tcPr>
          <w:p w14:paraId="619D572B" w14:textId="77777777" w:rsidR="00EC5CD4" w:rsidRPr="00EC5CD4" w:rsidRDefault="00EC5CD4" w:rsidP="00EC5CD4">
            <w:pPr>
              <w:jc w:val="right"/>
              <w:rPr>
                <w:sz w:val="20"/>
              </w:rPr>
            </w:pPr>
            <w:r w:rsidRPr="00EC5CD4">
              <w:rPr>
                <w:sz w:val="20"/>
              </w:rPr>
              <w:t>14.86%</w:t>
            </w:r>
          </w:p>
        </w:tc>
        <w:tc>
          <w:tcPr>
            <w:tcW w:w="980" w:type="dxa"/>
            <w:tcBorders>
              <w:top w:val="nil"/>
              <w:left w:val="nil"/>
              <w:bottom w:val="nil"/>
              <w:right w:val="single" w:sz="4" w:space="0" w:color="auto"/>
            </w:tcBorders>
            <w:shd w:val="clear" w:color="000000" w:fill="FFD85B"/>
            <w:noWrap/>
            <w:vAlign w:val="bottom"/>
            <w:hideMark/>
          </w:tcPr>
          <w:p w14:paraId="6C25F080" w14:textId="77777777" w:rsidR="00EC5CD4" w:rsidRPr="00EC5CD4" w:rsidRDefault="00EC5CD4" w:rsidP="00EC5CD4">
            <w:pPr>
              <w:jc w:val="center"/>
              <w:rPr>
                <w:sz w:val="20"/>
              </w:rPr>
            </w:pPr>
            <w:r w:rsidRPr="00EC5CD4">
              <w:rPr>
                <w:sz w:val="20"/>
              </w:rPr>
              <w:t>##</w:t>
            </w:r>
          </w:p>
        </w:tc>
        <w:tc>
          <w:tcPr>
            <w:tcW w:w="980" w:type="dxa"/>
            <w:tcBorders>
              <w:top w:val="nil"/>
              <w:left w:val="nil"/>
              <w:bottom w:val="nil"/>
              <w:right w:val="single" w:sz="4" w:space="0" w:color="auto"/>
            </w:tcBorders>
            <w:shd w:val="clear" w:color="000000" w:fill="FFD85B"/>
            <w:noWrap/>
            <w:vAlign w:val="bottom"/>
            <w:hideMark/>
          </w:tcPr>
          <w:p w14:paraId="06883D37" w14:textId="77777777" w:rsidR="00EC5CD4" w:rsidRPr="00EC5CD4" w:rsidRDefault="00EC5CD4" w:rsidP="00EC5CD4">
            <w:pPr>
              <w:jc w:val="center"/>
              <w:rPr>
                <w:sz w:val="20"/>
              </w:rPr>
            </w:pPr>
            <w:r w:rsidRPr="00EC5CD4">
              <w:rPr>
                <w:sz w:val="20"/>
              </w:rPr>
              <w:t>##</w:t>
            </w:r>
          </w:p>
        </w:tc>
        <w:tc>
          <w:tcPr>
            <w:tcW w:w="980" w:type="dxa"/>
            <w:tcBorders>
              <w:top w:val="nil"/>
              <w:left w:val="nil"/>
              <w:bottom w:val="nil"/>
              <w:right w:val="single" w:sz="4" w:space="0" w:color="auto"/>
            </w:tcBorders>
            <w:shd w:val="clear" w:color="000000" w:fill="FFD85B"/>
            <w:noWrap/>
            <w:vAlign w:val="bottom"/>
            <w:hideMark/>
          </w:tcPr>
          <w:p w14:paraId="33A10ADF" w14:textId="77777777" w:rsidR="00EC5CD4" w:rsidRPr="00EC5CD4" w:rsidRDefault="00EC5CD4" w:rsidP="00EC5CD4">
            <w:pPr>
              <w:jc w:val="center"/>
              <w:rPr>
                <w:sz w:val="20"/>
              </w:rPr>
            </w:pPr>
            <w:r w:rsidRPr="00EC5CD4">
              <w:rPr>
                <w:sz w:val="20"/>
              </w:rPr>
              <w:t>##</w:t>
            </w:r>
          </w:p>
        </w:tc>
        <w:tc>
          <w:tcPr>
            <w:tcW w:w="980" w:type="dxa"/>
            <w:tcBorders>
              <w:top w:val="nil"/>
              <w:left w:val="nil"/>
              <w:bottom w:val="nil"/>
              <w:right w:val="single" w:sz="4" w:space="0" w:color="auto"/>
            </w:tcBorders>
            <w:shd w:val="clear" w:color="000000" w:fill="FFD85B"/>
            <w:noWrap/>
            <w:vAlign w:val="bottom"/>
            <w:hideMark/>
          </w:tcPr>
          <w:p w14:paraId="442AE713" w14:textId="77777777" w:rsidR="00EC5CD4" w:rsidRPr="00EC5CD4" w:rsidRDefault="00EC5CD4" w:rsidP="00EC5CD4">
            <w:pPr>
              <w:jc w:val="center"/>
              <w:rPr>
                <w:sz w:val="20"/>
              </w:rPr>
            </w:pPr>
            <w:r w:rsidRPr="00EC5CD4">
              <w:rPr>
                <w:sz w:val="20"/>
              </w:rPr>
              <w:t>##</w:t>
            </w:r>
          </w:p>
        </w:tc>
        <w:tc>
          <w:tcPr>
            <w:tcW w:w="980" w:type="dxa"/>
            <w:tcBorders>
              <w:top w:val="nil"/>
              <w:left w:val="nil"/>
              <w:bottom w:val="nil"/>
              <w:right w:val="single" w:sz="4" w:space="0" w:color="auto"/>
            </w:tcBorders>
            <w:shd w:val="clear" w:color="auto" w:fill="auto"/>
            <w:noWrap/>
            <w:vAlign w:val="bottom"/>
            <w:hideMark/>
          </w:tcPr>
          <w:p w14:paraId="3CEFAA7B" w14:textId="77777777" w:rsidR="00EC5CD4" w:rsidRPr="00EC5CD4" w:rsidRDefault="00EC5CD4" w:rsidP="00EC5CD4">
            <w:pPr>
              <w:jc w:val="right"/>
              <w:rPr>
                <w:sz w:val="20"/>
              </w:rPr>
            </w:pPr>
            <w:r w:rsidRPr="00EC5CD4">
              <w:rPr>
                <w:sz w:val="20"/>
              </w:rPr>
              <w:t>12.56%</w:t>
            </w:r>
          </w:p>
        </w:tc>
      </w:tr>
      <w:tr w:rsidR="00EC5CD4" w:rsidRPr="00EC5CD4" w14:paraId="509252C1"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6F0FE78"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65F02C8" w14:textId="77777777" w:rsidR="00EC5CD4" w:rsidRPr="00EC5CD4" w:rsidRDefault="00EC5CD4" w:rsidP="00EC5CD4">
            <w:pPr>
              <w:jc w:val="right"/>
              <w:rPr>
                <w:sz w:val="20"/>
              </w:rPr>
            </w:pPr>
            <w:r w:rsidRPr="00EC5CD4">
              <w:rPr>
                <w:sz w:val="20"/>
              </w:rPr>
              <w:t>68,372</w:t>
            </w:r>
          </w:p>
        </w:tc>
        <w:tc>
          <w:tcPr>
            <w:tcW w:w="980" w:type="dxa"/>
            <w:tcBorders>
              <w:top w:val="nil"/>
              <w:left w:val="nil"/>
              <w:bottom w:val="single" w:sz="4" w:space="0" w:color="auto"/>
              <w:right w:val="single" w:sz="4" w:space="0" w:color="auto"/>
            </w:tcBorders>
            <w:shd w:val="clear" w:color="auto" w:fill="auto"/>
            <w:noWrap/>
            <w:vAlign w:val="bottom"/>
            <w:hideMark/>
          </w:tcPr>
          <w:p w14:paraId="15FA8D8C" w14:textId="77777777" w:rsidR="00EC5CD4" w:rsidRPr="00EC5CD4" w:rsidRDefault="00EC5CD4" w:rsidP="00EC5CD4">
            <w:pPr>
              <w:jc w:val="right"/>
              <w:rPr>
                <w:sz w:val="20"/>
              </w:rPr>
            </w:pPr>
            <w:r w:rsidRPr="00EC5CD4">
              <w:rPr>
                <w:sz w:val="20"/>
              </w:rPr>
              <w:t>12,246</w:t>
            </w:r>
          </w:p>
        </w:tc>
        <w:tc>
          <w:tcPr>
            <w:tcW w:w="980" w:type="dxa"/>
            <w:tcBorders>
              <w:top w:val="nil"/>
              <w:left w:val="nil"/>
              <w:bottom w:val="single" w:sz="4" w:space="0" w:color="auto"/>
              <w:right w:val="single" w:sz="4" w:space="0" w:color="auto"/>
            </w:tcBorders>
            <w:shd w:val="clear" w:color="000000" w:fill="FFD85B"/>
            <w:noWrap/>
            <w:vAlign w:val="bottom"/>
            <w:hideMark/>
          </w:tcPr>
          <w:p w14:paraId="4814F3FF" w14:textId="77777777" w:rsidR="00EC5CD4" w:rsidRPr="00EC5CD4" w:rsidRDefault="00EC5CD4" w:rsidP="00EC5CD4">
            <w:pPr>
              <w:jc w:val="right"/>
              <w:rPr>
                <w:sz w:val="20"/>
              </w:rPr>
            </w:pPr>
            <w:r w:rsidRPr="00EC5CD4">
              <w:rPr>
                <w:sz w:val="20"/>
              </w:rPr>
              <w:t>7,522</w:t>
            </w:r>
          </w:p>
        </w:tc>
        <w:tc>
          <w:tcPr>
            <w:tcW w:w="980" w:type="dxa"/>
            <w:tcBorders>
              <w:top w:val="nil"/>
              <w:left w:val="nil"/>
              <w:bottom w:val="single" w:sz="4" w:space="0" w:color="auto"/>
              <w:right w:val="single" w:sz="4" w:space="0" w:color="auto"/>
            </w:tcBorders>
            <w:shd w:val="clear" w:color="000000" w:fill="FFD85B"/>
            <w:noWrap/>
            <w:vAlign w:val="bottom"/>
            <w:hideMark/>
          </w:tcPr>
          <w:p w14:paraId="66E16A0E" w14:textId="77777777" w:rsidR="00EC5CD4" w:rsidRPr="00EC5CD4" w:rsidRDefault="00EC5CD4" w:rsidP="00EC5CD4">
            <w:pPr>
              <w:jc w:val="right"/>
              <w:rPr>
                <w:sz w:val="20"/>
              </w:rPr>
            </w:pPr>
            <w:r w:rsidRPr="00EC5CD4">
              <w:rPr>
                <w:sz w:val="20"/>
              </w:rPr>
              <w:t>6,448</w:t>
            </w:r>
          </w:p>
        </w:tc>
        <w:tc>
          <w:tcPr>
            <w:tcW w:w="980" w:type="dxa"/>
            <w:tcBorders>
              <w:top w:val="nil"/>
              <w:left w:val="nil"/>
              <w:bottom w:val="single" w:sz="4" w:space="0" w:color="auto"/>
              <w:right w:val="single" w:sz="4" w:space="0" w:color="auto"/>
            </w:tcBorders>
            <w:shd w:val="clear" w:color="000000" w:fill="FFD85B"/>
            <w:noWrap/>
            <w:vAlign w:val="bottom"/>
            <w:hideMark/>
          </w:tcPr>
          <w:p w14:paraId="70AE94EB" w14:textId="77777777" w:rsidR="00EC5CD4" w:rsidRPr="00EC5CD4" w:rsidRDefault="00EC5CD4" w:rsidP="00EC5CD4">
            <w:pPr>
              <w:jc w:val="right"/>
              <w:rPr>
                <w:sz w:val="20"/>
              </w:rPr>
            </w:pPr>
            <w:r w:rsidRPr="00EC5CD4">
              <w:rPr>
                <w:sz w:val="20"/>
              </w:rPr>
              <w:t>380</w:t>
            </w:r>
          </w:p>
        </w:tc>
        <w:tc>
          <w:tcPr>
            <w:tcW w:w="980" w:type="dxa"/>
            <w:tcBorders>
              <w:top w:val="nil"/>
              <w:left w:val="nil"/>
              <w:bottom w:val="single" w:sz="4" w:space="0" w:color="auto"/>
              <w:right w:val="single" w:sz="4" w:space="0" w:color="auto"/>
            </w:tcBorders>
            <w:shd w:val="clear" w:color="000000" w:fill="FFD85B"/>
            <w:noWrap/>
            <w:vAlign w:val="bottom"/>
            <w:hideMark/>
          </w:tcPr>
          <w:p w14:paraId="7493E28B" w14:textId="77777777" w:rsidR="00EC5CD4" w:rsidRPr="00EC5CD4" w:rsidRDefault="00EC5CD4" w:rsidP="00EC5CD4">
            <w:pPr>
              <w:jc w:val="right"/>
              <w:rPr>
                <w:sz w:val="20"/>
              </w:rPr>
            </w:pPr>
            <w:r w:rsidRPr="00EC5CD4">
              <w:rPr>
                <w:sz w:val="20"/>
              </w:rPr>
              <w:t>694</w:t>
            </w:r>
          </w:p>
        </w:tc>
        <w:tc>
          <w:tcPr>
            <w:tcW w:w="980" w:type="dxa"/>
            <w:tcBorders>
              <w:top w:val="nil"/>
              <w:left w:val="nil"/>
              <w:bottom w:val="single" w:sz="4" w:space="0" w:color="auto"/>
              <w:right w:val="single" w:sz="4" w:space="0" w:color="auto"/>
            </w:tcBorders>
            <w:shd w:val="clear" w:color="auto" w:fill="auto"/>
            <w:noWrap/>
            <w:vAlign w:val="bottom"/>
            <w:hideMark/>
          </w:tcPr>
          <w:p w14:paraId="6866F358" w14:textId="77777777" w:rsidR="00EC5CD4" w:rsidRPr="00EC5CD4" w:rsidRDefault="00EC5CD4" w:rsidP="00EC5CD4">
            <w:pPr>
              <w:jc w:val="right"/>
              <w:rPr>
                <w:sz w:val="20"/>
              </w:rPr>
            </w:pPr>
            <w:r w:rsidRPr="00EC5CD4">
              <w:rPr>
                <w:sz w:val="20"/>
              </w:rPr>
              <w:t>4,724</w:t>
            </w:r>
          </w:p>
        </w:tc>
      </w:tr>
      <w:tr w:rsidR="00EC5CD4" w:rsidRPr="00EC5CD4" w14:paraId="3502761D"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187DA383" w14:textId="3673547C" w:rsidR="00EC5CD4" w:rsidRPr="00EC5CD4" w:rsidRDefault="00EC5CD4" w:rsidP="00EC5CD4">
            <w:pPr>
              <w:rPr>
                <w:sz w:val="20"/>
              </w:rPr>
            </w:pPr>
            <w:r w:rsidRPr="00EC5CD4">
              <w:rPr>
                <w:sz w:val="20"/>
              </w:rPr>
              <w:t xml:space="preserve">Older Adults </w:t>
            </w:r>
            <w:r w:rsidR="00240C80">
              <w:rPr>
                <w:sz w:val="20"/>
              </w:rPr>
              <w:t>26+</w:t>
            </w:r>
            <w:r w:rsidRPr="00EC5CD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26F6938F"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5C87ACEA"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C017049"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3E3D9436"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B6BA07A"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4AF83F63"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30A4955A" w14:textId="77777777" w:rsidR="00EC5CD4" w:rsidRPr="00EC5CD4" w:rsidRDefault="00EC5CD4" w:rsidP="00EC5CD4">
            <w:pPr>
              <w:rPr>
                <w:sz w:val="20"/>
              </w:rPr>
            </w:pPr>
            <w:r w:rsidRPr="00EC5CD4">
              <w:rPr>
                <w:sz w:val="20"/>
              </w:rPr>
              <w:t> </w:t>
            </w:r>
          </w:p>
        </w:tc>
      </w:tr>
      <w:tr w:rsidR="00EC5CD4" w:rsidRPr="00EC5CD4" w14:paraId="7AF24803"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A79F6E6"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401B084"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7FDDA56B"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7520089B"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68F7238F"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6C1C0B86"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0AF30713"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28630CE4" w14:textId="77777777" w:rsidR="00EC5CD4" w:rsidRPr="00EC5CD4" w:rsidRDefault="00EC5CD4" w:rsidP="00EC5CD4">
            <w:pPr>
              <w:jc w:val="right"/>
              <w:rPr>
                <w:sz w:val="20"/>
              </w:rPr>
            </w:pPr>
            <w:r w:rsidRPr="00EC5CD4">
              <w:rPr>
                <w:sz w:val="20"/>
              </w:rPr>
              <w:t>299,579</w:t>
            </w:r>
          </w:p>
        </w:tc>
      </w:tr>
      <w:tr w:rsidR="00EC5CD4" w:rsidRPr="00EC5CD4" w14:paraId="100BF4B0"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BC19C57"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0D979C30" w14:textId="77777777" w:rsidR="00EC5CD4" w:rsidRPr="00EC5CD4" w:rsidRDefault="00EC5CD4" w:rsidP="00EC5CD4">
            <w:pPr>
              <w:jc w:val="right"/>
              <w:rPr>
                <w:sz w:val="20"/>
              </w:rPr>
            </w:pPr>
            <w:r w:rsidRPr="00EC5CD4">
              <w:rPr>
                <w:sz w:val="20"/>
              </w:rPr>
              <w:t>7.55%</w:t>
            </w:r>
          </w:p>
        </w:tc>
        <w:tc>
          <w:tcPr>
            <w:tcW w:w="980" w:type="dxa"/>
            <w:tcBorders>
              <w:top w:val="nil"/>
              <w:left w:val="nil"/>
              <w:bottom w:val="nil"/>
              <w:right w:val="single" w:sz="4" w:space="0" w:color="auto"/>
            </w:tcBorders>
            <w:shd w:val="clear" w:color="auto" w:fill="auto"/>
            <w:noWrap/>
            <w:vAlign w:val="bottom"/>
            <w:hideMark/>
          </w:tcPr>
          <w:p w14:paraId="0C4F841B" w14:textId="77777777" w:rsidR="00EC5CD4" w:rsidRPr="00EC5CD4" w:rsidRDefault="00EC5CD4" w:rsidP="00EC5CD4">
            <w:pPr>
              <w:jc w:val="right"/>
              <w:rPr>
                <w:sz w:val="20"/>
              </w:rPr>
            </w:pPr>
            <w:r w:rsidRPr="00EC5CD4">
              <w:rPr>
                <w:sz w:val="20"/>
              </w:rPr>
              <w:t>7.93%</w:t>
            </w:r>
          </w:p>
        </w:tc>
        <w:tc>
          <w:tcPr>
            <w:tcW w:w="980" w:type="dxa"/>
            <w:tcBorders>
              <w:top w:val="nil"/>
              <w:left w:val="nil"/>
              <w:bottom w:val="nil"/>
              <w:right w:val="single" w:sz="4" w:space="0" w:color="auto"/>
            </w:tcBorders>
            <w:shd w:val="clear" w:color="auto" w:fill="auto"/>
            <w:noWrap/>
            <w:vAlign w:val="bottom"/>
            <w:hideMark/>
          </w:tcPr>
          <w:p w14:paraId="618BA8CB" w14:textId="77777777" w:rsidR="00EC5CD4" w:rsidRPr="00EC5CD4" w:rsidRDefault="00EC5CD4" w:rsidP="00EC5CD4">
            <w:pPr>
              <w:jc w:val="right"/>
              <w:rPr>
                <w:sz w:val="20"/>
              </w:rPr>
            </w:pPr>
            <w:r w:rsidRPr="00EC5CD4">
              <w:rPr>
                <w:sz w:val="20"/>
              </w:rPr>
              <w:t>9.14%</w:t>
            </w:r>
          </w:p>
        </w:tc>
        <w:tc>
          <w:tcPr>
            <w:tcW w:w="980" w:type="dxa"/>
            <w:tcBorders>
              <w:top w:val="nil"/>
              <w:left w:val="nil"/>
              <w:bottom w:val="nil"/>
              <w:right w:val="nil"/>
            </w:tcBorders>
            <w:shd w:val="clear" w:color="auto" w:fill="auto"/>
            <w:noWrap/>
            <w:vAlign w:val="bottom"/>
            <w:hideMark/>
          </w:tcPr>
          <w:p w14:paraId="45D75B4C" w14:textId="77777777" w:rsidR="00EC5CD4" w:rsidRPr="00EC5CD4" w:rsidRDefault="00EC5CD4" w:rsidP="00EC5CD4">
            <w:pPr>
              <w:jc w:val="right"/>
              <w:rPr>
                <w:sz w:val="20"/>
              </w:rPr>
            </w:pPr>
            <w:r w:rsidRPr="00EC5CD4">
              <w:rPr>
                <w:sz w:val="20"/>
              </w:rPr>
              <w:t>9.14%</w:t>
            </w:r>
          </w:p>
        </w:tc>
        <w:tc>
          <w:tcPr>
            <w:tcW w:w="980" w:type="dxa"/>
            <w:tcBorders>
              <w:top w:val="nil"/>
              <w:left w:val="single" w:sz="4" w:space="0" w:color="auto"/>
              <w:bottom w:val="nil"/>
              <w:right w:val="single" w:sz="4" w:space="0" w:color="auto"/>
            </w:tcBorders>
            <w:shd w:val="clear" w:color="auto" w:fill="auto"/>
            <w:noWrap/>
            <w:vAlign w:val="bottom"/>
            <w:hideMark/>
          </w:tcPr>
          <w:p w14:paraId="71D64D7F" w14:textId="77777777" w:rsidR="00EC5CD4" w:rsidRPr="00EC5CD4" w:rsidRDefault="00EC5CD4" w:rsidP="00EC5CD4">
            <w:pPr>
              <w:jc w:val="right"/>
              <w:rPr>
                <w:sz w:val="20"/>
              </w:rPr>
            </w:pPr>
            <w:r w:rsidRPr="00EC5CD4">
              <w:rPr>
                <w:sz w:val="20"/>
              </w:rPr>
              <w:t>9.14%</w:t>
            </w:r>
          </w:p>
        </w:tc>
        <w:tc>
          <w:tcPr>
            <w:tcW w:w="980" w:type="dxa"/>
            <w:tcBorders>
              <w:top w:val="nil"/>
              <w:left w:val="nil"/>
              <w:bottom w:val="nil"/>
              <w:right w:val="single" w:sz="4" w:space="0" w:color="auto"/>
            </w:tcBorders>
            <w:shd w:val="clear" w:color="auto" w:fill="auto"/>
            <w:noWrap/>
            <w:vAlign w:val="bottom"/>
            <w:hideMark/>
          </w:tcPr>
          <w:p w14:paraId="4567E7A3" w14:textId="77777777" w:rsidR="00EC5CD4" w:rsidRPr="00EC5CD4" w:rsidRDefault="00EC5CD4" w:rsidP="00EC5CD4">
            <w:pPr>
              <w:jc w:val="right"/>
              <w:rPr>
                <w:sz w:val="20"/>
              </w:rPr>
            </w:pPr>
            <w:r w:rsidRPr="00EC5CD4">
              <w:rPr>
                <w:sz w:val="20"/>
              </w:rPr>
              <w:t>9.14%</w:t>
            </w:r>
          </w:p>
        </w:tc>
        <w:tc>
          <w:tcPr>
            <w:tcW w:w="980" w:type="dxa"/>
            <w:tcBorders>
              <w:top w:val="nil"/>
              <w:left w:val="nil"/>
              <w:bottom w:val="nil"/>
              <w:right w:val="single" w:sz="4" w:space="0" w:color="auto"/>
            </w:tcBorders>
            <w:shd w:val="clear" w:color="auto" w:fill="auto"/>
            <w:noWrap/>
            <w:vAlign w:val="bottom"/>
            <w:hideMark/>
          </w:tcPr>
          <w:p w14:paraId="3E2E44A3" w14:textId="77777777" w:rsidR="00EC5CD4" w:rsidRPr="00EC5CD4" w:rsidRDefault="00EC5CD4" w:rsidP="00EC5CD4">
            <w:pPr>
              <w:jc w:val="right"/>
              <w:rPr>
                <w:sz w:val="20"/>
              </w:rPr>
            </w:pPr>
            <w:r w:rsidRPr="00EC5CD4">
              <w:rPr>
                <w:sz w:val="20"/>
              </w:rPr>
              <w:t>6.57%</w:t>
            </w:r>
          </w:p>
        </w:tc>
      </w:tr>
      <w:tr w:rsidR="00EC5CD4" w:rsidRPr="00EC5CD4" w14:paraId="786904D6"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5B6C4C0"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FA6D829" w14:textId="77777777" w:rsidR="00EC5CD4" w:rsidRPr="00EC5CD4" w:rsidRDefault="00EC5CD4" w:rsidP="00EC5CD4">
            <w:pPr>
              <w:jc w:val="right"/>
              <w:rPr>
                <w:sz w:val="20"/>
              </w:rPr>
            </w:pPr>
            <w:r w:rsidRPr="00EC5CD4">
              <w:rPr>
                <w:sz w:val="20"/>
              </w:rPr>
              <w:t>232,277</w:t>
            </w:r>
          </w:p>
        </w:tc>
        <w:tc>
          <w:tcPr>
            <w:tcW w:w="980" w:type="dxa"/>
            <w:tcBorders>
              <w:top w:val="nil"/>
              <w:left w:val="nil"/>
              <w:bottom w:val="single" w:sz="4" w:space="0" w:color="auto"/>
              <w:right w:val="single" w:sz="4" w:space="0" w:color="auto"/>
            </w:tcBorders>
            <w:shd w:val="clear" w:color="auto" w:fill="auto"/>
            <w:noWrap/>
            <w:vAlign w:val="bottom"/>
            <w:hideMark/>
          </w:tcPr>
          <w:p w14:paraId="7EBF71A3" w14:textId="77777777" w:rsidR="00EC5CD4" w:rsidRPr="00EC5CD4" w:rsidRDefault="00EC5CD4" w:rsidP="00EC5CD4">
            <w:pPr>
              <w:jc w:val="right"/>
              <w:rPr>
                <w:sz w:val="20"/>
              </w:rPr>
            </w:pPr>
            <w:r w:rsidRPr="00EC5CD4">
              <w:rPr>
                <w:sz w:val="20"/>
              </w:rPr>
              <w:t>49,135</w:t>
            </w:r>
          </w:p>
        </w:tc>
        <w:tc>
          <w:tcPr>
            <w:tcW w:w="980" w:type="dxa"/>
            <w:tcBorders>
              <w:top w:val="nil"/>
              <w:left w:val="nil"/>
              <w:bottom w:val="single" w:sz="4" w:space="0" w:color="auto"/>
              <w:right w:val="single" w:sz="4" w:space="0" w:color="auto"/>
            </w:tcBorders>
            <w:shd w:val="clear" w:color="auto" w:fill="auto"/>
            <w:noWrap/>
            <w:vAlign w:val="bottom"/>
            <w:hideMark/>
          </w:tcPr>
          <w:p w14:paraId="117764C4" w14:textId="77777777" w:rsidR="00EC5CD4" w:rsidRPr="00EC5CD4" w:rsidRDefault="00EC5CD4" w:rsidP="00EC5CD4">
            <w:pPr>
              <w:jc w:val="right"/>
              <w:rPr>
                <w:sz w:val="20"/>
              </w:rPr>
            </w:pPr>
            <w:r w:rsidRPr="00EC5CD4">
              <w:rPr>
                <w:sz w:val="20"/>
              </w:rPr>
              <w:t>29,245</w:t>
            </w:r>
          </w:p>
        </w:tc>
        <w:tc>
          <w:tcPr>
            <w:tcW w:w="980" w:type="dxa"/>
            <w:tcBorders>
              <w:top w:val="nil"/>
              <w:left w:val="nil"/>
              <w:bottom w:val="single" w:sz="4" w:space="0" w:color="auto"/>
              <w:right w:val="single" w:sz="4" w:space="0" w:color="auto"/>
            </w:tcBorders>
            <w:shd w:val="clear" w:color="auto" w:fill="auto"/>
            <w:noWrap/>
            <w:vAlign w:val="bottom"/>
            <w:hideMark/>
          </w:tcPr>
          <w:p w14:paraId="2C617212" w14:textId="77777777" w:rsidR="00EC5CD4" w:rsidRPr="00EC5CD4" w:rsidRDefault="00EC5CD4" w:rsidP="00EC5CD4">
            <w:pPr>
              <w:jc w:val="right"/>
              <w:rPr>
                <w:sz w:val="20"/>
              </w:rPr>
            </w:pPr>
            <w:r w:rsidRPr="00EC5CD4">
              <w:rPr>
                <w:sz w:val="20"/>
              </w:rPr>
              <w:t>25,081</w:t>
            </w:r>
          </w:p>
        </w:tc>
        <w:tc>
          <w:tcPr>
            <w:tcW w:w="980" w:type="dxa"/>
            <w:tcBorders>
              <w:top w:val="nil"/>
              <w:left w:val="nil"/>
              <w:bottom w:val="single" w:sz="4" w:space="0" w:color="auto"/>
              <w:right w:val="single" w:sz="4" w:space="0" w:color="auto"/>
            </w:tcBorders>
            <w:shd w:val="clear" w:color="auto" w:fill="auto"/>
            <w:noWrap/>
            <w:vAlign w:val="bottom"/>
            <w:hideMark/>
          </w:tcPr>
          <w:p w14:paraId="3161DF3A" w14:textId="77777777" w:rsidR="00EC5CD4" w:rsidRPr="00EC5CD4" w:rsidRDefault="00EC5CD4" w:rsidP="00EC5CD4">
            <w:pPr>
              <w:jc w:val="right"/>
              <w:rPr>
                <w:sz w:val="20"/>
              </w:rPr>
            </w:pPr>
            <w:r w:rsidRPr="00EC5CD4">
              <w:rPr>
                <w:sz w:val="20"/>
              </w:rPr>
              <w:t>1,367</w:t>
            </w:r>
          </w:p>
        </w:tc>
        <w:tc>
          <w:tcPr>
            <w:tcW w:w="980" w:type="dxa"/>
            <w:tcBorders>
              <w:top w:val="nil"/>
              <w:left w:val="nil"/>
              <w:bottom w:val="single" w:sz="4" w:space="0" w:color="auto"/>
              <w:right w:val="single" w:sz="4" w:space="0" w:color="auto"/>
            </w:tcBorders>
            <w:shd w:val="clear" w:color="auto" w:fill="auto"/>
            <w:noWrap/>
            <w:vAlign w:val="bottom"/>
            <w:hideMark/>
          </w:tcPr>
          <w:p w14:paraId="12BD80E0" w14:textId="77777777" w:rsidR="00EC5CD4" w:rsidRPr="00EC5CD4" w:rsidRDefault="00EC5CD4" w:rsidP="00EC5CD4">
            <w:pPr>
              <w:jc w:val="right"/>
              <w:rPr>
                <w:sz w:val="20"/>
              </w:rPr>
            </w:pPr>
            <w:r w:rsidRPr="00EC5CD4">
              <w:rPr>
                <w:sz w:val="20"/>
              </w:rPr>
              <w:t>2,797</w:t>
            </w:r>
          </w:p>
        </w:tc>
        <w:tc>
          <w:tcPr>
            <w:tcW w:w="980" w:type="dxa"/>
            <w:tcBorders>
              <w:top w:val="nil"/>
              <w:left w:val="nil"/>
              <w:bottom w:val="single" w:sz="4" w:space="0" w:color="auto"/>
              <w:right w:val="single" w:sz="4" w:space="0" w:color="auto"/>
            </w:tcBorders>
            <w:shd w:val="clear" w:color="auto" w:fill="auto"/>
            <w:noWrap/>
            <w:vAlign w:val="bottom"/>
            <w:hideMark/>
          </w:tcPr>
          <w:p w14:paraId="0B05CBD3" w14:textId="77777777" w:rsidR="00EC5CD4" w:rsidRPr="00EC5CD4" w:rsidRDefault="00EC5CD4" w:rsidP="00EC5CD4">
            <w:pPr>
              <w:jc w:val="right"/>
              <w:rPr>
                <w:sz w:val="20"/>
              </w:rPr>
            </w:pPr>
            <w:r w:rsidRPr="00EC5CD4">
              <w:rPr>
                <w:sz w:val="20"/>
              </w:rPr>
              <w:t>19,693</w:t>
            </w:r>
          </w:p>
        </w:tc>
      </w:tr>
      <w:tr w:rsidR="00EC5CD4" w:rsidRPr="00EC5CD4" w14:paraId="622765D3"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FEB85DE"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397B86DE"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52F1B7CE"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E254CC7"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17FF3A33"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5686A14"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01BA59E9"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6517EE8C" w14:textId="77777777" w:rsidR="00EC5CD4" w:rsidRPr="00EC5CD4" w:rsidRDefault="00EC5CD4" w:rsidP="00EC5CD4">
            <w:pPr>
              <w:rPr>
                <w:sz w:val="20"/>
              </w:rPr>
            </w:pPr>
            <w:r w:rsidRPr="00EC5CD4">
              <w:rPr>
                <w:sz w:val="20"/>
              </w:rPr>
              <w:t> </w:t>
            </w:r>
          </w:p>
        </w:tc>
      </w:tr>
      <w:tr w:rsidR="00EC5CD4" w:rsidRPr="00EC5CD4" w14:paraId="72D2ADF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C7A2EE4"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6658F23"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5130EEEE"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5D4B09A9"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22BE7323"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7F53B7EA"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49C380AC"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6C2C1947" w14:textId="77777777" w:rsidR="00EC5CD4" w:rsidRPr="00EC5CD4" w:rsidRDefault="00EC5CD4" w:rsidP="00EC5CD4">
            <w:pPr>
              <w:jc w:val="right"/>
              <w:rPr>
                <w:sz w:val="20"/>
              </w:rPr>
            </w:pPr>
            <w:r w:rsidRPr="00EC5CD4">
              <w:rPr>
                <w:sz w:val="20"/>
              </w:rPr>
              <w:t>337,196</w:t>
            </w:r>
          </w:p>
        </w:tc>
      </w:tr>
      <w:tr w:rsidR="00EC5CD4" w:rsidRPr="00EC5CD4" w14:paraId="09E8543B"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7695353"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3EAE423D" w14:textId="77777777" w:rsidR="00EC5CD4" w:rsidRPr="00EC5CD4" w:rsidRDefault="00EC5CD4" w:rsidP="00EC5CD4">
            <w:pPr>
              <w:jc w:val="right"/>
              <w:rPr>
                <w:sz w:val="20"/>
              </w:rPr>
            </w:pPr>
            <w:r w:rsidRPr="00EC5CD4">
              <w:rPr>
                <w:sz w:val="20"/>
              </w:rPr>
              <w:t>8.47%</w:t>
            </w:r>
          </w:p>
        </w:tc>
        <w:tc>
          <w:tcPr>
            <w:tcW w:w="980" w:type="dxa"/>
            <w:tcBorders>
              <w:top w:val="nil"/>
              <w:left w:val="nil"/>
              <w:bottom w:val="nil"/>
              <w:right w:val="single" w:sz="4" w:space="0" w:color="auto"/>
            </w:tcBorders>
            <w:shd w:val="clear" w:color="auto" w:fill="auto"/>
            <w:noWrap/>
            <w:vAlign w:val="bottom"/>
            <w:hideMark/>
          </w:tcPr>
          <w:p w14:paraId="3E2FE2A5" w14:textId="77777777" w:rsidR="00EC5CD4" w:rsidRPr="00EC5CD4" w:rsidRDefault="00EC5CD4" w:rsidP="00EC5CD4">
            <w:pPr>
              <w:jc w:val="right"/>
              <w:rPr>
                <w:sz w:val="20"/>
              </w:rPr>
            </w:pPr>
            <w:r w:rsidRPr="00EC5CD4">
              <w:rPr>
                <w:sz w:val="20"/>
              </w:rPr>
              <w:t>8.82%</w:t>
            </w:r>
          </w:p>
        </w:tc>
        <w:tc>
          <w:tcPr>
            <w:tcW w:w="980" w:type="dxa"/>
            <w:tcBorders>
              <w:top w:val="nil"/>
              <w:left w:val="nil"/>
              <w:bottom w:val="nil"/>
              <w:right w:val="single" w:sz="4" w:space="0" w:color="auto"/>
            </w:tcBorders>
            <w:shd w:val="clear" w:color="auto" w:fill="auto"/>
            <w:noWrap/>
            <w:vAlign w:val="bottom"/>
            <w:hideMark/>
          </w:tcPr>
          <w:p w14:paraId="4E16AE87" w14:textId="77777777" w:rsidR="00EC5CD4" w:rsidRPr="00EC5CD4" w:rsidRDefault="00EC5CD4" w:rsidP="00EC5CD4">
            <w:pPr>
              <w:jc w:val="right"/>
              <w:rPr>
                <w:sz w:val="20"/>
              </w:rPr>
            </w:pPr>
            <w:r w:rsidRPr="00EC5CD4">
              <w:rPr>
                <w:sz w:val="20"/>
              </w:rPr>
              <w:t>10.17%</w:t>
            </w:r>
          </w:p>
        </w:tc>
        <w:tc>
          <w:tcPr>
            <w:tcW w:w="980" w:type="dxa"/>
            <w:tcBorders>
              <w:top w:val="nil"/>
              <w:left w:val="nil"/>
              <w:bottom w:val="nil"/>
              <w:right w:val="nil"/>
            </w:tcBorders>
            <w:shd w:val="clear" w:color="auto" w:fill="auto"/>
            <w:noWrap/>
            <w:vAlign w:val="bottom"/>
            <w:hideMark/>
          </w:tcPr>
          <w:p w14:paraId="57326209" w14:textId="77777777" w:rsidR="00EC5CD4" w:rsidRPr="00EC5CD4" w:rsidRDefault="00EC5CD4" w:rsidP="00EC5CD4">
            <w:pPr>
              <w:jc w:val="right"/>
              <w:rPr>
                <w:sz w:val="20"/>
              </w:rPr>
            </w:pPr>
            <w:r w:rsidRPr="00EC5CD4">
              <w:rPr>
                <w:sz w:val="20"/>
              </w:rPr>
              <w:t>10.17%</w:t>
            </w:r>
          </w:p>
        </w:tc>
        <w:tc>
          <w:tcPr>
            <w:tcW w:w="980" w:type="dxa"/>
            <w:tcBorders>
              <w:top w:val="nil"/>
              <w:left w:val="single" w:sz="4" w:space="0" w:color="auto"/>
              <w:bottom w:val="nil"/>
              <w:right w:val="single" w:sz="4" w:space="0" w:color="auto"/>
            </w:tcBorders>
            <w:shd w:val="clear" w:color="auto" w:fill="auto"/>
            <w:noWrap/>
            <w:vAlign w:val="bottom"/>
            <w:hideMark/>
          </w:tcPr>
          <w:p w14:paraId="42E7C9D0" w14:textId="77777777" w:rsidR="00EC5CD4" w:rsidRPr="00EC5CD4" w:rsidRDefault="00EC5CD4" w:rsidP="00EC5CD4">
            <w:pPr>
              <w:jc w:val="right"/>
              <w:rPr>
                <w:sz w:val="20"/>
              </w:rPr>
            </w:pPr>
            <w:r w:rsidRPr="00EC5CD4">
              <w:rPr>
                <w:sz w:val="20"/>
              </w:rPr>
              <w:t>10.17%</w:t>
            </w:r>
          </w:p>
        </w:tc>
        <w:tc>
          <w:tcPr>
            <w:tcW w:w="980" w:type="dxa"/>
            <w:tcBorders>
              <w:top w:val="nil"/>
              <w:left w:val="nil"/>
              <w:bottom w:val="nil"/>
              <w:right w:val="single" w:sz="4" w:space="0" w:color="auto"/>
            </w:tcBorders>
            <w:shd w:val="clear" w:color="auto" w:fill="auto"/>
            <w:noWrap/>
            <w:vAlign w:val="bottom"/>
            <w:hideMark/>
          </w:tcPr>
          <w:p w14:paraId="51360289" w14:textId="77777777" w:rsidR="00EC5CD4" w:rsidRPr="00EC5CD4" w:rsidRDefault="00EC5CD4" w:rsidP="00EC5CD4">
            <w:pPr>
              <w:jc w:val="right"/>
              <w:rPr>
                <w:sz w:val="20"/>
              </w:rPr>
            </w:pPr>
            <w:r w:rsidRPr="00EC5CD4">
              <w:rPr>
                <w:sz w:val="20"/>
              </w:rPr>
              <w:t>10.17%</w:t>
            </w:r>
          </w:p>
        </w:tc>
        <w:tc>
          <w:tcPr>
            <w:tcW w:w="980" w:type="dxa"/>
            <w:tcBorders>
              <w:top w:val="nil"/>
              <w:left w:val="nil"/>
              <w:bottom w:val="nil"/>
              <w:right w:val="single" w:sz="4" w:space="0" w:color="auto"/>
            </w:tcBorders>
            <w:shd w:val="clear" w:color="auto" w:fill="auto"/>
            <w:noWrap/>
            <w:vAlign w:val="bottom"/>
            <w:hideMark/>
          </w:tcPr>
          <w:p w14:paraId="200C10AC" w14:textId="77777777" w:rsidR="00EC5CD4" w:rsidRPr="00EC5CD4" w:rsidRDefault="00EC5CD4" w:rsidP="00EC5CD4">
            <w:pPr>
              <w:jc w:val="right"/>
              <w:rPr>
                <w:sz w:val="20"/>
              </w:rPr>
            </w:pPr>
            <w:r w:rsidRPr="00EC5CD4">
              <w:rPr>
                <w:sz w:val="20"/>
              </w:rPr>
              <w:t>7.26%</w:t>
            </w:r>
          </w:p>
        </w:tc>
      </w:tr>
      <w:tr w:rsidR="00EC5CD4" w:rsidRPr="00EC5CD4" w14:paraId="4B97EB5C"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0F40253"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C09E80C" w14:textId="77777777" w:rsidR="00EC5CD4" w:rsidRPr="00EC5CD4" w:rsidRDefault="00EC5CD4" w:rsidP="00EC5CD4">
            <w:pPr>
              <w:jc w:val="right"/>
              <w:rPr>
                <w:sz w:val="20"/>
              </w:rPr>
            </w:pPr>
            <w:r w:rsidRPr="00EC5CD4">
              <w:rPr>
                <w:sz w:val="20"/>
              </w:rPr>
              <w:t>301,605</w:t>
            </w:r>
          </w:p>
        </w:tc>
        <w:tc>
          <w:tcPr>
            <w:tcW w:w="980" w:type="dxa"/>
            <w:tcBorders>
              <w:top w:val="nil"/>
              <w:left w:val="nil"/>
              <w:bottom w:val="single" w:sz="4" w:space="0" w:color="auto"/>
              <w:right w:val="single" w:sz="4" w:space="0" w:color="auto"/>
            </w:tcBorders>
            <w:shd w:val="clear" w:color="auto" w:fill="auto"/>
            <w:noWrap/>
            <w:vAlign w:val="bottom"/>
            <w:hideMark/>
          </w:tcPr>
          <w:p w14:paraId="4317C92F" w14:textId="77777777" w:rsidR="00EC5CD4" w:rsidRPr="00EC5CD4" w:rsidRDefault="00EC5CD4" w:rsidP="00EC5CD4">
            <w:pPr>
              <w:jc w:val="right"/>
              <w:rPr>
                <w:sz w:val="20"/>
              </w:rPr>
            </w:pPr>
            <w:r w:rsidRPr="00EC5CD4">
              <w:rPr>
                <w:sz w:val="20"/>
              </w:rPr>
              <w:t>61,917</w:t>
            </w:r>
          </w:p>
        </w:tc>
        <w:tc>
          <w:tcPr>
            <w:tcW w:w="980" w:type="dxa"/>
            <w:tcBorders>
              <w:top w:val="nil"/>
              <w:left w:val="nil"/>
              <w:bottom w:val="single" w:sz="4" w:space="0" w:color="auto"/>
              <w:right w:val="single" w:sz="4" w:space="0" w:color="auto"/>
            </w:tcBorders>
            <w:shd w:val="clear" w:color="auto" w:fill="auto"/>
            <w:noWrap/>
            <w:vAlign w:val="bottom"/>
            <w:hideMark/>
          </w:tcPr>
          <w:p w14:paraId="028DEC17" w14:textId="77777777" w:rsidR="00EC5CD4" w:rsidRPr="00EC5CD4" w:rsidRDefault="00EC5CD4" w:rsidP="00EC5CD4">
            <w:pPr>
              <w:jc w:val="right"/>
              <w:rPr>
                <w:sz w:val="20"/>
              </w:rPr>
            </w:pPr>
            <w:r w:rsidRPr="00EC5CD4">
              <w:rPr>
                <w:sz w:val="20"/>
              </w:rPr>
              <w:t>37,090</w:t>
            </w:r>
          </w:p>
        </w:tc>
        <w:tc>
          <w:tcPr>
            <w:tcW w:w="980" w:type="dxa"/>
            <w:tcBorders>
              <w:top w:val="nil"/>
              <w:left w:val="nil"/>
              <w:bottom w:val="single" w:sz="4" w:space="0" w:color="auto"/>
              <w:right w:val="single" w:sz="4" w:space="0" w:color="auto"/>
            </w:tcBorders>
            <w:shd w:val="clear" w:color="auto" w:fill="auto"/>
            <w:noWrap/>
            <w:vAlign w:val="bottom"/>
            <w:hideMark/>
          </w:tcPr>
          <w:p w14:paraId="19A6E3EF" w14:textId="77777777" w:rsidR="00EC5CD4" w:rsidRPr="00EC5CD4" w:rsidRDefault="00EC5CD4" w:rsidP="00EC5CD4">
            <w:pPr>
              <w:jc w:val="right"/>
              <w:rPr>
                <w:sz w:val="20"/>
              </w:rPr>
            </w:pPr>
            <w:r w:rsidRPr="00EC5CD4">
              <w:rPr>
                <w:sz w:val="20"/>
              </w:rPr>
              <w:t>31,807</w:t>
            </w:r>
          </w:p>
        </w:tc>
        <w:tc>
          <w:tcPr>
            <w:tcW w:w="980" w:type="dxa"/>
            <w:tcBorders>
              <w:top w:val="nil"/>
              <w:left w:val="nil"/>
              <w:bottom w:val="single" w:sz="4" w:space="0" w:color="auto"/>
              <w:right w:val="single" w:sz="4" w:space="0" w:color="auto"/>
            </w:tcBorders>
            <w:shd w:val="clear" w:color="auto" w:fill="auto"/>
            <w:noWrap/>
            <w:vAlign w:val="bottom"/>
            <w:hideMark/>
          </w:tcPr>
          <w:p w14:paraId="3282F66F" w14:textId="77777777" w:rsidR="00EC5CD4" w:rsidRPr="00EC5CD4" w:rsidRDefault="00EC5CD4" w:rsidP="00EC5CD4">
            <w:pPr>
              <w:jc w:val="right"/>
              <w:rPr>
                <w:sz w:val="20"/>
              </w:rPr>
            </w:pPr>
            <w:r w:rsidRPr="00EC5CD4">
              <w:rPr>
                <w:sz w:val="20"/>
              </w:rPr>
              <w:t>1,751</w:t>
            </w:r>
          </w:p>
        </w:tc>
        <w:tc>
          <w:tcPr>
            <w:tcW w:w="980" w:type="dxa"/>
            <w:tcBorders>
              <w:top w:val="nil"/>
              <w:left w:val="nil"/>
              <w:bottom w:val="single" w:sz="4" w:space="0" w:color="auto"/>
              <w:right w:val="single" w:sz="4" w:space="0" w:color="auto"/>
            </w:tcBorders>
            <w:shd w:val="clear" w:color="auto" w:fill="auto"/>
            <w:noWrap/>
            <w:vAlign w:val="bottom"/>
            <w:hideMark/>
          </w:tcPr>
          <w:p w14:paraId="6534CA0D" w14:textId="77777777" w:rsidR="00EC5CD4" w:rsidRPr="00EC5CD4" w:rsidRDefault="00EC5CD4" w:rsidP="00EC5CD4">
            <w:pPr>
              <w:jc w:val="right"/>
              <w:rPr>
                <w:sz w:val="20"/>
              </w:rPr>
            </w:pPr>
            <w:r w:rsidRPr="00EC5CD4">
              <w:rPr>
                <w:sz w:val="20"/>
              </w:rPr>
              <w:t>3,532</w:t>
            </w:r>
          </w:p>
        </w:tc>
        <w:tc>
          <w:tcPr>
            <w:tcW w:w="980" w:type="dxa"/>
            <w:tcBorders>
              <w:top w:val="nil"/>
              <w:left w:val="nil"/>
              <w:bottom w:val="single" w:sz="4" w:space="0" w:color="auto"/>
              <w:right w:val="single" w:sz="4" w:space="0" w:color="auto"/>
            </w:tcBorders>
            <w:shd w:val="clear" w:color="auto" w:fill="auto"/>
            <w:noWrap/>
            <w:vAlign w:val="bottom"/>
            <w:hideMark/>
          </w:tcPr>
          <w:p w14:paraId="35384ABC" w14:textId="77777777" w:rsidR="00EC5CD4" w:rsidRPr="00EC5CD4" w:rsidRDefault="00EC5CD4" w:rsidP="00EC5CD4">
            <w:pPr>
              <w:jc w:val="right"/>
              <w:rPr>
                <w:sz w:val="20"/>
              </w:rPr>
            </w:pPr>
            <w:r w:rsidRPr="00EC5CD4">
              <w:rPr>
                <w:sz w:val="20"/>
              </w:rPr>
              <w:t>24,489</w:t>
            </w:r>
          </w:p>
        </w:tc>
      </w:tr>
      <w:tr w:rsidR="00EC5CD4" w:rsidRPr="00EC5CD4" w14:paraId="3D6C70A7" w14:textId="77777777" w:rsidTr="00BF315B">
        <w:trPr>
          <w:trHeight w:val="1565"/>
        </w:trPr>
        <w:tc>
          <w:tcPr>
            <w:tcW w:w="8980" w:type="dxa"/>
            <w:gridSpan w:val="8"/>
            <w:tcBorders>
              <w:top w:val="single" w:sz="4" w:space="0" w:color="auto"/>
              <w:left w:val="nil"/>
              <w:bottom w:val="nil"/>
              <w:right w:val="nil"/>
            </w:tcBorders>
            <w:shd w:val="clear" w:color="auto" w:fill="auto"/>
            <w:vAlign w:val="bottom"/>
            <w:hideMark/>
          </w:tcPr>
          <w:p w14:paraId="6D28DA2E"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r w:rsidRPr="00EC5CD4">
              <w:rPr>
                <w:sz w:val="18"/>
                <w:szCs w:val="18"/>
              </w:rPr>
              <w:br/>
              <w:t xml:space="preserve">## NSDUH did not estimate this rate for the Metropolitan District; therefore, the number is estimated by </w:t>
            </w:r>
            <w:proofErr w:type="spellStart"/>
            <w:r w:rsidRPr="00EC5CD4">
              <w:rPr>
                <w:sz w:val="18"/>
                <w:szCs w:val="18"/>
              </w:rPr>
              <w:t>subtacting</w:t>
            </w:r>
            <w:proofErr w:type="spellEnd"/>
            <w:r w:rsidRPr="00EC5CD4">
              <w:rPr>
                <w:sz w:val="18"/>
                <w:szCs w:val="18"/>
              </w:rPr>
              <w:t xml:space="preserve"> the Jefferson Parish number from the Greater New Orleans number. The estimate for Metropolitan District is allocated to constituent parishes by population size.</w:t>
            </w:r>
          </w:p>
          <w:p w14:paraId="1E2CF2D4" w14:textId="2250E92B"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6B583E12" w14:textId="33521C7F" w:rsidR="00EC5CD4" w:rsidRDefault="00EC5CD4" w:rsidP="001549F4"/>
    <w:p w14:paraId="701BF399" w14:textId="7B5D2F03" w:rsidR="00EC5CD4" w:rsidRDefault="00EC5CD4">
      <w:r>
        <w:br w:type="page"/>
      </w:r>
    </w:p>
    <w:p w14:paraId="40E17ECD" w14:textId="7E331CA8" w:rsidR="00EC5CD4" w:rsidRDefault="00EC5CD4" w:rsidP="00130E39">
      <w:pPr>
        <w:pStyle w:val="ListParagraph"/>
        <w:numPr>
          <w:ilvl w:val="0"/>
          <w:numId w:val="7"/>
        </w:numPr>
      </w:pPr>
      <w:r w:rsidRPr="00EC5CD4">
        <w:lastRenderedPageBreak/>
        <w:t xml:space="preserve">Alcohol Use Disorder in the </w:t>
      </w:r>
      <w:r w:rsidRPr="00130E39">
        <w:rPr>
          <w:i/>
          <w:iCs/>
        </w:rPr>
        <w:t>Past Year</w:t>
      </w:r>
    </w:p>
    <w:p w14:paraId="5C82DF90" w14:textId="23C788AE" w:rsidR="00EC5CD4" w:rsidRDefault="00EC5CD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6C354F6D"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0E18E5D2" w14:textId="529AA945" w:rsidR="00EC5CD4" w:rsidRPr="00EC5CD4" w:rsidRDefault="00EC5CD4" w:rsidP="00EC5CD4">
            <w:pPr>
              <w:jc w:val="center"/>
              <w:rPr>
                <w:b/>
                <w:bCs/>
                <w:sz w:val="20"/>
              </w:rPr>
            </w:pPr>
            <w:bookmarkStart w:id="15" w:name="_Hlk58487179"/>
            <w:r w:rsidRPr="00EC5CD4">
              <w:rPr>
                <w:b/>
                <w:bCs/>
                <w:sz w:val="20"/>
              </w:rPr>
              <w:t xml:space="preserve">Alcohol Use Disorder in the </w:t>
            </w:r>
            <w:r w:rsidRPr="00EC5CD4">
              <w:rPr>
                <w:b/>
                <w:bCs/>
                <w:i/>
                <w:iCs/>
                <w:sz w:val="20"/>
                <w:u w:val="single"/>
              </w:rPr>
              <w:t>Past Year</w:t>
            </w:r>
            <w:r w:rsidRPr="00EC5CD4">
              <w:rPr>
                <w:b/>
                <w:bCs/>
                <w:sz w:val="20"/>
              </w:rPr>
              <w:t xml:space="preserve"> </w:t>
            </w:r>
            <w:bookmarkEnd w:id="15"/>
            <w:r w:rsidRPr="00EC5CD4">
              <w:rPr>
                <w:b/>
                <w:bCs/>
                <w:sz w:val="20"/>
              </w:rPr>
              <w:t>by Age Group Among Residents of</w:t>
            </w:r>
            <w:r w:rsidRPr="00EC5CD4">
              <w:rPr>
                <w:b/>
                <w:bCs/>
                <w:sz w:val="20"/>
              </w:rPr>
              <w:br/>
              <w:t>Greater New Orleans Parishes and Statewide, 2019*</w:t>
            </w:r>
          </w:p>
        </w:tc>
      </w:tr>
      <w:tr w:rsidR="00EC5CD4" w:rsidRPr="00EC5CD4" w14:paraId="7E79AB1F"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434F3E5"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0E7D763B" w14:textId="611AB465"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7E2D6755"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2EE22709"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35004130"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65D19BC3"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35517310"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10B803E2" w14:textId="77777777" w:rsidR="00EC5CD4" w:rsidRPr="00EC5CD4" w:rsidRDefault="00EC5CD4" w:rsidP="00EC5CD4">
            <w:pPr>
              <w:jc w:val="center"/>
              <w:rPr>
                <w:sz w:val="20"/>
              </w:rPr>
            </w:pPr>
            <w:r w:rsidRPr="00EC5CD4">
              <w:rPr>
                <w:sz w:val="20"/>
              </w:rPr>
              <w:t>Jefferson Parish HSA</w:t>
            </w:r>
          </w:p>
        </w:tc>
      </w:tr>
      <w:tr w:rsidR="00EC5CD4" w:rsidRPr="00EC5CD4" w14:paraId="102AAD1C"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CA6C30B"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44953D5C" w14:textId="1F2C2567"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2C5FCD63" w14:textId="7BA3A18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2571612" w14:textId="4F78B253"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11F698D8" w14:textId="645E04C6"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C5243F3" w14:textId="05EA0BFB"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3B05A4EF" w14:textId="7EDA4CCF"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62952EA0" w14:textId="17C19CFC" w:rsidR="00EC5CD4" w:rsidRPr="00EC5CD4" w:rsidRDefault="00EC5CD4" w:rsidP="00EC5CD4">
            <w:pPr>
              <w:rPr>
                <w:sz w:val="20"/>
              </w:rPr>
            </w:pPr>
          </w:p>
        </w:tc>
      </w:tr>
      <w:tr w:rsidR="00EC5CD4" w:rsidRPr="00EC5CD4" w14:paraId="6FA54573"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03FBDBF"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85F3987"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382ED486"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779BE268"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3249A5CB"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4E6A39E2"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5C3B6479"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6D8A59D6" w14:textId="77777777" w:rsidR="00EC5CD4" w:rsidRPr="00EC5CD4" w:rsidRDefault="00EC5CD4" w:rsidP="00EC5CD4">
            <w:pPr>
              <w:jc w:val="right"/>
              <w:rPr>
                <w:sz w:val="20"/>
              </w:rPr>
            </w:pPr>
            <w:r w:rsidRPr="00EC5CD4">
              <w:rPr>
                <w:sz w:val="20"/>
              </w:rPr>
              <w:t>30,385</w:t>
            </w:r>
          </w:p>
        </w:tc>
      </w:tr>
      <w:tr w:rsidR="00EC5CD4" w:rsidRPr="00EC5CD4" w14:paraId="192CED4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2663D65" w14:textId="102F2557" w:rsidR="00EC5CD4" w:rsidRPr="00EC5CD4" w:rsidRDefault="00EC5CD4" w:rsidP="00EC5CD4">
            <w:pPr>
              <w:rPr>
                <w:sz w:val="20"/>
              </w:rPr>
            </w:pPr>
            <w:r w:rsidRPr="00EC5CD4">
              <w:rPr>
                <w:sz w:val="20"/>
              </w:rPr>
              <w:t xml:space="preserve">    </w:t>
            </w:r>
            <w:r w:rsidR="00BD1693">
              <w:rPr>
                <w:sz w:val="20"/>
              </w:rPr>
              <w:t xml:space="preserve">Rate (%) </w:t>
            </w:r>
            <w:r w:rsidR="00BD1693" w:rsidRPr="00BD1693">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174E25D5" w14:textId="77777777" w:rsidR="00EC5CD4" w:rsidRPr="00EC5CD4" w:rsidRDefault="00EC5CD4" w:rsidP="00EC5CD4">
            <w:pPr>
              <w:jc w:val="right"/>
              <w:rPr>
                <w:sz w:val="20"/>
              </w:rPr>
            </w:pPr>
            <w:r w:rsidRPr="00EC5CD4">
              <w:rPr>
                <w:sz w:val="20"/>
              </w:rPr>
              <w:t>2.29%</w:t>
            </w:r>
          </w:p>
        </w:tc>
        <w:tc>
          <w:tcPr>
            <w:tcW w:w="980" w:type="dxa"/>
            <w:tcBorders>
              <w:top w:val="nil"/>
              <w:left w:val="nil"/>
              <w:bottom w:val="nil"/>
              <w:right w:val="single" w:sz="4" w:space="0" w:color="auto"/>
            </w:tcBorders>
            <w:shd w:val="clear" w:color="auto" w:fill="auto"/>
            <w:noWrap/>
            <w:vAlign w:val="bottom"/>
            <w:hideMark/>
          </w:tcPr>
          <w:p w14:paraId="2C0E2390" w14:textId="77777777" w:rsidR="00EC5CD4" w:rsidRPr="00EC5CD4" w:rsidRDefault="00EC5CD4" w:rsidP="00EC5CD4">
            <w:pPr>
              <w:jc w:val="right"/>
              <w:rPr>
                <w:sz w:val="20"/>
              </w:rPr>
            </w:pPr>
            <w:r w:rsidRPr="00EC5CD4">
              <w:rPr>
                <w:sz w:val="20"/>
              </w:rPr>
              <w:t>1.99%</w:t>
            </w:r>
          </w:p>
        </w:tc>
        <w:tc>
          <w:tcPr>
            <w:tcW w:w="980" w:type="dxa"/>
            <w:tcBorders>
              <w:top w:val="nil"/>
              <w:left w:val="nil"/>
              <w:bottom w:val="nil"/>
              <w:right w:val="single" w:sz="4" w:space="0" w:color="auto"/>
            </w:tcBorders>
            <w:shd w:val="clear" w:color="auto" w:fill="auto"/>
            <w:noWrap/>
            <w:vAlign w:val="bottom"/>
            <w:hideMark/>
          </w:tcPr>
          <w:p w14:paraId="35771438" w14:textId="77777777" w:rsidR="00EC5CD4" w:rsidRPr="00EC5CD4" w:rsidRDefault="00EC5CD4" w:rsidP="00EC5CD4">
            <w:pPr>
              <w:jc w:val="right"/>
              <w:rPr>
                <w:sz w:val="20"/>
              </w:rPr>
            </w:pPr>
            <w:r w:rsidRPr="00EC5CD4">
              <w:rPr>
                <w:sz w:val="20"/>
              </w:rPr>
              <w:t>1.91%</w:t>
            </w:r>
          </w:p>
        </w:tc>
        <w:tc>
          <w:tcPr>
            <w:tcW w:w="980" w:type="dxa"/>
            <w:tcBorders>
              <w:top w:val="nil"/>
              <w:left w:val="nil"/>
              <w:bottom w:val="nil"/>
              <w:right w:val="nil"/>
            </w:tcBorders>
            <w:shd w:val="clear" w:color="auto" w:fill="auto"/>
            <w:noWrap/>
            <w:vAlign w:val="bottom"/>
            <w:hideMark/>
          </w:tcPr>
          <w:p w14:paraId="344F7812" w14:textId="77777777" w:rsidR="00EC5CD4" w:rsidRPr="00EC5CD4" w:rsidRDefault="00EC5CD4" w:rsidP="00EC5CD4">
            <w:pPr>
              <w:jc w:val="right"/>
              <w:rPr>
                <w:sz w:val="20"/>
              </w:rPr>
            </w:pPr>
            <w:r w:rsidRPr="00EC5CD4">
              <w:rPr>
                <w:sz w:val="20"/>
              </w:rPr>
              <w:t>1.91%</w:t>
            </w:r>
          </w:p>
        </w:tc>
        <w:tc>
          <w:tcPr>
            <w:tcW w:w="980" w:type="dxa"/>
            <w:tcBorders>
              <w:top w:val="nil"/>
              <w:left w:val="single" w:sz="4" w:space="0" w:color="auto"/>
              <w:bottom w:val="nil"/>
              <w:right w:val="single" w:sz="4" w:space="0" w:color="auto"/>
            </w:tcBorders>
            <w:shd w:val="clear" w:color="auto" w:fill="auto"/>
            <w:noWrap/>
            <w:vAlign w:val="bottom"/>
            <w:hideMark/>
          </w:tcPr>
          <w:p w14:paraId="67BE0834" w14:textId="77777777" w:rsidR="00EC5CD4" w:rsidRPr="00EC5CD4" w:rsidRDefault="00EC5CD4" w:rsidP="00EC5CD4">
            <w:pPr>
              <w:jc w:val="right"/>
              <w:rPr>
                <w:sz w:val="20"/>
              </w:rPr>
            </w:pPr>
            <w:r w:rsidRPr="00EC5CD4">
              <w:rPr>
                <w:sz w:val="20"/>
              </w:rPr>
              <w:t>1.91%</w:t>
            </w:r>
          </w:p>
        </w:tc>
        <w:tc>
          <w:tcPr>
            <w:tcW w:w="980" w:type="dxa"/>
            <w:tcBorders>
              <w:top w:val="nil"/>
              <w:left w:val="nil"/>
              <w:bottom w:val="nil"/>
              <w:right w:val="single" w:sz="4" w:space="0" w:color="auto"/>
            </w:tcBorders>
            <w:shd w:val="clear" w:color="auto" w:fill="auto"/>
            <w:noWrap/>
            <w:vAlign w:val="bottom"/>
            <w:hideMark/>
          </w:tcPr>
          <w:p w14:paraId="004D9F8A" w14:textId="77777777" w:rsidR="00EC5CD4" w:rsidRPr="00EC5CD4" w:rsidRDefault="00EC5CD4" w:rsidP="00EC5CD4">
            <w:pPr>
              <w:jc w:val="right"/>
              <w:rPr>
                <w:sz w:val="20"/>
              </w:rPr>
            </w:pPr>
            <w:r w:rsidRPr="00EC5CD4">
              <w:rPr>
                <w:sz w:val="20"/>
              </w:rPr>
              <w:t>1.91%</w:t>
            </w:r>
          </w:p>
        </w:tc>
        <w:tc>
          <w:tcPr>
            <w:tcW w:w="980" w:type="dxa"/>
            <w:tcBorders>
              <w:top w:val="nil"/>
              <w:left w:val="nil"/>
              <w:bottom w:val="nil"/>
              <w:right w:val="single" w:sz="4" w:space="0" w:color="auto"/>
            </w:tcBorders>
            <w:shd w:val="clear" w:color="000000" w:fill="FFD85B"/>
            <w:noWrap/>
            <w:vAlign w:val="bottom"/>
            <w:hideMark/>
          </w:tcPr>
          <w:p w14:paraId="3CEE3325" w14:textId="77777777" w:rsidR="00EC5CD4" w:rsidRPr="00EC5CD4" w:rsidRDefault="00EC5CD4" w:rsidP="00EC5CD4">
            <w:pPr>
              <w:jc w:val="center"/>
              <w:rPr>
                <w:sz w:val="20"/>
              </w:rPr>
            </w:pPr>
            <w:r w:rsidRPr="00EC5CD4">
              <w:rPr>
                <w:sz w:val="20"/>
              </w:rPr>
              <w:t>##</w:t>
            </w:r>
          </w:p>
        </w:tc>
      </w:tr>
      <w:tr w:rsidR="00EC5CD4" w:rsidRPr="00EC5CD4" w14:paraId="28FDAE86"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B96C488"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1FE8128" w14:textId="77777777" w:rsidR="00EC5CD4" w:rsidRPr="00EC5CD4" w:rsidRDefault="00EC5CD4" w:rsidP="00EC5CD4">
            <w:pPr>
              <w:jc w:val="right"/>
              <w:rPr>
                <w:sz w:val="20"/>
              </w:rPr>
            </w:pPr>
            <w:r w:rsidRPr="00EC5CD4">
              <w:rPr>
                <w:sz w:val="20"/>
              </w:rPr>
              <w:t>8,251</w:t>
            </w:r>
          </w:p>
        </w:tc>
        <w:tc>
          <w:tcPr>
            <w:tcW w:w="980" w:type="dxa"/>
            <w:tcBorders>
              <w:top w:val="nil"/>
              <w:left w:val="nil"/>
              <w:bottom w:val="single" w:sz="4" w:space="0" w:color="auto"/>
              <w:right w:val="single" w:sz="4" w:space="0" w:color="auto"/>
            </w:tcBorders>
            <w:shd w:val="clear" w:color="auto" w:fill="auto"/>
            <w:noWrap/>
            <w:vAlign w:val="bottom"/>
            <w:hideMark/>
          </w:tcPr>
          <w:p w14:paraId="6BAD96CC" w14:textId="77777777" w:rsidR="00EC5CD4" w:rsidRPr="00EC5CD4" w:rsidRDefault="00EC5CD4" w:rsidP="00EC5CD4">
            <w:pPr>
              <w:jc w:val="right"/>
              <w:rPr>
                <w:sz w:val="20"/>
              </w:rPr>
            </w:pPr>
            <w:r w:rsidRPr="00EC5CD4">
              <w:rPr>
                <w:sz w:val="20"/>
              </w:rPr>
              <w:t>1,216</w:t>
            </w:r>
          </w:p>
        </w:tc>
        <w:tc>
          <w:tcPr>
            <w:tcW w:w="980" w:type="dxa"/>
            <w:tcBorders>
              <w:top w:val="nil"/>
              <w:left w:val="nil"/>
              <w:bottom w:val="single" w:sz="4" w:space="0" w:color="auto"/>
              <w:right w:val="single" w:sz="4" w:space="0" w:color="auto"/>
            </w:tcBorders>
            <w:shd w:val="clear" w:color="auto" w:fill="auto"/>
            <w:noWrap/>
            <w:vAlign w:val="bottom"/>
            <w:hideMark/>
          </w:tcPr>
          <w:p w14:paraId="7D7F03F2" w14:textId="77777777" w:rsidR="00EC5CD4" w:rsidRPr="00EC5CD4" w:rsidRDefault="00EC5CD4" w:rsidP="00EC5CD4">
            <w:pPr>
              <w:jc w:val="right"/>
              <w:rPr>
                <w:sz w:val="20"/>
              </w:rPr>
            </w:pPr>
            <w:r w:rsidRPr="00EC5CD4">
              <w:rPr>
                <w:sz w:val="20"/>
              </w:rPr>
              <w:t>589</w:t>
            </w:r>
          </w:p>
        </w:tc>
        <w:tc>
          <w:tcPr>
            <w:tcW w:w="980" w:type="dxa"/>
            <w:tcBorders>
              <w:top w:val="nil"/>
              <w:left w:val="nil"/>
              <w:bottom w:val="single" w:sz="4" w:space="0" w:color="auto"/>
              <w:right w:val="single" w:sz="4" w:space="0" w:color="auto"/>
            </w:tcBorders>
            <w:shd w:val="clear" w:color="auto" w:fill="auto"/>
            <w:noWrap/>
            <w:vAlign w:val="bottom"/>
            <w:hideMark/>
          </w:tcPr>
          <w:p w14:paraId="0CC7543A" w14:textId="77777777" w:rsidR="00EC5CD4" w:rsidRPr="00EC5CD4" w:rsidRDefault="00EC5CD4" w:rsidP="00EC5CD4">
            <w:pPr>
              <w:jc w:val="right"/>
              <w:rPr>
                <w:sz w:val="20"/>
              </w:rPr>
            </w:pPr>
            <w:r w:rsidRPr="00EC5CD4">
              <w:rPr>
                <w:sz w:val="20"/>
              </w:rPr>
              <w:t>472</w:t>
            </w:r>
          </w:p>
        </w:tc>
        <w:tc>
          <w:tcPr>
            <w:tcW w:w="980" w:type="dxa"/>
            <w:tcBorders>
              <w:top w:val="nil"/>
              <w:left w:val="nil"/>
              <w:bottom w:val="single" w:sz="4" w:space="0" w:color="auto"/>
              <w:right w:val="single" w:sz="4" w:space="0" w:color="auto"/>
            </w:tcBorders>
            <w:shd w:val="clear" w:color="auto" w:fill="auto"/>
            <w:noWrap/>
            <w:vAlign w:val="bottom"/>
            <w:hideMark/>
          </w:tcPr>
          <w:p w14:paraId="55F6EB8B" w14:textId="77777777" w:rsidR="00EC5CD4" w:rsidRPr="00EC5CD4" w:rsidRDefault="00EC5CD4" w:rsidP="00EC5CD4">
            <w:pPr>
              <w:jc w:val="right"/>
              <w:rPr>
                <w:sz w:val="20"/>
              </w:rPr>
            </w:pPr>
            <w:r w:rsidRPr="00EC5CD4">
              <w:rPr>
                <w:sz w:val="20"/>
              </w:rPr>
              <w:t>40</w:t>
            </w:r>
          </w:p>
        </w:tc>
        <w:tc>
          <w:tcPr>
            <w:tcW w:w="980" w:type="dxa"/>
            <w:tcBorders>
              <w:top w:val="nil"/>
              <w:left w:val="nil"/>
              <w:bottom w:val="single" w:sz="4" w:space="0" w:color="auto"/>
              <w:right w:val="single" w:sz="4" w:space="0" w:color="auto"/>
            </w:tcBorders>
            <w:shd w:val="clear" w:color="auto" w:fill="auto"/>
            <w:noWrap/>
            <w:vAlign w:val="bottom"/>
            <w:hideMark/>
          </w:tcPr>
          <w:p w14:paraId="7CB70F5B" w14:textId="77777777" w:rsidR="00EC5CD4" w:rsidRPr="00EC5CD4" w:rsidRDefault="00EC5CD4" w:rsidP="00EC5CD4">
            <w:pPr>
              <w:jc w:val="right"/>
              <w:rPr>
                <w:sz w:val="20"/>
              </w:rPr>
            </w:pPr>
            <w:r w:rsidRPr="00EC5CD4">
              <w:rPr>
                <w:sz w:val="20"/>
              </w:rPr>
              <w:t>77</w:t>
            </w:r>
          </w:p>
        </w:tc>
        <w:tc>
          <w:tcPr>
            <w:tcW w:w="980" w:type="dxa"/>
            <w:tcBorders>
              <w:top w:val="nil"/>
              <w:left w:val="nil"/>
              <w:bottom w:val="single" w:sz="4" w:space="0" w:color="auto"/>
              <w:right w:val="single" w:sz="4" w:space="0" w:color="auto"/>
            </w:tcBorders>
            <w:shd w:val="clear" w:color="000000" w:fill="FFD85B"/>
            <w:noWrap/>
            <w:vAlign w:val="bottom"/>
            <w:hideMark/>
          </w:tcPr>
          <w:p w14:paraId="15D50A6D" w14:textId="6472252E" w:rsidR="00EC5CD4" w:rsidRPr="00EC5CD4" w:rsidRDefault="00EC5CD4" w:rsidP="00EC5CD4">
            <w:pPr>
              <w:rPr>
                <w:sz w:val="20"/>
              </w:rPr>
            </w:pPr>
            <w:r w:rsidRPr="00EC5CD4">
              <w:rPr>
                <w:sz w:val="20"/>
              </w:rPr>
              <w:t>627</w:t>
            </w:r>
          </w:p>
        </w:tc>
      </w:tr>
      <w:tr w:rsidR="00EC5CD4" w:rsidRPr="00EC5CD4" w14:paraId="241DE2D3"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71D03A1"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1F20ECC4" w14:textId="0A095518"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4D27D44C"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C085130" w14:textId="2312251B"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361F4F4B"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A31B434" w14:textId="0A2636CF"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0FDB256E" w14:textId="771146F0"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6537AE12" w14:textId="6CDB57AD" w:rsidR="00EC5CD4" w:rsidRPr="00EC5CD4" w:rsidRDefault="00EC5CD4" w:rsidP="00EC5CD4">
            <w:pPr>
              <w:rPr>
                <w:sz w:val="20"/>
              </w:rPr>
            </w:pPr>
          </w:p>
        </w:tc>
      </w:tr>
      <w:tr w:rsidR="00EC5CD4" w:rsidRPr="00EC5CD4" w14:paraId="5EBFAFE4"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9937CEA"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A2BE2B2"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20A4774B"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60814DAA"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5B8D4F4B"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5727D699"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2E608A11"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489D89E3" w14:textId="77777777" w:rsidR="00EC5CD4" w:rsidRPr="00EC5CD4" w:rsidRDefault="00EC5CD4" w:rsidP="00EC5CD4">
            <w:pPr>
              <w:jc w:val="right"/>
              <w:rPr>
                <w:sz w:val="20"/>
              </w:rPr>
            </w:pPr>
            <w:r w:rsidRPr="00EC5CD4">
              <w:rPr>
                <w:sz w:val="20"/>
              </w:rPr>
              <w:t>37,617</w:t>
            </w:r>
          </w:p>
        </w:tc>
      </w:tr>
      <w:tr w:rsidR="00EC5CD4" w:rsidRPr="00EC5CD4" w14:paraId="633A94B1"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ACBA347"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7143D8BF" w14:textId="77777777" w:rsidR="00EC5CD4" w:rsidRPr="00EC5CD4" w:rsidRDefault="00EC5CD4" w:rsidP="00EC5CD4">
            <w:pPr>
              <w:jc w:val="right"/>
              <w:rPr>
                <w:sz w:val="20"/>
              </w:rPr>
            </w:pPr>
            <w:r w:rsidRPr="00EC5CD4">
              <w:rPr>
                <w:sz w:val="20"/>
              </w:rPr>
              <w:t>9.89%</w:t>
            </w:r>
          </w:p>
        </w:tc>
        <w:tc>
          <w:tcPr>
            <w:tcW w:w="980" w:type="dxa"/>
            <w:tcBorders>
              <w:top w:val="nil"/>
              <w:left w:val="nil"/>
              <w:bottom w:val="nil"/>
              <w:right w:val="single" w:sz="4" w:space="0" w:color="auto"/>
            </w:tcBorders>
            <w:shd w:val="clear" w:color="auto" w:fill="auto"/>
            <w:noWrap/>
            <w:vAlign w:val="bottom"/>
            <w:hideMark/>
          </w:tcPr>
          <w:p w14:paraId="52DEFE43" w14:textId="77777777" w:rsidR="00EC5CD4" w:rsidRPr="00EC5CD4" w:rsidRDefault="00EC5CD4" w:rsidP="00EC5CD4">
            <w:pPr>
              <w:jc w:val="right"/>
              <w:rPr>
                <w:sz w:val="20"/>
              </w:rPr>
            </w:pPr>
            <w:r w:rsidRPr="00EC5CD4">
              <w:rPr>
                <w:sz w:val="20"/>
              </w:rPr>
              <w:t>9.80%</w:t>
            </w:r>
          </w:p>
        </w:tc>
        <w:tc>
          <w:tcPr>
            <w:tcW w:w="980" w:type="dxa"/>
            <w:tcBorders>
              <w:top w:val="nil"/>
              <w:left w:val="nil"/>
              <w:bottom w:val="nil"/>
              <w:right w:val="single" w:sz="4" w:space="0" w:color="auto"/>
            </w:tcBorders>
            <w:shd w:val="clear" w:color="auto" w:fill="auto"/>
            <w:noWrap/>
            <w:vAlign w:val="bottom"/>
            <w:hideMark/>
          </w:tcPr>
          <w:p w14:paraId="4FCD3950" w14:textId="77777777" w:rsidR="00EC5CD4" w:rsidRPr="00EC5CD4" w:rsidRDefault="00EC5CD4" w:rsidP="00EC5CD4">
            <w:pPr>
              <w:jc w:val="right"/>
              <w:rPr>
                <w:sz w:val="20"/>
              </w:rPr>
            </w:pPr>
            <w:r w:rsidRPr="00EC5CD4">
              <w:rPr>
                <w:sz w:val="20"/>
              </w:rPr>
              <w:t>10.70%</w:t>
            </w:r>
          </w:p>
        </w:tc>
        <w:tc>
          <w:tcPr>
            <w:tcW w:w="980" w:type="dxa"/>
            <w:tcBorders>
              <w:top w:val="nil"/>
              <w:left w:val="nil"/>
              <w:bottom w:val="nil"/>
              <w:right w:val="nil"/>
            </w:tcBorders>
            <w:shd w:val="clear" w:color="auto" w:fill="auto"/>
            <w:noWrap/>
            <w:vAlign w:val="bottom"/>
            <w:hideMark/>
          </w:tcPr>
          <w:p w14:paraId="0F1C9E43" w14:textId="77777777" w:rsidR="00EC5CD4" w:rsidRPr="00EC5CD4" w:rsidRDefault="00EC5CD4" w:rsidP="00EC5CD4">
            <w:pPr>
              <w:jc w:val="right"/>
              <w:rPr>
                <w:sz w:val="20"/>
              </w:rPr>
            </w:pPr>
            <w:r w:rsidRPr="00EC5CD4">
              <w:rPr>
                <w:sz w:val="20"/>
              </w:rPr>
              <w:t>10.70%</w:t>
            </w:r>
          </w:p>
        </w:tc>
        <w:tc>
          <w:tcPr>
            <w:tcW w:w="980" w:type="dxa"/>
            <w:tcBorders>
              <w:top w:val="nil"/>
              <w:left w:val="single" w:sz="4" w:space="0" w:color="auto"/>
              <w:bottom w:val="nil"/>
              <w:right w:val="single" w:sz="4" w:space="0" w:color="auto"/>
            </w:tcBorders>
            <w:shd w:val="clear" w:color="auto" w:fill="auto"/>
            <w:noWrap/>
            <w:vAlign w:val="bottom"/>
            <w:hideMark/>
          </w:tcPr>
          <w:p w14:paraId="57F02EE7" w14:textId="77777777" w:rsidR="00EC5CD4" w:rsidRPr="00EC5CD4" w:rsidRDefault="00EC5CD4" w:rsidP="00EC5CD4">
            <w:pPr>
              <w:jc w:val="right"/>
              <w:rPr>
                <w:sz w:val="20"/>
              </w:rPr>
            </w:pPr>
            <w:r w:rsidRPr="00EC5CD4">
              <w:rPr>
                <w:sz w:val="20"/>
              </w:rPr>
              <w:t>10.70%</w:t>
            </w:r>
          </w:p>
        </w:tc>
        <w:tc>
          <w:tcPr>
            <w:tcW w:w="980" w:type="dxa"/>
            <w:tcBorders>
              <w:top w:val="nil"/>
              <w:left w:val="nil"/>
              <w:bottom w:val="nil"/>
              <w:right w:val="single" w:sz="4" w:space="0" w:color="auto"/>
            </w:tcBorders>
            <w:shd w:val="clear" w:color="auto" w:fill="auto"/>
            <w:noWrap/>
            <w:vAlign w:val="bottom"/>
            <w:hideMark/>
          </w:tcPr>
          <w:p w14:paraId="34444775" w14:textId="77777777" w:rsidR="00EC5CD4" w:rsidRPr="00EC5CD4" w:rsidRDefault="00EC5CD4" w:rsidP="00EC5CD4">
            <w:pPr>
              <w:jc w:val="right"/>
              <w:rPr>
                <w:sz w:val="20"/>
              </w:rPr>
            </w:pPr>
            <w:r w:rsidRPr="00EC5CD4">
              <w:rPr>
                <w:sz w:val="20"/>
              </w:rPr>
              <w:t>10.70%</w:t>
            </w:r>
          </w:p>
        </w:tc>
        <w:tc>
          <w:tcPr>
            <w:tcW w:w="980" w:type="dxa"/>
            <w:tcBorders>
              <w:top w:val="nil"/>
              <w:left w:val="nil"/>
              <w:bottom w:val="nil"/>
              <w:right w:val="single" w:sz="4" w:space="0" w:color="auto"/>
            </w:tcBorders>
            <w:shd w:val="clear" w:color="auto" w:fill="auto"/>
            <w:noWrap/>
            <w:vAlign w:val="bottom"/>
            <w:hideMark/>
          </w:tcPr>
          <w:p w14:paraId="3A7630CA" w14:textId="77777777" w:rsidR="00EC5CD4" w:rsidRPr="00EC5CD4" w:rsidRDefault="00EC5CD4" w:rsidP="00EC5CD4">
            <w:pPr>
              <w:jc w:val="right"/>
              <w:rPr>
                <w:sz w:val="20"/>
              </w:rPr>
            </w:pPr>
            <w:r w:rsidRPr="00EC5CD4">
              <w:rPr>
                <w:sz w:val="20"/>
              </w:rPr>
              <w:t>8.53%</w:t>
            </w:r>
          </w:p>
        </w:tc>
      </w:tr>
      <w:tr w:rsidR="00EC5CD4" w:rsidRPr="00EC5CD4" w14:paraId="66ECBA6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96725F0"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52747A5" w14:textId="77777777" w:rsidR="00EC5CD4" w:rsidRPr="00EC5CD4" w:rsidRDefault="00EC5CD4" w:rsidP="00EC5CD4">
            <w:pPr>
              <w:jc w:val="right"/>
              <w:rPr>
                <w:sz w:val="20"/>
              </w:rPr>
            </w:pPr>
            <w:r w:rsidRPr="00EC5CD4">
              <w:rPr>
                <w:sz w:val="20"/>
              </w:rPr>
              <w:t>47,824</w:t>
            </w:r>
          </w:p>
        </w:tc>
        <w:tc>
          <w:tcPr>
            <w:tcW w:w="980" w:type="dxa"/>
            <w:tcBorders>
              <w:top w:val="nil"/>
              <w:left w:val="nil"/>
              <w:bottom w:val="single" w:sz="4" w:space="0" w:color="auto"/>
              <w:right w:val="single" w:sz="4" w:space="0" w:color="auto"/>
            </w:tcBorders>
            <w:shd w:val="clear" w:color="auto" w:fill="auto"/>
            <w:noWrap/>
            <w:vAlign w:val="bottom"/>
            <w:hideMark/>
          </w:tcPr>
          <w:p w14:paraId="2EF46E84" w14:textId="77777777" w:rsidR="00EC5CD4" w:rsidRPr="00EC5CD4" w:rsidRDefault="00EC5CD4" w:rsidP="00EC5CD4">
            <w:pPr>
              <w:jc w:val="right"/>
              <w:rPr>
                <w:sz w:val="20"/>
              </w:rPr>
            </w:pPr>
            <w:r w:rsidRPr="00EC5CD4">
              <w:rPr>
                <w:sz w:val="20"/>
              </w:rPr>
              <w:t>8,079</w:t>
            </w:r>
          </w:p>
        </w:tc>
        <w:tc>
          <w:tcPr>
            <w:tcW w:w="980" w:type="dxa"/>
            <w:tcBorders>
              <w:top w:val="nil"/>
              <w:left w:val="nil"/>
              <w:bottom w:val="single" w:sz="4" w:space="0" w:color="auto"/>
              <w:right w:val="single" w:sz="4" w:space="0" w:color="auto"/>
            </w:tcBorders>
            <w:shd w:val="clear" w:color="auto" w:fill="auto"/>
            <w:noWrap/>
            <w:vAlign w:val="bottom"/>
            <w:hideMark/>
          </w:tcPr>
          <w:p w14:paraId="7240952B" w14:textId="77777777" w:rsidR="00EC5CD4" w:rsidRPr="00EC5CD4" w:rsidRDefault="00EC5CD4" w:rsidP="00EC5CD4">
            <w:pPr>
              <w:jc w:val="right"/>
              <w:rPr>
                <w:sz w:val="20"/>
              </w:rPr>
            </w:pPr>
            <w:r w:rsidRPr="00EC5CD4">
              <w:rPr>
                <w:sz w:val="20"/>
              </w:rPr>
              <w:t>4,793</w:t>
            </w:r>
          </w:p>
        </w:tc>
        <w:tc>
          <w:tcPr>
            <w:tcW w:w="980" w:type="dxa"/>
            <w:tcBorders>
              <w:top w:val="nil"/>
              <w:left w:val="nil"/>
              <w:bottom w:val="single" w:sz="4" w:space="0" w:color="auto"/>
              <w:right w:val="single" w:sz="4" w:space="0" w:color="auto"/>
            </w:tcBorders>
            <w:shd w:val="clear" w:color="auto" w:fill="auto"/>
            <w:noWrap/>
            <w:vAlign w:val="bottom"/>
            <w:hideMark/>
          </w:tcPr>
          <w:p w14:paraId="32A77CF2" w14:textId="77777777" w:rsidR="00EC5CD4" w:rsidRPr="00EC5CD4" w:rsidRDefault="00EC5CD4" w:rsidP="00EC5CD4">
            <w:pPr>
              <w:jc w:val="right"/>
              <w:rPr>
                <w:sz w:val="20"/>
              </w:rPr>
            </w:pPr>
            <w:r w:rsidRPr="00EC5CD4">
              <w:rPr>
                <w:sz w:val="20"/>
              </w:rPr>
              <w:t>4,108</w:t>
            </w:r>
          </w:p>
        </w:tc>
        <w:tc>
          <w:tcPr>
            <w:tcW w:w="980" w:type="dxa"/>
            <w:tcBorders>
              <w:top w:val="nil"/>
              <w:left w:val="nil"/>
              <w:bottom w:val="single" w:sz="4" w:space="0" w:color="auto"/>
              <w:right w:val="single" w:sz="4" w:space="0" w:color="auto"/>
            </w:tcBorders>
            <w:shd w:val="clear" w:color="auto" w:fill="auto"/>
            <w:noWrap/>
            <w:vAlign w:val="bottom"/>
            <w:hideMark/>
          </w:tcPr>
          <w:p w14:paraId="5E712029" w14:textId="77777777" w:rsidR="00EC5CD4" w:rsidRPr="00EC5CD4" w:rsidRDefault="00EC5CD4" w:rsidP="00EC5CD4">
            <w:pPr>
              <w:jc w:val="right"/>
              <w:rPr>
                <w:sz w:val="20"/>
              </w:rPr>
            </w:pPr>
            <w:r w:rsidRPr="00EC5CD4">
              <w:rPr>
                <w:sz w:val="20"/>
              </w:rPr>
              <w:t>242</w:t>
            </w:r>
          </w:p>
        </w:tc>
        <w:tc>
          <w:tcPr>
            <w:tcW w:w="980" w:type="dxa"/>
            <w:tcBorders>
              <w:top w:val="nil"/>
              <w:left w:val="nil"/>
              <w:bottom w:val="single" w:sz="4" w:space="0" w:color="auto"/>
              <w:right w:val="single" w:sz="4" w:space="0" w:color="auto"/>
            </w:tcBorders>
            <w:shd w:val="clear" w:color="auto" w:fill="auto"/>
            <w:noWrap/>
            <w:vAlign w:val="bottom"/>
            <w:hideMark/>
          </w:tcPr>
          <w:p w14:paraId="34EBB357" w14:textId="77777777" w:rsidR="00EC5CD4" w:rsidRPr="00EC5CD4" w:rsidRDefault="00EC5CD4" w:rsidP="00EC5CD4">
            <w:pPr>
              <w:jc w:val="right"/>
              <w:rPr>
                <w:sz w:val="20"/>
              </w:rPr>
            </w:pPr>
            <w:r w:rsidRPr="00EC5CD4">
              <w:rPr>
                <w:sz w:val="20"/>
              </w:rPr>
              <w:t>442</w:t>
            </w:r>
          </w:p>
        </w:tc>
        <w:tc>
          <w:tcPr>
            <w:tcW w:w="980" w:type="dxa"/>
            <w:tcBorders>
              <w:top w:val="nil"/>
              <w:left w:val="nil"/>
              <w:bottom w:val="single" w:sz="4" w:space="0" w:color="auto"/>
              <w:right w:val="single" w:sz="4" w:space="0" w:color="auto"/>
            </w:tcBorders>
            <w:shd w:val="clear" w:color="auto" w:fill="auto"/>
            <w:noWrap/>
            <w:vAlign w:val="bottom"/>
            <w:hideMark/>
          </w:tcPr>
          <w:p w14:paraId="514BE067" w14:textId="77777777" w:rsidR="00EC5CD4" w:rsidRPr="00EC5CD4" w:rsidRDefault="00EC5CD4" w:rsidP="00EC5CD4">
            <w:pPr>
              <w:jc w:val="right"/>
              <w:rPr>
                <w:sz w:val="20"/>
              </w:rPr>
            </w:pPr>
            <w:r w:rsidRPr="00EC5CD4">
              <w:rPr>
                <w:sz w:val="20"/>
              </w:rPr>
              <w:t>3,208</w:t>
            </w:r>
          </w:p>
        </w:tc>
      </w:tr>
      <w:tr w:rsidR="00EC5CD4" w:rsidRPr="00EC5CD4" w14:paraId="74928B11"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22B85D09" w14:textId="322B3861" w:rsidR="00EC5CD4" w:rsidRPr="00EC5CD4" w:rsidRDefault="00EC5CD4" w:rsidP="00EC5CD4">
            <w:pPr>
              <w:rPr>
                <w:sz w:val="20"/>
              </w:rPr>
            </w:pPr>
            <w:r w:rsidRPr="00EC5CD4">
              <w:rPr>
                <w:sz w:val="20"/>
              </w:rPr>
              <w:t xml:space="preserve">Older Adults </w:t>
            </w:r>
            <w:r w:rsidR="00240C80">
              <w:rPr>
                <w:sz w:val="20"/>
              </w:rPr>
              <w:t>26+</w:t>
            </w:r>
            <w:r w:rsidRPr="00EC5CD4">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15D5E4A9" w14:textId="35BF76AB"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49B1D853" w14:textId="0D384A7A"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6C4B315" w14:textId="438DE151"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0316F8AF" w14:textId="3509C6B4"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34F1310" w14:textId="5318BEE8"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2B9B1D37" w14:textId="7760AA1D"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78BC8DA2" w14:textId="526B0096" w:rsidR="00EC5CD4" w:rsidRPr="00EC5CD4" w:rsidRDefault="00EC5CD4" w:rsidP="00EC5CD4">
            <w:pPr>
              <w:rPr>
                <w:sz w:val="20"/>
              </w:rPr>
            </w:pPr>
          </w:p>
        </w:tc>
      </w:tr>
      <w:tr w:rsidR="00EC5CD4" w:rsidRPr="00EC5CD4" w14:paraId="51C90DE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4EDF7E6"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84BFB9D"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06006D56"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596F31AA"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19D13428"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09CA9D81"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3D090F77"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1FA32B83" w14:textId="77777777" w:rsidR="00EC5CD4" w:rsidRPr="00EC5CD4" w:rsidRDefault="00EC5CD4" w:rsidP="00EC5CD4">
            <w:pPr>
              <w:jc w:val="right"/>
              <w:rPr>
                <w:sz w:val="20"/>
              </w:rPr>
            </w:pPr>
            <w:r w:rsidRPr="00EC5CD4">
              <w:rPr>
                <w:sz w:val="20"/>
              </w:rPr>
              <w:t>299,579</w:t>
            </w:r>
          </w:p>
        </w:tc>
      </w:tr>
      <w:tr w:rsidR="00EC5CD4" w:rsidRPr="00EC5CD4" w14:paraId="4A85D5F1"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927B53B"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73606F7F" w14:textId="77777777" w:rsidR="00EC5CD4" w:rsidRPr="00EC5CD4" w:rsidRDefault="00EC5CD4" w:rsidP="00EC5CD4">
            <w:pPr>
              <w:jc w:val="right"/>
              <w:rPr>
                <w:sz w:val="20"/>
              </w:rPr>
            </w:pPr>
            <w:r w:rsidRPr="00EC5CD4">
              <w:rPr>
                <w:sz w:val="20"/>
              </w:rPr>
              <w:t>6.32%</w:t>
            </w:r>
          </w:p>
        </w:tc>
        <w:tc>
          <w:tcPr>
            <w:tcW w:w="980" w:type="dxa"/>
            <w:tcBorders>
              <w:top w:val="nil"/>
              <w:left w:val="nil"/>
              <w:bottom w:val="nil"/>
              <w:right w:val="single" w:sz="4" w:space="0" w:color="auto"/>
            </w:tcBorders>
            <w:shd w:val="clear" w:color="auto" w:fill="auto"/>
            <w:noWrap/>
            <w:vAlign w:val="bottom"/>
            <w:hideMark/>
          </w:tcPr>
          <w:p w14:paraId="55A25DE3" w14:textId="77777777" w:rsidR="00EC5CD4" w:rsidRPr="00EC5CD4" w:rsidRDefault="00EC5CD4" w:rsidP="00EC5CD4">
            <w:pPr>
              <w:jc w:val="right"/>
              <w:rPr>
                <w:sz w:val="20"/>
              </w:rPr>
            </w:pPr>
            <w:r w:rsidRPr="00EC5CD4">
              <w:rPr>
                <w:sz w:val="20"/>
              </w:rPr>
              <w:t>6.58%</w:t>
            </w:r>
          </w:p>
        </w:tc>
        <w:tc>
          <w:tcPr>
            <w:tcW w:w="980" w:type="dxa"/>
            <w:tcBorders>
              <w:top w:val="nil"/>
              <w:left w:val="nil"/>
              <w:bottom w:val="nil"/>
              <w:right w:val="single" w:sz="4" w:space="0" w:color="auto"/>
            </w:tcBorders>
            <w:shd w:val="clear" w:color="auto" w:fill="auto"/>
            <w:noWrap/>
            <w:vAlign w:val="bottom"/>
            <w:hideMark/>
          </w:tcPr>
          <w:p w14:paraId="50F8A5F4" w14:textId="77777777" w:rsidR="00EC5CD4" w:rsidRPr="00EC5CD4" w:rsidRDefault="00EC5CD4" w:rsidP="00EC5CD4">
            <w:pPr>
              <w:jc w:val="right"/>
              <w:rPr>
                <w:sz w:val="20"/>
              </w:rPr>
            </w:pPr>
            <w:r w:rsidRPr="00EC5CD4">
              <w:rPr>
                <w:sz w:val="20"/>
              </w:rPr>
              <w:t>7.39%</w:t>
            </w:r>
          </w:p>
        </w:tc>
        <w:tc>
          <w:tcPr>
            <w:tcW w:w="980" w:type="dxa"/>
            <w:tcBorders>
              <w:top w:val="nil"/>
              <w:left w:val="nil"/>
              <w:bottom w:val="nil"/>
              <w:right w:val="nil"/>
            </w:tcBorders>
            <w:shd w:val="clear" w:color="auto" w:fill="auto"/>
            <w:noWrap/>
            <w:vAlign w:val="bottom"/>
            <w:hideMark/>
          </w:tcPr>
          <w:p w14:paraId="6E036F55" w14:textId="77777777" w:rsidR="00EC5CD4" w:rsidRPr="00EC5CD4" w:rsidRDefault="00EC5CD4" w:rsidP="00EC5CD4">
            <w:pPr>
              <w:jc w:val="right"/>
              <w:rPr>
                <w:sz w:val="20"/>
              </w:rPr>
            </w:pPr>
            <w:r w:rsidRPr="00EC5CD4">
              <w:rPr>
                <w:sz w:val="20"/>
              </w:rPr>
              <w:t>7.39%</w:t>
            </w:r>
          </w:p>
        </w:tc>
        <w:tc>
          <w:tcPr>
            <w:tcW w:w="980" w:type="dxa"/>
            <w:tcBorders>
              <w:top w:val="nil"/>
              <w:left w:val="single" w:sz="4" w:space="0" w:color="auto"/>
              <w:bottom w:val="nil"/>
              <w:right w:val="single" w:sz="4" w:space="0" w:color="auto"/>
            </w:tcBorders>
            <w:shd w:val="clear" w:color="auto" w:fill="auto"/>
            <w:noWrap/>
            <w:vAlign w:val="bottom"/>
            <w:hideMark/>
          </w:tcPr>
          <w:p w14:paraId="14D30D16" w14:textId="77777777" w:rsidR="00EC5CD4" w:rsidRPr="00EC5CD4" w:rsidRDefault="00EC5CD4" w:rsidP="00EC5CD4">
            <w:pPr>
              <w:jc w:val="right"/>
              <w:rPr>
                <w:sz w:val="20"/>
              </w:rPr>
            </w:pPr>
            <w:r w:rsidRPr="00EC5CD4">
              <w:rPr>
                <w:sz w:val="20"/>
              </w:rPr>
              <w:t>7.39%</w:t>
            </w:r>
          </w:p>
        </w:tc>
        <w:tc>
          <w:tcPr>
            <w:tcW w:w="980" w:type="dxa"/>
            <w:tcBorders>
              <w:top w:val="nil"/>
              <w:left w:val="nil"/>
              <w:bottom w:val="nil"/>
              <w:right w:val="single" w:sz="4" w:space="0" w:color="auto"/>
            </w:tcBorders>
            <w:shd w:val="clear" w:color="auto" w:fill="auto"/>
            <w:noWrap/>
            <w:vAlign w:val="bottom"/>
            <w:hideMark/>
          </w:tcPr>
          <w:p w14:paraId="7FA9CC8C" w14:textId="77777777" w:rsidR="00EC5CD4" w:rsidRPr="00EC5CD4" w:rsidRDefault="00EC5CD4" w:rsidP="00EC5CD4">
            <w:pPr>
              <w:jc w:val="right"/>
              <w:rPr>
                <w:sz w:val="20"/>
              </w:rPr>
            </w:pPr>
            <w:r w:rsidRPr="00EC5CD4">
              <w:rPr>
                <w:sz w:val="20"/>
              </w:rPr>
              <w:t>7.39%</w:t>
            </w:r>
          </w:p>
        </w:tc>
        <w:tc>
          <w:tcPr>
            <w:tcW w:w="980" w:type="dxa"/>
            <w:tcBorders>
              <w:top w:val="nil"/>
              <w:left w:val="nil"/>
              <w:bottom w:val="nil"/>
              <w:right w:val="single" w:sz="4" w:space="0" w:color="auto"/>
            </w:tcBorders>
            <w:shd w:val="clear" w:color="auto" w:fill="auto"/>
            <w:noWrap/>
            <w:vAlign w:val="bottom"/>
            <w:hideMark/>
          </w:tcPr>
          <w:p w14:paraId="3019029C" w14:textId="77777777" w:rsidR="00EC5CD4" w:rsidRPr="00EC5CD4" w:rsidRDefault="00EC5CD4" w:rsidP="00EC5CD4">
            <w:pPr>
              <w:jc w:val="right"/>
              <w:rPr>
                <w:sz w:val="20"/>
              </w:rPr>
            </w:pPr>
            <w:r w:rsidRPr="00EC5CD4">
              <w:rPr>
                <w:sz w:val="20"/>
              </w:rPr>
              <w:t>5.66%</w:t>
            </w:r>
          </w:p>
        </w:tc>
      </w:tr>
      <w:tr w:rsidR="00EC5CD4" w:rsidRPr="00EC5CD4" w14:paraId="03479EAD"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0B6D4C08"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B0A7B56" w14:textId="77777777" w:rsidR="00EC5CD4" w:rsidRPr="00EC5CD4" w:rsidRDefault="00EC5CD4" w:rsidP="00EC5CD4">
            <w:pPr>
              <w:jc w:val="right"/>
              <w:rPr>
                <w:sz w:val="20"/>
              </w:rPr>
            </w:pPr>
            <w:r w:rsidRPr="00EC5CD4">
              <w:rPr>
                <w:sz w:val="20"/>
              </w:rPr>
              <w:t>194,511</w:t>
            </w:r>
          </w:p>
        </w:tc>
        <w:tc>
          <w:tcPr>
            <w:tcW w:w="980" w:type="dxa"/>
            <w:tcBorders>
              <w:top w:val="nil"/>
              <w:left w:val="nil"/>
              <w:bottom w:val="single" w:sz="4" w:space="0" w:color="auto"/>
              <w:right w:val="single" w:sz="4" w:space="0" w:color="auto"/>
            </w:tcBorders>
            <w:shd w:val="clear" w:color="auto" w:fill="auto"/>
            <w:noWrap/>
            <w:vAlign w:val="bottom"/>
            <w:hideMark/>
          </w:tcPr>
          <w:p w14:paraId="5C2A876E" w14:textId="77777777" w:rsidR="00EC5CD4" w:rsidRPr="00EC5CD4" w:rsidRDefault="00EC5CD4" w:rsidP="00EC5CD4">
            <w:pPr>
              <w:jc w:val="right"/>
              <w:rPr>
                <w:sz w:val="20"/>
              </w:rPr>
            </w:pPr>
            <w:r w:rsidRPr="00EC5CD4">
              <w:rPr>
                <w:sz w:val="20"/>
              </w:rPr>
              <w:t>40,763</w:t>
            </w:r>
          </w:p>
        </w:tc>
        <w:tc>
          <w:tcPr>
            <w:tcW w:w="980" w:type="dxa"/>
            <w:tcBorders>
              <w:top w:val="nil"/>
              <w:left w:val="nil"/>
              <w:bottom w:val="single" w:sz="4" w:space="0" w:color="auto"/>
              <w:right w:val="single" w:sz="4" w:space="0" w:color="auto"/>
            </w:tcBorders>
            <w:shd w:val="clear" w:color="auto" w:fill="auto"/>
            <w:noWrap/>
            <w:vAlign w:val="bottom"/>
            <w:hideMark/>
          </w:tcPr>
          <w:p w14:paraId="669A6418" w14:textId="77777777" w:rsidR="00EC5CD4" w:rsidRPr="00EC5CD4" w:rsidRDefault="00EC5CD4" w:rsidP="00EC5CD4">
            <w:pPr>
              <w:jc w:val="right"/>
              <w:rPr>
                <w:sz w:val="20"/>
              </w:rPr>
            </w:pPr>
            <w:r w:rsidRPr="00EC5CD4">
              <w:rPr>
                <w:sz w:val="20"/>
              </w:rPr>
              <w:t>23,663</w:t>
            </w:r>
          </w:p>
        </w:tc>
        <w:tc>
          <w:tcPr>
            <w:tcW w:w="980" w:type="dxa"/>
            <w:tcBorders>
              <w:top w:val="nil"/>
              <w:left w:val="nil"/>
              <w:bottom w:val="single" w:sz="4" w:space="0" w:color="auto"/>
              <w:right w:val="single" w:sz="4" w:space="0" w:color="auto"/>
            </w:tcBorders>
            <w:shd w:val="clear" w:color="auto" w:fill="auto"/>
            <w:noWrap/>
            <w:vAlign w:val="bottom"/>
            <w:hideMark/>
          </w:tcPr>
          <w:p w14:paraId="4BFEE474" w14:textId="77777777" w:rsidR="00EC5CD4" w:rsidRPr="00EC5CD4" w:rsidRDefault="00EC5CD4" w:rsidP="00EC5CD4">
            <w:pPr>
              <w:jc w:val="right"/>
              <w:rPr>
                <w:sz w:val="20"/>
              </w:rPr>
            </w:pPr>
            <w:r w:rsidRPr="00EC5CD4">
              <w:rPr>
                <w:sz w:val="20"/>
              </w:rPr>
              <w:t>20,294</w:t>
            </w:r>
          </w:p>
        </w:tc>
        <w:tc>
          <w:tcPr>
            <w:tcW w:w="980" w:type="dxa"/>
            <w:tcBorders>
              <w:top w:val="nil"/>
              <w:left w:val="nil"/>
              <w:bottom w:val="single" w:sz="4" w:space="0" w:color="auto"/>
              <w:right w:val="single" w:sz="4" w:space="0" w:color="auto"/>
            </w:tcBorders>
            <w:shd w:val="clear" w:color="auto" w:fill="auto"/>
            <w:noWrap/>
            <w:vAlign w:val="bottom"/>
            <w:hideMark/>
          </w:tcPr>
          <w:p w14:paraId="0C8F1A06" w14:textId="77777777" w:rsidR="00EC5CD4" w:rsidRPr="00EC5CD4" w:rsidRDefault="00EC5CD4" w:rsidP="00EC5CD4">
            <w:pPr>
              <w:jc w:val="right"/>
              <w:rPr>
                <w:sz w:val="20"/>
              </w:rPr>
            </w:pPr>
            <w:r w:rsidRPr="00EC5CD4">
              <w:rPr>
                <w:sz w:val="20"/>
              </w:rPr>
              <w:t>1,106</w:t>
            </w:r>
          </w:p>
        </w:tc>
        <w:tc>
          <w:tcPr>
            <w:tcW w:w="980" w:type="dxa"/>
            <w:tcBorders>
              <w:top w:val="nil"/>
              <w:left w:val="nil"/>
              <w:bottom w:val="single" w:sz="4" w:space="0" w:color="auto"/>
              <w:right w:val="single" w:sz="4" w:space="0" w:color="auto"/>
            </w:tcBorders>
            <w:shd w:val="clear" w:color="auto" w:fill="auto"/>
            <w:noWrap/>
            <w:vAlign w:val="bottom"/>
            <w:hideMark/>
          </w:tcPr>
          <w:p w14:paraId="68E61086" w14:textId="77777777" w:rsidR="00EC5CD4" w:rsidRPr="00EC5CD4" w:rsidRDefault="00EC5CD4" w:rsidP="00EC5CD4">
            <w:pPr>
              <w:jc w:val="right"/>
              <w:rPr>
                <w:sz w:val="20"/>
              </w:rPr>
            </w:pPr>
            <w:r w:rsidRPr="00EC5CD4">
              <w:rPr>
                <w:sz w:val="20"/>
              </w:rPr>
              <w:t>2,263</w:t>
            </w:r>
          </w:p>
        </w:tc>
        <w:tc>
          <w:tcPr>
            <w:tcW w:w="980" w:type="dxa"/>
            <w:tcBorders>
              <w:top w:val="nil"/>
              <w:left w:val="nil"/>
              <w:bottom w:val="single" w:sz="4" w:space="0" w:color="auto"/>
              <w:right w:val="single" w:sz="4" w:space="0" w:color="auto"/>
            </w:tcBorders>
            <w:shd w:val="clear" w:color="auto" w:fill="auto"/>
            <w:noWrap/>
            <w:vAlign w:val="bottom"/>
            <w:hideMark/>
          </w:tcPr>
          <w:p w14:paraId="5D14D54C" w14:textId="77777777" w:rsidR="00EC5CD4" w:rsidRPr="00EC5CD4" w:rsidRDefault="00EC5CD4" w:rsidP="00EC5CD4">
            <w:pPr>
              <w:jc w:val="right"/>
              <w:rPr>
                <w:sz w:val="20"/>
              </w:rPr>
            </w:pPr>
            <w:r w:rsidRPr="00EC5CD4">
              <w:rPr>
                <w:sz w:val="20"/>
              </w:rPr>
              <w:t>16,967</w:t>
            </w:r>
          </w:p>
        </w:tc>
      </w:tr>
      <w:tr w:rsidR="00EC5CD4" w:rsidRPr="00EC5CD4" w14:paraId="0EE68FD5"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6D9F130F"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0AAB19D8" w14:textId="6E02639D"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610B3388"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5C4CDDD" w14:textId="6CB4782A" w:rsidR="00EC5CD4" w:rsidRPr="00EC5CD4" w:rsidRDefault="00EC5CD4" w:rsidP="00EC5CD4">
            <w:pPr>
              <w:rPr>
                <w:sz w:val="20"/>
              </w:rPr>
            </w:pPr>
          </w:p>
        </w:tc>
        <w:tc>
          <w:tcPr>
            <w:tcW w:w="980" w:type="dxa"/>
            <w:tcBorders>
              <w:top w:val="nil"/>
              <w:left w:val="nil"/>
              <w:bottom w:val="nil"/>
              <w:right w:val="nil"/>
            </w:tcBorders>
            <w:shd w:val="clear" w:color="auto" w:fill="auto"/>
            <w:noWrap/>
            <w:vAlign w:val="bottom"/>
            <w:hideMark/>
          </w:tcPr>
          <w:p w14:paraId="6A1A4883"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D5CB065" w14:textId="6272E675"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37E7CE43" w14:textId="6CFFF270" w:rsidR="00EC5CD4" w:rsidRPr="00EC5CD4" w:rsidRDefault="00EC5CD4" w:rsidP="00EC5CD4">
            <w:pPr>
              <w:rPr>
                <w:sz w:val="20"/>
              </w:rPr>
            </w:pPr>
          </w:p>
        </w:tc>
        <w:tc>
          <w:tcPr>
            <w:tcW w:w="980" w:type="dxa"/>
            <w:tcBorders>
              <w:top w:val="nil"/>
              <w:left w:val="nil"/>
              <w:bottom w:val="nil"/>
              <w:right w:val="single" w:sz="4" w:space="0" w:color="auto"/>
            </w:tcBorders>
            <w:shd w:val="clear" w:color="auto" w:fill="auto"/>
            <w:noWrap/>
            <w:vAlign w:val="bottom"/>
            <w:hideMark/>
          </w:tcPr>
          <w:p w14:paraId="52E0A353" w14:textId="3204AE05" w:rsidR="00EC5CD4" w:rsidRPr="00EC5CD4" w:rsidRDefault="00EC5CD4" w:rsidP="00EC5CD4">
            <w:pPr>
              <w:rPr>
                <w:sz w:val="20"/>
              </w:rPr>
            </w:pPr>
          </w:p>
        </w:tc>
      </w:tr>
      <w:tr w:rsidR="00EC5CD4" w:rsidRPr="00EC5CD4" w14:paraId="6B4D1E3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E288857"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40340A8"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7BD438B5"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17906321"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1937A7B5"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07297F82"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5E0D4CE8"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3F4C4057" w14:textId="77777777" w:rsidR="00EC5CD4" w:rsidRPr="00EC5CD4" w:rsidRDefault="00EC5CD4" w:rsidP="00EC5CD4">
            <w:pPr>
              <w:jc w:val="right"/>
              <w:rPr>
                <w:sz w:val="20"/>
              </w:rPr>
            </w:pPr>
            <w:r w:rsidRPr="00EC5CD4">
              <w:rPr>
                <w:sz w:val="20"/>
              </w:rPr>
              <w:t>337,196</w:t>
            </w:r>
          </w:p>
        </w:tc>
      </w:tr>
      <w:tr w:rsidR="00EC5CD4" w:rsidRPr="00EC5CD4" w14:paraId="0F2629CE"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88C6724"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0D5D970A" w14:textId="77777777" w:rsidR="00EC5CD4" w:rsidRPr="00EC5CD4" w:rsidRDefault="00EC5CD4" w:rsidP="00EC5CD4">
            <w:pPr>
              <w:jc w:val="right"/>
              <w:rPr>
                <w:sz w:val="20"/>
              </w:rPr>
            </w:pPr>
            <w:r w:rsidRPr="00EC5CD4">
              <w:rPr>
                <w:sz w:val="20"/>
              </w:rPr>
              <w:t>6.82%</w:t>
            </w:r>
          </w:p>
        </w:tc>
        <w:tc>
          <w:tcPr>
            <w:tcW w:w="980" w:type="dxa"/>
            <w:tcBorders>
              <w:top w:val="nil"/>
              <w:left w:val="nil"/>
              <w:bottom w:val="nil"/>
              <w:right w:val="single" w:sz="4" w:space="0" w:color="auto"/>
            </w:tcBorders>
            <w:shd w:val="clear" w:color="auto" w:fill="auto"/>
            <w:noWrap/>
            <w:vAlign w:val="bottom"/>
            <w:hideMark/>
          </w:tcPr>
          <w:p w14:paraId="5A780EA2" w14:textId="77777777" w:rsidR="00EC5CD4" w:rsidRPr="00EC5CD4" w:rsidRDefault="00EC5CD4" w:rsidP="00EC5CD4">
            <w:pPr>
              <w:jc w:val="right"/>
              <w:rPr>
                <w:sz w:val="20"/>
              </w:rPr>
            </w:pPr>
            <w:r w:rsidRPr="00EC5CD4">
              <w:rPr>
                <w:sz w:val="20"/>
              </w:rPr>
              <w:t>6.99%</w:t>
            </w:r>
          </w:p>
        </w:tc>
        <w:tc>
          <w:tcPr>
            <w:tcW w:w="980" w:type="dxa"/>
            <w:tcBorders>
              <w:top w:val="nil"/>
              <w:left w:val="nil"/>
              <w:bottom w:val="nil"/>
              <w:right w:val="single" w:sz="4" w:space="0" w:color="auto"/>
            </w:tcBorders>
            <w:shd w:val="clear" w:color="auto" w:fill="auto"/>
            <w:noWrap/>
            <w:vAlign w:val="bottom"/>
            <w:hideMark/>
          </w:tcPr>
          <w:p w14:paraId="4AD638F0" w14:textId="77777777" w:rsidR="00EC5CD4" w:rsidRPr="00EC5CD4" w:rsidRDefault="00EC5CD4" w:rsidP="00EC5CD4">
            <w:pPr>
              <w:jc w:val="right"/>
              <w:rPr>
                <w:sz w:val="20"/>
              </w:rPr>
            </w:pPr>
            <w:r w:rsidRPr="00EC5CD4">
              <w:rPr>
                <w:sz w:val="20"/>
              </w:rPr>
              <w:t>7.86%</w:t>
            </w:r>
          </w:p>
        </w:tc>
        <w:tc>
          <w:tcPr>
            <w:tcW w:w="980" w:type="dxa"/>
            <w:tcBorders>
              <w:top w:val="nil"/>
              <w:left w:val="nil"/>
              <w:bottom w:val="nil"/>
              <w:right w:val="nil"/>
            </w:tcBorders>
            <w:shd w:val="clear" w:color="auto" w:fill="auto"/>
            <w:noWrap/>
            <w:vAlign w:val="bottom"/>
            <w:hideMark/>
          </w:tcPr>
          <w:p w14:paraId="17533218" w14:textId="77777777" w:rsidR="00EC5CD4" w:rsidRPr="00EC5CD4" w:rsidRDefault="00EC5CD4" w:rsidP="00EC5CD4">
            <w:pPr>
              <w:jc w:val="right"/>
              <w:rPr>
                <w:sz w:val="20"/>
              </w:rPr>
            </w:pPr>
            <w:r w:rsidRPr="00EC5CD4">
              <w:rPr>
                <w:sz w:val="20"/>
              </w:rPr>
              <w:t>7.86%</w:t>
            </w:r>
          </w:p>
        </w:tc>
        <w:tc>
          <w:tcPr>
            <w:tcW w:w="980" w:type="dxa"/>
            <w:tcBorders>
              <w:top w:val="nil"/>
              <w:left w:val="single" w:sz="4" w:space="0" w:color="auto"/>
              <w:bottom w:val="nil"/>
              <w:right w:val="single" w:sz="4" w:space="0" w:color="auto"/>
            </w:tcBorders>
            <w:shd w:val="clear" w:color="auto" w:fill="auto"/>
            <w:noWrap/>
            <w:vAlign w:val="bottom"/>
            <w:hideMark/>
          </w:tcPr>
          <w:p w14:paraId="6DB59390" w14:textId="77777777" w:rsidR="00EC5CD4" w:rsidRPr="00EC5CD4" w:rsidRDefault="00EC5CD4" w:rsidP="00EC5CD4">
            <w:pPr>
              <w:jc w:val="right"/>
              <w:rPr>
                <w:sz w:val="20"/>
              </w:rPr>
            </w:pPr>
            <w:r w:rsidRPr="00EC5CD4">
              <w:rPr>
                <w:sz w:val="20"/>
              </w:rPr>
              <w:t>7.86%</w:t>
            </w:r>
          </w:p>
        </w:tc>
        <w:tc>
          <w:tcPr>
            <w:tcW w:w="980" w:type="dxa"/>
            <w:tcBorders>
              <w:top w:val="nil"/>
              <w:left w:val="nil"/>
              <w:bottom w:val="nil"/>
              <w:right w:val="single" w:sz="4" w:space="0" w:color="auto"/>
            </w:tcBorders>
            <w:shd w:val="clear" w:color="auto" w:fill="auto"/>
            <w:noWrap/>
            <w:vAlign w:val="bottom"/>
            <w:hideMark/>
          </w:tcPr>
          <w:p w14:paraId="69EAFB23" w14:textId="77777777" w:rsidR="00EC5CD4" w:rsidRPr="00EC5CD4" w:rsidRDefault="00EC5CD4" w:rsidP="00EC5CD4">
            <w:pPr>
              <w:jc w:val="right"/>
              <w:rPr>
                <w:sz w:val="20"/>
              </w:rPr>
            </w:pPr>
            <w:r w:rsidRPr="00EC5CD4">
              <w:rPr>
                <w:sz w:val="20"/>
              </w:rPr>
              <w:t>7.86%</w:t>
            </w:r>
          </w:p>
        </w:tc>
        <w:tc>
          <w:tcPr>
            <w:tcW w:w="980" w:type="dxa"/>
            <w:tcBorders>
              <w:top w:val="nil"/>
              <w:left w:val="nil"/>
              <w:bottom w:val="nil"/>
              <w:right w:val="single" w:sz="4" w:space="0" w:color="auto"/>
            </w:tcBorders>
            <w:shd w:val="clear" w:color="auto" w:fill="auto"/>
            <w:noWrap/>
            <w:vAlign w:val="bottom"/>
            <w:hideMark/>
          </w:tcPr>
          <w:p w14:paraId="76B1696B" w14:textId="77777777" w:rsidR="00EC5CD4" w:rsidRPr="00EC5CD4" w:rsidRDefault="00EC5CD4" w:rsidP="00EC5CD4">
            <w:pPr>
              <w:jc w:val="right"/>
              <w:rPr>
                <w:sz w:val="20"/>
              </w:rPr>
            </w:pPr>
            <w:r w:rsidRPr="00EC5CD4">
              <w:rPr>
                <w:sz w:val="20"/>
              </w:rPr>
              <w:t>5.99%</w:t>
            </w:r>
          </w:p>
        </w:tc>
      </w:tr>
      <w:tr w:rsidR="00EC5CD4" w:rsidRPr="00EC5CD4" w14:paraId="298B1A8C"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461E8818"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C57ECC5" w14:textId="77777777" w:rsidR="00EC5CD4" w:rsidRPr="00EC5CD4" w:rsidRDefault="00EC5CD4" w:rsidP="00EC5CD4">
            <w:pPr>
              <w:jc w:val="right"/>
              <w:rPr>
                <w:sz w:val="20"/>
              </w:rPr>
            </w:pPr>
            <w:r w:rsidRPr="00EC5CD4">
              <w:rPr>
                <w:sz w:val="20"/>
              </w:rPr>
              <w:t>242,855</w:t>
            </w:r>
          </w:p>
        </w:tc>
        <w:tc>
          <w:tcPr>
            <w:tcW w:w="980" w:type="dxa"/>
            <w:tcBorders>
              <w:top w:val="nil"/>
              <w:left w:val="nil"/>
              <w:bottom w:val="single" w:sz="4" w:space="0" w:color="auto"/>
              <w:right w:val="single" w:sz="4" w:space="0" w:color="auto"/>
            </w:tcBorders>
            <w:shd w:val="clear" w:color="auto" w:fill="auto"/>
            <w:noWrap/>
            <w:vAlign w:val="bottom"/>
            <w:hideMark/>
          </w:tcPr>
          <w:p w14:paraId="7422F231" w14:textId="77777777" w:rsidR="00EC5CD4" w:rsidRPr="00EC5CD4" w:rsidRDefault="00EC5CD4" w:rsidP="00EC5CD4">
            <w:pPr>
              <w:jc w:val="right"/>
              <w:rPr>
                <w:sz w:val="20"/>
              </w:rPr>
            </w:pPr>
            <w:r w:rsidRPr="00EC5CD4">
              <w:rPr>
                <w:sz w:val="20"/>
              </w:rPr>
              <w:t>49,087</w:t>
            </w:r>
          </w:p>
        </w:tc>
        <w:tc>
          <w:tcPr>
            <w:tcW w:w="980" w:type="dxa"/>
            <w:tcBorders>
              <w:top w:val="nil"/>
              <w:left w:val="nil"/>
              <w:bottom w:val="single" w:sz="4" w:space="0" w:color="auto"/>
              <w:right w:val="single" w:sz="4" w:space="0" w:color="auto"/>
            </w:tcBorders>
            <w:shd w:val="clear" w:color="auto" w:fill="auto"/>
            <w:noWrap/>
            <w:vAlign w:val="bottom"/>
            <w:hideMark/>
          </w:tcPr>
          <w:p w14:paraId="7BB23D94" w14:textId="77777777" w:rsidR="00EC5CD4" w:rsidRPr="00EC5CD4" w:rsidRDefault="00EC5CD4" w:rsidP="00EC5CD4">
            <w:pPr>
              <w:jc w:val="right"/>
              <w:rPr>
                <w:sz w:val="20"/>
              </w:rPr>
            </w:pPr>
            <w:r w:rsidRPr="00EC5CD4">
              <w:rPr>
                <w:sz w:val="20"/>
              </w:rPr>
              <w:t>28,664</w:t>
            </w:r>
          </w:p>
        </w:tc>
        <w:tc>
          <w:tcPr>
            <w:tcW w:w="980" w:type="dxa"/>
            <w:tcBorders>
              <w:top w:val="nil"/>
              <w:left w:val="nil"/>
              <w:bottom w:val="single" w:sz="4" w:space="0" w:color="auto"/>
              <w:right w:val="single" w:sz="4" w:space="0" w:color="auto"/>
            </w:tcBorders>
            <w:shd w:val="clear" w:color="auto" w:fill="auto"/>
            <w:noWrap/>
            <w:vAlign w:val="bottom"/>
            <w:hideMark/>
          </w:tcPr>
          <w:p w14:paraId="7FF159A9" w14:textId="77777777" w:rsidR="00EC5CD4" w:rsidRPr="00EC5CD4" w:rsidRDefault="00EC5CD4" w:rsidP="00EC5CD4">
            <w:pPr>
              <w:jc w:val="right"/>
              <w:rPr>
                <w:sz w:val="20"/>
              </w:rPr>
            </w:pPr>
            <w:r w:rsidRPr="00EC5CD4">
              <w:rPr>
                <w:sz w:val="20"/>
              </w:rPr>
              <w:t>24,581</w:t>
            </w:r>
          </w:p>
        </w:tc>
        <w:tc>
          <w:tcPr>
            <w:tcW w:w="980" w:type="dxa"/>
            <w:tcBorders>
              <w:top w:val="nil"/>
              <w:left w:val="nil"/>
              <w:bottom w:val="single" w:sz="4" w:space="0" w:color="auto"/>
              <w:right w:val="single" w:sz="4" w:space="0" w:color="auto"/>
            </w:tcBorders>
            <w:shd w:val="clear" w:color="auto" w:fill="auto"/>
            <w:noWrap/>
            <w:vAlign w:val="bottom"/>
            <w:hideMark/>
          </w:tcPr>
          <w:p w14:paraId="6909B52F" w14:textId="77777777" w:rsidR="00EC5CD4" w:rsidRPr="00EC5CD4" w:rsidRDefault="00EC5CD4" w:rsidP="00EC5CD4">
            <w:pPr>
              <w:jc w:val="right"/>
              <w:rPr>
                <w:sz w:val="20"/>
              </w:rPr>
            </w:pPr>
            <w:r w:rsidRPr="00EC5CD4">
              <w:rPr>
                <w:sz w:val="20"/>
              </w:rPr>
              <w:t>1,353</w:t>
            </w:r>
          </w:p>
        </w:tc>
        <w:tc>
          <w:tcPr>
            <w:tcW w:w="980" w:type="dxa"/>
            <w:tcBorders>
              <w:top w:val="nil"/>
              <w:left w:val="nil"/>
              <w:bottom w:val="single" w:sz="4" w:space="0" w:color="auto"/>
              <w:right w:val="single" w:sz="4" w:space="0" w:color="auto"/>
            </w:tcBorders>
            <w:shd w:val="clear" w:color="auto" w:fill="auto"/>
            <w:noWrap/>
            <w:vAlign w:val="bottom"/>
            <w:hideMark/>
          </w:tcPr>
          <w:p w14:paraId="3478B19A" w14:textId="77777777" w:rsidR="00EC5CD4" w:rsidRPr="00EC5CD4" w:rsidRDefault="00EC5CD4" w:rsidP="00EC5CD4">
            <w:pPr>
              <w:jc w:val="right"/>
              <w:rPr>
                <w:sz w:val="20"/>
              </w:rPr>
            </w:pPr>
            <w:r w:rsidRPr="00EC5CD4">
              <w:rPr>
                <w:sz w:val="20"/>
              </w:rPr>
              <w:t>2,730</w:t>
            </w:r>
          </w:p>
        </w:tc>
        <w:tc>
          <w:tcPr>
            <w:tcW w:w="980" w:type="dxa"/>
            <w:tcBorders>
              <w:top w:val="nil"/>
              <w:left w:val="nil"/>
              <w:bottom w:val="single" w:sz="4" w:space="0" w:color="auto"/>
              <w:right w:val="single" w:sz="4" w:space="0" w:color="auto"/>
            </w:tcBorders>
            <w:shd w:val="clear" w:color="auto" w:fill="auto"/>
            <w:noWrap/>
            <w:vAlign w:val="bottom"/>
            <w:hideMark/>
          </w:tcPr>
          <w:p w14:paraId="15423F82" w14:textId="77777777" w:rsidR="00EC5CD4" w:rsidRPr="00EC5CD4" w:rsidRDefault="00EC5CD4" w:rsidP="00EC5CD4">
            <w:pPr>
              <w:jc w:val="right"/>
              <w:rPr>
                <w:sz w:val="20"/>
              </w:rPr>
            </w:pPr>
            <w:r w:rsidRPr="00EC5CD4">
              <w:rPr>
                <w:sz w:val="20"/>
              </w:rPr>
              <w:t>20,206</w:t>
            </w:r>
          </w:p>
        </w:tc>
      </w:tr>
      <w:tr w:rsidR="00EC5CD4" w:rsidRPr="00EC5CD4" w14:paraId="2DD8264D" w14:textId="77777777" w:rsidTr="00BF315B">
        <w:trPr>
          <w:trHeight w:val="1565"/>
        </w:trPr>
        <w:tc>
          <w:tcPr>
            <w:tcW w:w="8980" w:type="dxa"/>
            <w:gridSpan w:val="8"/>
            <w:tcBorders>
              <w:top w:val="single" w:sz="4" w:space="0" w:color="auto"/>
              <w:left w:val="nil"/>
              <w:bottom w:val="nil"/>
              <w:right w:val="nil"/>
            </w:tcBorders>
            <w:shd w:val="clear" w:color="auto" w:fill="auto"/>
            <w:vAlign w:val="bottom"/>
            <w:hideMark/>
          </w:tcPr>
          <w:p w14:paraId="6082E7CC"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r w:rsidRPr="00EC5CD4">
              <w:rPr>
                <w:sz w:val="18"/>
                <w:szCs w:val="18"/>
              </w:rPr>
              <w:br/>
              <w:t xml:space="preserve">## NSDUH did not estimate the </w:t>
            </w:r>
            <w:proofErr w:type="gramStart"/>
            <w:r w:rsidRPr="00EC5CD4">
              <w:rPr>
                <w:sz w:val="18"/>
                <w:szCs w:val="18"/>
              </w:rPr>
              <w:t>prevalence  rate</w:t>
            </w:r>
            <w:proofErr w:type="gramEnd"/>
            <w:r w:rsidRPr="00EC5CD4">
              <w:rPr>
                <w:sz w:val="18"/>
                <w:szCs w:val="18"/>
              </w:rPr>
              <w:t xml:space="preserve"> </w:t>
            </w:r>
            <w:r w:rsidR="00BF315B">
              <w:rPr>
                <w:sz w:val="18"/>
                <w:szCs w:val="18"/>
              </w:rPr>
              <w:t xml:space="preserve">for Jefferson </w:t>
            </w:r>
            <w:r w:rsidRPr="00EC5CD4">
              <w:rPr>
                <w:sz w:val="18"/>
                <w:szCs w:val="18"/>
              </w:rPr>
              <w:t>Parish; therefore the number of prevalent individuals for Jefferson Parish is estimated by  subtracting the Metropolitan prevalence number for the Greater New Orleans prevalence number.</w:t>
            </w:r>
          </w:p>
          <w:p w14:paraId="588628CD" w14:textId="4E5F439F"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38D34E3B" w14:textId="1D6D112A" w:rsidR="00EC5CD4" w:rsidRDefault="00EC5CD4" w:rsidP="001549F4"/>
    <w:p w14:paraId="7C384907" w14:textId="16568A68" w:rsidR="00EC5CD4" w:rsidRDefault="00EC5CD4">
      <w:r>
        <w:br w:type="page"/>
      </w:r>
    </w:p>
    <w:p w14:paraId="11086AD0" w14:textId="5EB8E139" w:rsidR="00EC5CD4" w:rsidRDefault="00EC5CD4" w:rsidP="00130E39">
      <w:pPr>
        <w:pStyle w:val="ListParagraph"/>
        <w:numPr>
          <w:ilvl w:val="0"/>
          <w:numId w:val="7"/>
        </w:numPr>
      </w:pPr>
      <w:r w:rsidRPr="00EC5CD4">
        <w:lastRenderedPageBreak/>
        <w:t xml:space="preserve">Illicit Drug Use Disorder in the </w:t>
      </w:r>
      <w:r w:rsidRPr="00130E39">
        <w:rPr>
          <w:i/>
          <w:iCs/>
        </w:rPr>
        <w:t>Past Year</w:t>
      </w:r>
    </w:p>
    <w:p w14:paraId="2738025A" w14:textId="2ABF02AD" w:rsidR="00EC5CD4" w:rsidRDefault="00EC5CD4"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EC5CD4" w:rsidRPr="00EC5CD4" w14:paraId="4B54B50D" w14:textId="77777777" w:rsidTr="00EC5CD4">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354FA409" w14:textId="77777777" w:rsidR="00EC5CD4" w:rsidRPr="00EC5CD4" w:rsidRDefault="00EC5CD4" w:rsidP="00EC5CD4">
            <w:pPr>
              <w:jc w:val="center"/>
              <w:rPr>
                <w:b/>
                <w:bCs/>
                <w:sz w:val="20"/>
              </w:rPr>
            </w:pPr>
            <w:bookmarkStart w:id="16" w:name="_Hlk58487284"/>
            <w:r w:rsidRPr="00EC5CD4">
              <w:rPr>
                <w:b/>
                <w:bCs/>
                <w:sz w:val="20"/>
              </w:rPr>
              <w:t xml:space="preserve">Illicit Drug Use Disorder in the </w:t>
            </w:r>
            <w:r w:rsidRPr="00EC5CD4">
              <w:rPr>
                <w:b/>
                <w:bCs/>
                <w:i/>
                <w:iCs/>
                <w:sz w:val="20"/>
                <w:u w:val="single"/>
              </w:rPr>
              <w:t>Past Year</w:t>
            </w:r>
            <w:r w:rsidRPr="00EC5CD4">
              <w:rPr>
                <w:b/>
                <w:bCs/>
                <w:sz w:val="20"/>
              </w:rPr>
              <w:t xml:space="preserve"> </w:t>
            </w:r>
            <w:bookmarkEnd w:id="16"/>
            <w:r w:rsidRPr="00EC5CD4">
              <w:rPr>
                <w:b/>
                <w:bCs/>
                <w:sz w:val="20"/>
              </w:rPr>
              <w:t>by Age Group Among Residents of</w:t>
            </w:r>
            <w:r w:rsidRPr="00EC5CD4">
              <w:rPr>
                <w:b/>
                <w:bCs/>
                <w:sz w:val="20"/>
              </w:rPr>
              <w:br/>
              <w:t>Greater New Orleans Parishes and Statewide, 2019*</w:t>
            </w:r>
          </w:p>
        </w:tc>
      </w:tr>
      <w:tr w:rsidR="00EC5CD4" w:rsidRPr="00EC5CD4" w14:paraId="2A04AEC7" w14:textId="77777777" w:rsidTr="00EC5CD4">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0BB28E04" w14:textId="77777777" w:rsidR="00EC5CD4" w:rsidRPr="00EC5CD4" w:rsidRDefault="00EC5CD4" w:rsidP="00EC5CD4">
            <w:pPr>
              <w:jc w:val="center"/>
              <w:rPr>
                <w:sz w:val="20"/>
              </w:rPr>
            </w:pPr>
            <w:r w:rsidRPr="00EC5CD4">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5BFEDE35" w14:textId="5CAEB1A7" w:rsidR="00EC5CD4" w:rsidRPr="00EC5CD4" w:rsidRDefault="00EC5CD4" w:rsidP="00EC5CD4">
            <w:pPr>
              <w:jc w:val="center"/>
              <w:rPr>
                <w:sz w:val="20"/>
              </w:rPr>
            </w:pPr>
            <w:r w:rsidRPr="00EC5CD4">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5B9F7E47" w14:textId="77777777" w:rsidR="00EC5CD4" w:rsidRPr="00EC5CD4" w:rsidRDefault="00EC5CD4" w:rsidP="00EC5CD4">
            <w:pPr>
              <w:jc w:val="center"/>
              <w:rPr>
                <w:sz w:val="20"/>
              </w:rPr>
            </w:pPr>
            <w:r w:rsidRPr="00EC5CD4">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10BC60A2" w14:textId="77777777" w:rsidR="00EC5CD4" w:rsidRPr="00EC5CD4" w:rsidRDefault="00EC5CD4" w:rsidP="00EC5CD4">
            <w:pPr>
              <w:jc w:val="center"/>
              <w:rPr>
                <w:sz w:val="20"/>
              </w:rPr>
            </w:pPr>
            <w:r w:rsidRPr="00EC5CD4">
              <w:rPr>
                <w:sz w:val="20"/>
              </w:rPr>
              <w:t>Metro-</w:t>
            </w:r>
            <w:proofErr w:type="spellStart"/>
            <w:r w:rsidRPr="00EC5CD4">
              <w:rPr>
                <w:sz w:val="20"/>
              </w:rPr>
              <w:t>politan</w:t>
            </w:r>
            <w:proofErr w:type="spellEnd"/>
            <w:r w:rsidRPr="00EC5CD4">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25D3DD7A" w14:textId="77777777" w:rsidR="00EC5CD4" w:rsidRPr="00EC5CD4" w:rsidRDefault="00EC5CD4" w:rsidP="00EC5CD4">
            <w:pPr>
              <w:jc w:val="center"/>
              <w:rPr>
                <w:sz w:val="20"/>
              </w:rPr>
            </w:pPr>
            <w:r w:rsidRPr="00EC5CD4">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4BE454C1" w14:textId="77777777" w:rsidR="00EC5CD4" w:rsidRPr="00EC5CD4" w:rsidRDefault="00EC5CD4" w:rsidP="00EC5CD4">
            <w:pPr>
              <w:jc w:val="center"/>
              <w:rPr>
                <w:sz w:val="20"/>
              </w:rPr>
            </w:pPr>
            <w:r w:rsidRPr="00EC5CD4">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11945C3D" w14:textId="77777777" w:rsidR="00EC5CD4" w:rsidRPr="00EC5CD4" w:rsidRDefault="00EC5CD4" w:rsidP="00EC5CD4">
            <w:pPr>
              <w:jc w:val="center"/>
              <w:rPr>
                <w:sz w:val="20"/>
              </w:rPr>
            </w:pPr>
            <w:r w:rsidRPr="00EC5CD4">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03A347C3" w14:textId="77777777" w:rsidR="00EC5CD4" w:rsidRPr="00EC5CD4" w:rsidRDefault="00EC5CD4" w:rsidP="00EC5CD4">
            <w:pPr>
              <w:jc w:val="center"/>
              <w:rPr>
                <w:sz w:val="20"/>
              </w:rPr>
            </w:pPr>
            <w:r w:rsidRPr="00EC5CD4">
              <w:rPr>
                <w:sz w:val="20"/>
              </w:rPr>
              <w:t>Jefferson Parish HSA</w:t>
            </w:r>
          </w:p>
        </w:tc>
      </w:tr>
      <w:tr w:rsidR="00EC5CD4" w:rsidRPr="00EC5CD4" w14:paraId="6D9DE11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0B1BED8" w14:textId="77777777" w:rsidR="00EC5CD4" w:rsidRPr="00EC5CD4" w:rsidRDefault="00EC5CD4" w:rsidP="00EC5CD4">
            <w:pPr>
              <w:rPr>
                <w:sz w:val="20"/>
              </w:rPr>
            </w:pPr>
            <w:r w:rsidRPr="00EC5CD4">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0DF320F0"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3436111"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AEFA6C4"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26DD5BA9"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15122D8D"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756A34D0"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0679116B" w14:textId="77777777" w:rsidR="00EC5CD4" w:rsidRPr="00EC5CD4" w:rsidRDefault="00EC5CD4" w:rsidP="00EC5CD4">
            <w:pPr>
              <w:rPr>
                <w:sz w:val="20"/>
              </w:rPr>
            </w:pPr>
            <w:r w:rsidRPr="00EC5CD4">
              <w:rPr>
                <w:sz w:val="20"/>
              </w:rPr>
              <w:t> </w:t>
            </w:r>
          </w:p>
        </w:tc>
      </w:tr>
      <w:tr w:rsidR="00EC5CD4" w:rsidRPr="00EC5CD4" w14:paraId="03A0EE3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CD19B3A"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03CF8C7" w14:textId="77777777" w:rsidR="00EC5CD4" w:rsidRPr="00EC5CD4" w:rsidRDefault="00EC5CD4" w:rsidP="00EC5CD4">
            <w:pPr>
              <w:jc w:val="right"/>
              <w:rPr>
                <w:sz w:val="20"/>
              </w:rPr>
            </w:pPr>
            <w:r w:rsidRPr="00EC5CD4">
              <w:rPr>
                <w:sz w:val="20"/>
              </w:rPr>
              <w:t>360,774</w:t>
            </w:r>
          </w:p>
        </w:tc>
        <w:tc>
          <w:tcPr>
            <w:tcW w:w="980" w:type="dxa"/>
            <w:tcBorders>
              <w:top w:val="nil"/>
              <w:left w:val="nil"/>
              <w:bottom w:val="nil"/>
              <w:right w:val="nil"/>
            </w:tcBorders>
            <w:shd w:val="clear" w:color="auto" w:fill="auto"/>
            <w:noWrap/>
            <w:vAlign w:val="bottom"/>
            <w:hideMark/>
          </w:tcPr>
          <w:p w14:paraId="6E20DC08" w14:textId="77777777" w:rsidR="00EC5CD4" w:rsidRPr="00EC5CD4" w:rsidRDefault="00EC5CD4" w:rsidP="00EC5CD4">
            <w:pPr>
              <w:jc w:val="right"/>
              <w:rPr>
                <w:sz w:val="20"/>
              </w:rPr>
            </w:pPr>
            <w:r w:rsidRPr="00EC5CD4">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7DA614EA" w14:textId="77777777" w:rsidR="00EC5CD4" w:rsidRPr="00EC5CD4" w:rsidRDefault="00EC5CD4" w:rsidP="00EC5CD4">
            <w:pPr>
              <w:jc w:val="right"/>
              <w:rPr>
                <w:sz w:val="20"/>
              </w:rPr>
            </w:pPr>
            <w:r w:rsidRPr="00EC5CD4">
              <w:rPr>
                <w:sz w:val="20"/>
              </w:rPr>
              <w:t>30,822</w:t>
            </w:r>
          </w:p>
        </w:tc>
        <w:tc>
          <w:tcPr>
            <w:tcW w:w="980" w:type="dxa"/>
            <w:tcBorders>
              <w:top w:val="nil"/>
              <w:left w:val="nil"/>
              <w:bottom w:val="nil"/>
              <w:right w:val="nil"/>
            </w:tcBorders>
            <w:shd w:val="clear" w:color="auto" w:fill="auto"/>
            <w:noWrap/>
            <w:vAlign w:val="bottom"/>
            <w:hideMark/>
          </w:tcPr>
          <w:p w14:paraId="677D5881" w14:textId="77777777" w:rsidR="00EC5CD4" w:rsidRPr="00EC5CD4" w:rsidRDefault="00EC5CD4" w:rsidP="00EC5CD4">
            <w:pPr>
              <w:jc w:val="right"/>
              <w:rPr>
                <w:sz w:val="20"/>
              </w:rPr>
            </w:pPr>
            <w:r w:rsidRPr="00EC5CD4">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4EB944AC" w14:textId="77777777" w:rsidR="00EC5CD4" w:rsidRPr="00EC5CD4" w:rsidRDefault="00EC5CD4" w:rsidP="00EC5CD4">
            <w:pPr>
              <w:jc w:val="right"/>
              <w:rPr>
                <w:sz w:val="20"/>
              </w:rPr>
            </w:pPr>
            <w:r w:rsidRPr="00EC5CD4">
              <w:rPr>
                <w:sz w:val="20"/>
              </w:rPr>
              <w:t>2,081</w:t>
            </w:r>
          </w:p>
        </w:tc>
        <w:tc>
          <w:tcPr>
            <w:tcW w:w="980" w:type="dxa"/>
            <w:tcBorders>
              <w:top w:val="nil"/>
              <w:left w:val="nil"/>
              <w:bottom w:val="nil"/>
              <w:right w:val="single" w:sz="4" w:space="0" w:color="auto"/>
            </w:tcBorders>
            <w:shd w:val="clear" w:color="auto" w:fill="auto"/>
            <w:noWrap/>
            <w:vAlign w:val="bottom"/>
            <w:hideMark/>
          </w:tcPr>
          <w:p w14:paraId="348C6555" w14:textId="77777777" w:rsidR="00EC5CD4" w:rsidRPr="00EC5CD4" w:rsidRDefault="00EC5CD4" w:rsidP="00EC5CD4">
            <w:pPr>
              <w:jc w:val="right"/>
              <w:rPr>
                <w:sz w:val="20"/>
              </w:rPr>
            </w:pPr>
            <w:r w:rsidRPr="00EC5CD4">
              <w:rPr>
                <w:sz w:val="20"/>
              </w:rPr>
              <w:t>4,044</w:t>
            </w:r>
          </w:p>
        </w:tc>
        <w:tc>
          <w:tcPr>
            <w:tcW w:w="980" w:type="dxa"/>
            <w:tcBorders>
              <w:top w:val="nil"/>
              <w:left w:val="nil"/>
              <w:bottom w:val="nil"/>
              <w:right w:val="single" w:sz="4" w:space="0" w:color="auto"/>
            </w:tcBorders>
            <w:shd w:val="clear" w:color="auto" w:fill="auto"/>
            <w:noWrap/>
            <w:vAlign w:val="bottom"/>
            <w:hideMark/>
          </w:tcPr>
          <w:p w14:paraId="09184879" w14:textId="77777777" w:rsidR="00EC5CD4" w:rsidRPr="00EC5CD4" w:rsidRDefault="00EC5CD4" w:rsidP="00EC5CD4">
            <w:pPr>
              <w:jc w:val="right"/>
              <w:rPr>
                <w:sz w:val="20"/>
              </w:rPr>
            </w:pPr>
            <w:r w:rsidRPr="00EC5CD4">
              <w:rPr>
                <w:sz w:val="20"/>
              </w:rPr>
              <w:t>30,385</w:t>
            </w:r>
          </w:p>
        </w:tc>
      </w:tr>
      <w:tr w:rsidR="00EC5CD4" w:rsidRPr="00EC5CD4" w14:paraId="257AAB26"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4FDFD740" w14:textId="677B82E1" w:rsidR="00EC5CD4" w:rsidRPr="00EC5CD4" w:rsidRDefault="00EC5CD4" w:rsidP="00EC5CD4">
            <w:pPr>
              <w:rPr>
                <w:sz w:val="20"/>
              </w:rPr>
            </w:pPr>
            <w:r w:rsidRPr="00EC5CD4">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59518438" w14:textId="77777777" w:rsidR="00EC5CD4" w:rsidRPr="00EC5CD4" w:rsidRDefault="00EC5CD4" w:rsidP="00EC5CD4">
            <w:pPr>
              <w:jc w:val="right"/>
              <w:rPr>
                <w:sz w:val="20"/>
              </w:rPr>
            </w:pPr>
            <w:r w:rsidRPr="00EC5CD4">
              <w:rPr>
                <w:sz w:val="20"/>
              </w:rPr>
              <w:t>2.30%</w:t>
            </w:r>
          </w:p>
        </w:tc>
        <w:tc>
          <w:tcPr>
            <w:tcW w:w="980" w:type="dxa"/>
            <w:tcBorders>
              <w:top w:val="nil"/>
              <w:left w:val="nil"/>
              <w:bottom w:val="nil"/>
              <w:right w:val="single" w:sz="4" w:space="0" w:color="auto"/>
            </w:tcBorders>
            <w:shd w:val="clear" w:color="auto" w:fill="auto"/>
            <w:noWrap/>
            <w:vAlign w:val="bottom"/>
            <w:hideMark/>
          </w:tcPr>
          <w:p w14:paraId="274A4D9C" w14:textId="77777777" w:rsidR="00EC5CD4" w:rsidRPr="00EC5CD4" w:rsidRDefault="00EC5CD4" w:rsidP="00EC5CD4">
            <w:pPr>
              <w:jc w:val="right"/>
              <w:rPr>
                <w:sz w:val="20"/>
              </w:rPr>
            </w:pPr>
            <w:r w:rsidRPr="00EC5CD4">
              <w:rPr>
                <w:sz w:val="20"/>
              </w:rPr>
              <w:t>2.44%</w:t>
            </w:r>
          </w:p>
        </w:tc>
        <w:tc>
          <w:tcPr>
            <w:tcW w:w="980" w:type="dxa"/>
            <w:tcBorders>
              <w:top w:val="nil"/>
              <w:left w:val="nil"/>
              <w:bottom w:val="nil"/>
              <w:right w:val="single" w:sz="4" w:space="0" w:color="auto"/>
            </w:tcBorders>
            <w:shd w:val="clear" w:color="auto" w:fill="auto"/>
            <w:noWrap/>
            <w:vAlign w:val="bottom"/>
            <w:hideMark/>
          </w:tcPr>
          <w:p w14:paraId="68901769" w14:textId="77777777" w:rsidR="00EC5CD4" w:rsidRPr="00EC5CD4" w:rsidRDefault="00EC5CD4" w:rsidP="00EC5CD4">
            <w:pPr>
              <w:jc w:val="right"/>
              <w:rPr>
                <w:sz w:val="20"/>
              </w:rPr>
            </w:pPr>
            <w:r w:rsidRPr="00EC5CD4">
              <w:rPr>
                <w:sz w:val="20"/>
              </w:rPr>
              <w:t>2.54%</w:t>
            </w:r>
          </w:p>
        </w:tc>
        <w:tc>
          <w:tcPr>
            <w:tcW w:w="980" w:type="dxa"/>
            <w:tcBorders>
              <w:top w:val="nil"/>
              <w:left w:val="nil"/>
              <w:bottom w:val="nil"/>
              <w:right w:val="nil"/>
            </w:tcBorders>
            <w:shd w:val="clear" w:color="auto" w:fill="auto"/>
            <w:noWrap/>
            <w:vAlign w:val="bottom"/>
            <w:hideMark/>
          </w:tcPr>
          <w:p w14:paraId="7ADF0AC1" w14:textId="77777777" w:rsidR="00EC5CD4" w:rsidRPr="00EC5CD4" w:rsidRDefault="00EC5CD4" w:rsidP="00EC5CD4">
            <w:pPr>
              <w:jc w:val="right"/>
              <w:rPr>
                <w:sz w:val="20"/>
              </w:rPr>
            </w:pPr>
            <w:r w:rsidRPr="00EC5CD4">
              <w:rPr>
                <w:sz w:val="20"/>
              </w:rPr>
              <w:t>2.54%</w:t>
            </w:r>
          </w:p>
        </w:tc>
        <w:tc>
          <w:tcPr>
            <w:tcW w:w="980" w:type="dxa"/>
            <w:tcBorders>
              <w:top w:val="nil"/>
              <w:left w:val="single" w:sz="4" w:space="0" w:color="auto"/>
              <w:bottom w:val="nil"/>
              <w:right w:val="single" w:sz="4" w:space="0" w:color="auto"/>
            </w:tcBorders>
            <w:shd w:val="clear" w:color="auto" w:fill="auto"/>
            <w:noWrap/>
            <w:vAlign w:val="bottom"/>
            <w:hideMark/>
          </w:tcPr>
          <w:p w14:paraId="59AC98BB" w14:textId="77777777" w:rsidR="00EC5CD4" w:rsidRPr="00EC5CD4" w:rsidRDefault="00EC5CD4" w:rsidP="00EC5CD4">
            <w:pPr>
              <w:jc w:val="right"/>
              <w:rPr>
                <w:sz w:val="20"/>
              </w:rPr>
            </w:pPr>
            <w:r w:rsidRPr="00EC5CD4">
              <w:rPr>
                <w:sz w:val="20"/>
              </w:rPr>
              <w:t>2.54%</w:t>
            </w:r>
          </w:p>
        </w:tc>
        <w:tc>
          <w:tcPr>
            <w:tcW w:w="980" w:type="dxa"/>
            <w:tcBorders>
              <w:top w:val="nil"/>
              <w:left w:val="nil"/>
              <w:bottom w:val="nil"/>
              <w:right w:val="single" w:sz="4" w:space="0" w:color="auto"/>
            </w:tcBorders>
            <w:shd w:val="clear" w:color="auto" w:fill="auto"/>
            <w:noWrap/>
            <w:vAlign w:val="bottom"/>
            <w:hideMark/>
          </w:tcPr>
          <w:p w14:paraId="4D6C1945" w14:textId="77777777" w:rsidR="00EC5CD4" w:rsidRPr="00EC5CD4" w:rsidRDefault="00EC5CD4" w:rsidP="00EC5CD4">
            <w:pPr>
              <w:jc w:val="right"/>
              <w:rPr>
                <w:sz w:val="20"/>
              </w:rPr>
            </w:pPr>
            <w:r w:rsidRPr="00EC5CD4">
              <w:rPr>
                <w:sz w:val="20"/>
              </w:rPr>
              <w:t>2.54%</w:t>
            </w:r>
          </w:p>
        </w:tc>
        <w:tc>
          <w:tcPr>
            <w:tcW w:w="980" w:type="dxa"/>
            <w:tcBorders>
              <w:top w:val="nil"/>
              <w:left w:val="nil"/>
              <w:bottom w:val="nil"/>
              <w:right w:val="single" w:sz="4" w:space="0" w:color="auto"/>
            </w:tcBorders>
            <w:shd w:val="clear" w:color="auto" w:fill="auto"/>
            <w:noWrap/>
            <w:vAlign w:val="bottom"/>
            <w:hideMark/>
          </w:tcPr>
          <w:p w14:paraId="47125604" w14:textId="77777777" w:rsidR="00EC5CD4" w:rsidRPr="00EC5CD4" w:rsidRDefault="00EC5CD4" w:rsidP="00EC5CD4">
            <w:pPr>
              <w:jc w:val="right"/>
              <w:rPr>
                <w:sz w:val="20"/>
              </w:rPr>
            </w:pPr>
            <w:r w:rsidRPr="00EC5CD4">
              <w:rPr>
                <w:sz w:val="20"/>
              </w:rPr>
              <w:t>2.34%</w:t>
            </w:r>
          </w:p>
        </w:tc>
      </w:tr>
      <w:tr w:rsidR="00EC5CD4" w:rsidRPr="00EC5CD4" w14:paraId="7F3F278D"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E04A685"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37534BA" w14:textId="77777777" w:rsidR="00EC5CD4" w:rsidRPr="00EC5CD4" w:rsidRDefault="00EC5CD4" w:rsidP="00EC5CD4">
            <w:pPr>
              <w:jc w:val="right"/>
              <w:rPr>
                <w:sz w:val="20"/>
              </w:rPr>
            </w:pPr>
            <w:r w:rsidRPr="00EC5CD4">
              <w:rPr>
                <w:sz w:val="20"/>
              </w:rPr>
              <w:t>8,285</w:t>
            </w:r>
          </w:p>
        </w:tc>
        <w:tc>
          <w:tcPr>
            <w:tcW w:w="980" w:type="dxa"/>
            <w:tcBorders>
              <w:top w:val="nil"/>
              <w:left w:val="nil"/>
              <w:bottom w:val="single" w:sz="4" w:space="0" w:color="auto"/>
              <w:right w:val="single" w:sz="4" w:space="0" w:color="auto"/>
            </w:tcBorders>
            <w:shd w:val="clear" w:color="auto" w:fill="auto"/>
            <w:noWrap/>
            <w:vAlign w:val="bottom"/>
            <w:hideMark/>
          </w:tcPr>
          <w:p w14:paraId="02749984" w14:textId="77777777" w:rsidR="00EC5CD4" w:rsidRPr="00EC5CD4" w:rsidRDefault="00EC5CD4" w:rsidP="00EC5CD4">
            <w:pPr>
              <w:jc w:val="right"/>
              <w:rPr>
                <w:sz w:val="20"/>
              </w:rPr>
            </w:pPr>
            <w:r w:rsidRPr="00EC5CD4">
              <w:rPr>
                <w:sz w:val="20"/>
              </w:rPr>
              <w:t>1,495</w:t>
            </w:r>
          </w:p>
        </w:tc>
        <w:tc>
          <w:tcPr>
            <w:tcW w:w="980" w:type="dxa"/>
            <w:tcBorders>
              <w:top w:val="nil"/>
              <w:left w:val="nil"/>
              <w:bottom w:val="single" w:sz="4" w:space="0" w:color="auto"/>
              <w:right w:val="single" w:sz="4" w:space="0" w:color="auto"/>
            </w:tcBorders>
            <w:shd w:val="clear" w:color="auto" w:fill="auto"/>
            <w:noWrap/>
            <w:vAlign w:val="bottom"/>
            <w:hideMark/>
          </w:tcPr>
          <w:p w14:paraId="4E321D8A" w14:textId="77777777" w:rsidR="00EC5CD4" w:rsidRPr="00EC5CD4" w:rsidRDefault="00EC5CD4" w:rsidP="00EC5CD4">
            <w:pPr>
              <w:jc w:val="right"/>
              <w:rPr>
                <w:sz w:val="20"/>
              </w:rPr>
            </w:pPr>
            <w:r w:rsidRPr="00EC5CD4">
              <w:rPr>
                <w:sz w:val="20"/>
              </w:rPr>
              <w:t>782</w:t>
            </w:r>
          </w:p>
        </w:tc>
        <w:tc>
          <w:tcPr>
            <w:tcW w:w="980" w:type="dxa"/>
            <w:tcBorders>
              <w:top w:val="nil"/>
              <w:left w:val="nil"/>
              <w:bottom w:val="single" w:sz="4" w:space="0" w:color="auto"/>
              <w:right w:val="single" w:sz="4" w:space="0" w:color="auto"/>
            </w:tcBorders>
            <w:shd w:val="clear" w:color="auto" w:fill="auto"/>
            <w:noWrap/>
            <w:vAlign w:val="bottom"/>
            <w:hideMark/>
          </w:tcPr>
          <w:p w14:paraId="73A42700" w14:textId="77777777" w:rsidR="00EC5CD4" w:rsidRPr="00EC5CD4" w:rsidRDefault="00EC5CD4" w:rsidP="00EC5CD4">
            <w:pPr>
              <w:jc w:val="right"/>
              <w:rPr>
                <w:sz w:val="20"/>
              </w:rPr>
            </w:pPr>
            <w:r w:rsidRPr="00EC5CD4">
              <w:rPr>
                <w:sz w:val="20"/>
              </w:rPr>
              <w:t>627</w:t>
            </w:r>
          </w:p>
        </w:tc>
        <w:tc>
          <w:tcPr>
            <w:tcW w:w="980" w:type="dxa"/>
            <w:tcBorders>
              <w:top w:val="nil"/>
              <w:left w:val="nil"/>
              <w:bottom w:val="single" w:sz="4" w:space="0" w:color="auto"/>
              <w:right w:val="single" w:sz="4" w:space="0" w:color="auto"/>
            </w:tcBorders>
            <w:shd w:val="clear" w:color="auto" w:fill="auto"/>
            <w:noWrap/>
            <w:vAlign w:val="bottom"/>
            <w:hideMark/>
          </w:tcPr>
          <w:p w14:paraId="7B79231B" w14:textId="77777777" w:rsidR="00EC5CD4" w:rsidRPr="00EC5CD4" w:rsidRDefault="00EC5CD4" w:rsidP="00EC5CD4">
            <w:pPr>
              <w:jc w:val="right"/>
              <w:rPr>
                <w:sz w:val="20"/>
              </w:rPr>
            </w:pPr>
            <w:r w:rsidRPr="00EC5CD4">
              <w:rPr>
                <w:sz w:val="20"/>
              </w:rPr>
              <w:t>53</w:t>
            </w:r>
          </w:p>
        </w:tc>
        <w:tc>
          <w:tcPr>
            <w:tcW w:w="980" w:type="dxa"/>
            <w:tcBorders>
              <w:top w:val="nil"/>
              <w:left w:val="nil"/>
              <w:bottom w:val="single" w:sz="4" w:space="0" w:color="auto"/>
              <w:right w:val="single" w:sz="4" w:space="0" w:color="auto"/>
            </w:tcBorders>
            <w:shd w:val="clear" w:color="auto" w:fill="auto"/>
            <w:noWrap/>
            <w:vAlign w:val="bottom"/>
            <w:hideMark/>
          </w:tcPr>
          <w:p w14:paraId="7144C99A" w14:textId="77777777" w:rsidR="00EC5CD4" w:rsidRPr="00EC5CD4" w:rsidRDefault="00EC5CD4" w:rsidP="00EC5CD4">
            <w:pPr>
              <w:jc w:val="right"/>
              <w:rPr>
                <w:sz w:val="20"/>
              </w:rPr>
            </w:pPr>
            <w:r w:rsidRPr="00EC5CD4">
              <w:rPr>
                <w:sz w:val="20"/>
              </w:rPr>
              <w:t>103</w:t>
            </w:r>
          </w:p>
        </w:tc>
        <w:tc>
          <w:tcPr>
            <w:tcW w:w="980" w:type="dxa"/>
            <w:tcBorders>
              <w:top w:val="nil"/>
              <w:left w:val="nil"/>
              <w:bottom w:val="single" w:sz="4" w:space="0" w:color="auto"/>
              <w:right w:val="single" w:sz="4" w:space="0" w:color="auto"/>
            </w:tcBorders>
            <w:shd w:val="clear" w:color="auto" w:fill="auto"/>
            <w:noWrap/>
            <w:vAlign w:val="bottom"/>
            <w:hideMark/>
          </w:tcPr>
          <w:p w14:paraId="76F71074" w14:textId="77777777" w:rsidR="00EC5CD4" w:rsidRPr="00EC5CD4" w:rsidRDefault="00EC5CD4" w:rsidP="00EC5CD4">
            <w:pPr>
              <w:jc w:val="right"/>
              <w:rPr>
                <w:sz w:val="20"/>
              </w:rPr>
            </w:pPr>
            <w:r w:rsidRPr="00EC5CD4">
              <w:rPr>
                <w:sz w:val="20"/>
              </w:rPr>
              <w:t>712</w:t>
            </w:r>
          </w:p>
        </w:tc>
      </w:tr>
      <w:tr w:rsidR="00EC5CD4" w:rsidRPr="00EC5CD4" w14:paraId="7FB621CB"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4DD3E57" w14:textId="77777777" w:rsidR="00EC5CD4" w:rsidRPr="00EC5CD4" w:rsidRDefault="00EC5CD4" w:rsidP="00EC5CD4">
            <w:pPr>
              <w:rPr>
                <w:sz w:val="20"/>
              </w:rPr>
            </w:pPr>
            <w:r w:rsidRPr="00EC5CD4">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26AD5BA9"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63A223E1"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E476580"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740DB584"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CF976DF"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195234D6"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01C1B7D5" w14:textId="77777777" w:rsidR="00EC5CD4" w:rsidRPr="00EC5CD4" w:rsidRDefault="00EC5CD4" w:rsidP="00EC5CD4">
            <w:pPr>
              <w:rPr>
                <w:sz w:val="20"/>
              </w:rPr>
            </w:pPr>
            <w:r w:rsidRPr="00EC5CD4">
              <w:rPr>
                <w:sz w:val="20"/>
              </w:rPr>
              <w:t> </w:t>
            </w:r>
          </w:p>
        </w:tc>
      </w:tr>
      <w:tr w:rsidR="00EC5CD4" w:rsidRPr="00EC5CD4" w14:paraId="0333FD16"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093B6A87"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7727850" w14:textId="77777777" w:rsidR="00EC5CD4" w:rsidRPr="00EC5CD4" w:rsidRDefault="00EC5CD4" w:rsidP="00EC5CD4">
            <w:pPr>
              <w:jc w:val="right"/>
              <w:rPr>
                <w:sz w:val="20"/>
              </w:rPr>
            </w:pPr>
            <w:r w:rsidRPr="00EC5CD4">
              <w:rPr>
                <w:sz w:val="20"/>
              </w:rPr>
              <w:t>483,697</w:t>
            </w:r>
          </w:p>
        </w:tc>
        <w:tc>
          <w:tcPr>
            <w:tcW w:w="980" w:type="dxa"/>
            <w:tcBorders>
              <w:top w:val="nil"/>
              <w:left w:val="nil"/>
              <w:bottom w:val="nil"/>
              <w:right w:val="nil"/>
            </w:tcBorders>
            <w:shd w:val="clear" w:color="auto" w:fill="auto"/>
            <w:noWrap/>
            <w:vAlign w:val="bottom"/>
            <w:hideMark/>
          </w:tcPr>
          <w:p w14:paraId="0D7E628B" w14:textId="77777777" w:rsidR="00EC5CD4" w:rsidRPr="00EC5CD4" w:rsidRDefault="00EC5CD4" w:rsidP="00EC5CD4">
            <w:pPr>
              <w:jc w:val="right"/>
              <w:rPr>
                <w:sz w:val="20"/>
              </w:rPr>
            </w:pPr>
            <w:r w:rsidRPr="00EC5CD4">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44971AEE" w14:textId="77777777" w:rsidR="00EC5CD4" w:rsidRPr="00EC5CD4" w:rsidRDefault="00EC5CD4" w:rsidP="00EC5CD4">
            <w:pPr>
              <w:jc w:val="right"/>
              <w:rPr>
                <w:sz w:val="20"/>
              </w:rPr>
            </w:pPr>
            <w:r w:rsidRPr="00EC5CD4">
              <w:rPr>
                <w:sz w:val="20"/>
              </w:rPr>
              <w:t>44,790</w:t>
            </w:r>
          </w:p>
        </w:tc>
        <w:tc>
          <w:tcPr>
            <w:tcW w:w="980" w:type="dxa"/>
            <w:tcBorders>
              <w:top w:val="nil"/>
              <w:left w:val="nil"/>
              <w:bottom w:val="nil"/>
              <w:right w:val="nil"/>
            </w:tcBorders>
            <w:shd w:val="clear" w:color="auto" w:fill="auto"/>
            <w:noWrap/>
            <w:vAlign w:val="bottom"/>
            <w:hideMark/>
          </w:tcPr>
          <w:p w14:paraId="73F0EB48" w14:textId="77777777" w:rsidR="00EC5CD4" w:rsidRPr="00EC5CD4" w:rsidRDefault="00EC5CD4" w:rsidP="00EC5CD4">
            <w:pPr>
              <w:jc w:val="right"/>
              <w:rPr>
                <w:sz w:val="20"/>
              </w:rPr>
            </w:pPr>
            <w:r w:rsidRPr="00EC5CD4">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7C7F2CA7" w14:textId="77777777" w:rsidR="00EC5CD4" w:rsidRPr="00EC5CD4" w:rsidRDefault="00EC5CD4" w:rsidP="00EC5CD4">
            <w:pPr>
              <w:jc w:val="right"/>
              <w:rPr>
                <w:sz w:val="20"/>
              </w:rPr>
            </w:pPr>
            <w:r w:rsidRPr="00EC5CD4">
              <w:rPr>
                <w:sz w:val="20"/>
              </w:rPr>
              <w:t>2,265</w:t>
            </w:r>
          </w:p>
        </w:tc>
        <w:tc>
          <w:tcPr>
            <w:tcW w:w="980" w:type="dxa"/>
            <w:tcBorders>
              <w:top w:val="nil"/>
              <w:left w:val="nil"/>
              <w:bottom w:val="nil"/>
              <w:right w:val="single" w:sz="4" w:space="0" w:color="auto"/>
            </w:tcBorders>
            <w:shd w:val="clear" w:color="auto" w:fill="auto"/>
            <w:noWrap/>
            <w:vAlign w:val="bottom"/>
            <w:hideMark/>
          </w:tcPr>
          <w:p w14:paraId="35E0FA7B" w14:textId="77777777" w:rsidR="00EC5CD4" w:rsidRPr="00EC5CD4" w:rsidRDefault="00EC5CD4" w:rsidP="00EC5CD4">
            <w:pPr>
              <w:jc w:val="right"/>
              <w:rPr>
                <w:sz w:val="20"/>
              </w:rPr>
            </w:pPr>
            <w:r w:rsidRPr="00EC5CD4">
              <w:rPr>
                <w:sz w:val="20"/>
              </w:rPr>
              <w:t>4,133</w:t>
            </w:r>
          </w:p>
        </w:tc>
        <w:tc>
          <w:tcPr>
            <w:tcW w:w="980" w:type="dxa"/>
            <w:tcBorders>
              <w:top w:val="nil"/>
              <w:left w:val="nil"/>
              <w:bottom w:val="nil"/>
              <w:right w:val="single" w:sz="4" w:space="0" w:color="auto"/>
            </w:tcBorders>
            <w:shd w:val="clear" w:color="auto" w:fill="auto"/>
            <w:noWrap/>
            <w:vAlign w:val="bottom"/>
            <w:hideMark/>
          </w:tcPr>
          <w:p w14:paraId="12F6053F" w14:textId="77777777" w:rsidR="00EC5CD4" w:rsidRPr="00EC5CD4" w:rsidRDefault="00EC5CD4" w:rsidP="00EC5CD4">
            <w:pPr>
              <w:jc w:val="right"/>
              <w:rPr>
                <w:sz w:val="20"/>
              </w:rPr>
            </w:pPr>
            <w:r w:rsidRPr="00EC5CD4">
              <w:rPr>
                <w:sz w:val="20"/>
              </w:rPr>
              <w:t>37,617</w:t>
            </w:r>
          </w:p>
        </w:tc>
      </w:tr>
      <w:tr w:rsidR="00EC5CD4" w:rsidRPr="00EC5CD4" w14:paraId="28B81289"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7C80D522"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757D76A2" w14:textId="77777777" w:rsidR="00EC5CD4" w:rsidRPr="00EC5CD4" w:rsidRDefault="00EC5CD4" w:rsidP="00EC5CD4">
            <w:pPr>
              <w:jc w:val="right"/>
              <w:rPr>
                <w:sz w:val="20"/>
              </w:rPr>
            </w:pPr>
            <w:r w:rsidRPr="00EC5CD4">
              <w:rPr>
                <w:sz w:val="20"/>
              </w:rPr>
              <w:t>6.50%</w:t>
            </w:r>
          </w:p>
        </w:tc>
        <w:tc>
          <w:tcPr>
            <w:tcW w:w="980" w:type="dxa"/>
            <w:tcBorders>
              <w:top w:val="nil"/>
              <w:left w:val="nil"/>
              <w:bottom w:val="nil"/>
              <w:right w:val="single" w:sz="4" w:space="0" w:color="auto"/>
            </w:tcBorders>
            <w:shd w:val="clear" w:color="auto" w:fill="auto"/>
            <w:noWrap/>
            <w:vAlign w:val="bottom"/>
            <w:hideMark/>
          </w:tcPr>
          <w:p w14:paraId="693D0A61" w14:textId="77777777" w:rsidR="00EC5CD4" w:rsidRPr="00EC5CD4" w:rsidRDefault="00EC5CD4" w:rsidP="00EC5CD4">
            <w:pPr>
              <w:jc w:val="right"/>
              <w:rPr>
                <w:sz w:val="20"/>
              </w:rPr>
            </w:pPr>
            <w:r w:rsidRPr="00EC5CD4">
              <w:rPr>
                <w:sz w:val="20"/>
              </w:rPr>
              <w:t>6.88%</w:t>
            </w:r>
          </w:p>
        </w:tc>
        <w:tc>
          <w:tcPr>
            <w:tcW w:w="980" w:type="dxa"/>
            <w:tcBorders>
              <w:top w:val="nil"/>
              <w:left w:val="nil"/>
              <w:bottom w:val="nil"/>
              <w:right w:val="single" w:sz="4" w:space="0" w:color="auto"/>
            </w:tcBorders>
            <w:shd w:val="clear" w:color="auto" w:fill="auto"/>
            <w:noWrap/>
            <w:vAlign w:val="bottom"/>
            <w:hideMark/>
          </w:tcPr>
          <w:p w14:paraId="65C409DF" w14:textId="77777777" w:rsidR="00EC5CD4" w:rsidRPr="00EC5CD4" w:rsidRDefault="00EC5CD4" w:rsidP="00EC5CD4">
            <w:pPr>
              <w:jc w:val="right"/>
              <w:rPr>
                <w:sz w:val="20"/>
              </w:rPr>
            </w:pPr>
            <w:r w:rsidRPr="00EC5CD4">
              <w:rPr>
                <w:sz w:val="20"/>
              </w:rPr>
              <w:t>7.32%</w:t>
            </w:r>
          </w:p>
        </w:tc>
        <w:tc>
          <w:tcPr>
            <w:tcW w:w="980" w:type="dxa"/>
            <w:tcBorders>
              <w:top w:val="nil"/>
              <w:left w:val="nil"/>
              <w:bottom w:val="nil"/>
              <w:right w:val="nil"/>
            </w:tcBorders>
            <w:shd w:val="clear" w:color="auto" w:fill="auto"/>
            <w:noWrap/>
            <w:vAlign w:val="bottom"/>
            <w:hideMark/>
          </w:tcPr>
          <w:p w14:paraId="2CBB99AA" w14:textId="77777777" w:rsidR="00EC5CD4" w:rsidRPr="00EC5CD4" w:rsidRDefault="00EC5CD4" w:rsidP="00EC5CD4">
            <w:pPr>
              <w:jc w:val="right"/>
              <w:rPr>
                <w:sz w:val="20"/>
              </w:rPr>
            </w:pPr>
            <w:r w:rsidRPr="00EC5CD4">
              <w:rPr>
                <w:sz w:val="20"/>
              </w:rPr>
              <w:t>7.32%</w:t>
            </w:r>
          </w:p>
        </w:tc>
        <w:tc>
          <w:tcPr>
            <w:tcW w:w="980" w:type="dxa"/>
            <w:tcBorders>
              <w:top w:val="nil"/>
              <w:left w:val="single" w:sz="4" w:space="0" w:color="auto"/>
              <w:bottom w:val="nil"/>
              <w:right w:val="single" w:sz="4" w:space="0" w:color="auto"/>
            </w:tcBorders>
            <w:shd w:val="clear" w:color="auto" w:fill="auto"/>
            <w:noWrap/>
            <w:vAlign w:val="bottom"/>
            <w:hideMark/>
          </w:tcPr>
          <w:p w14:paraId="3402C695" w14:textId="77777777" w:rsidR="00EC5CD4" w:rsidRPr="00EC5CD4" w:rsidRDefault="00EC5CD4" w:rsidP="00EC5CD4">
            <w:pPr>
              <w:jc w:val="right"/>
              <w:rPr>
                <w:sz w:val="20"/>
              </w:rPr>
            </w:pPr>
            <w:r w:rsidRPr="00EC5CD4">
              <w:rPr>
                <w:sz w:val="20"/>
              </w:rPr>
              <w:t>7.32%</w:t>
            </w:r>
          </w:p>
        </w:tc>
        <w:tc>
          <w:tcPr>
            <w:tcW w:w="980" w:type="dxa"/>
            <w:tcBorders>
              <w:top w:val="nil"/>
              <w:left w:val="nil"/>
              <w:bottom w:val="nil"/>
              <w:right w:val="single" w:sz="4" w:space="0" w:color="auto"/>
            </w:tcBorders>
            <w:shd w:val="clear" w:color="auto" w:fill="auto"/>
            <w:noWrap/>
            <w:vAlign w:val="bottom"/>
            <w:hideMark/>
          </w:tcPr>
          <w:p w14:paraId="698901F7" w14:textId="77777777" w:rsidR="00EC5CD4" w:rsidRPr="00EC5CD4" w:rsidRDefault="00EC5CD4" w:rsidP="00EC5CD4">
            <w:pPr>
              <w:jc w:val="right"/>
              <w:rPr>
                <w:sz w:val="20"/>
              </w:rPr>
            </w:pPr>
            <w:r w:rsidRPr="00EC5CD4">
              <w:rPr>
                <w:sz w:val="20"/>
              </w:rPr>
              <w:t>7.32%</w:t>
            </w:r>
          </w:p>
        </w:tc>
        <w:tc>
          <w:tcPr>
            <w:tcW w:w="980" w:type="dxa"/>
            <w:tcBorders>
              <w:top w:val="nil"/>
              <w:left w:val="nil"/>
              <w:bottom w:val="nil"/>
              <w:right w:val="single" w:sz="4" w:space="0" w:color="auto"/>
            </w:tcBorders>
            <w:shd w:val="clear" w:color="auto" w:fill="auto"/>
            <w:noWrap/>
            <w:vAlign w:val="bottom"/>
            <w:hideMark/>
          </w:tcPr>
          <w:p w14:paraId="481D57A4" w14:textId="77777777" w:rsidR="00EC5CD4" w:rsidRPr="00EC5CD4" w:rsidRDefault="00EC5CD4" w:rsidP="00EC5CD4">
            <w:pPr>
              <w:jc w:val="right"/>
              <w:rPr>
                <w:sz w:val="20"/>
              </w:rPr>
            </w:pPr>
            <w:r w:rsidRPr="00EC5CD4">
              <w:rPr>
                <w:sz w:val="20"/>
              </w:rPr>
              <w:t>6.26%</w:t>
            </w:r>
          </w:p>
        </w:tc>
      </w:tr>
      <w:tr w:rsidR="00EC5CD4" w:rsidRPr="00EC5CD4" w14:paraId="3DBBCD1A"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38ABD116"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280FF20" w14:textId="77777777" w:rsidR="00EC5CD4" w:rsidRPr="00EC5CD4" w:rsidRDefault="00EC5CD4" w:rsidP="00EC5CD4">
            <w:pPr>
              <w:jc w:val="right"/>
              <w:rPr>
                <w:sz w:val="20"/>
              </w:rPr>
            </w:pPr>
            <w:r w:rsidRPr="00EC5CD4">
              <w:rPr>
                <w:sz w:val="20"/>
              </w:rPr>
              <w:t>31,460</w:t>
            </w:r>
          </w:p>
        </w:tc>
        <w:tc>
          <w:tcPr>
            <w:tcW w:w="980" w:type="dxa"/>
            <w:tcBorders>
              <w:top w:val="nil"/>
              <w:left w:val="nil"/>
              <w:bottom w:val="single" w:sz="4" w:space="0" w:color="auto"/>
              <w:right w:val="single" w:sz="4" w:space="0" w:color="auto"/>
            </w:tcBorders>
            <w:shd w:val="clear" w:color="auto" w:fill="auto"/>
            <w:noWrap/>
            <w:vAlign w:val="bottom"/>
            <w:hideMark/>
          </w:tcPr>
          <w:p w14:paraId="19C84911" w14:textId="77777777" w:rsidR="00EC5CD4" w:rsidRPr="00EC5CD4" w:rsidRDefault="00EC5CD4" w:rsidP="00EC5CD4">
            <w:pPr>
              <w:jc w:val="right"/>
              <w:rPr>
                <w:sz w:val="20"/>
              </w:rPr>
            </w:pPr>
            <w:r w:rsidRPr="00EC5CD4">
              <w:rPr>
                <w:sz w:val="20"/>
              </w:rPr>
              <w:t>5,670</w:t>
            </w:r>
          </w:p>
        </w:tc>
        <w:tc>
          <w:tcPr>
            <w:tcW w:w="980" w:type="dxa"/>
            <w:tcBorders>
              <w:top w:val="nil"/>
              <w:left w:val="nil"/>
              <w:bottom w:val="single" w:sz="4" w:space="0" w:color="auto"/>
              <w:right w:val="single" w:sz="4" w:space="0" w:color="auto"/>
            </w:tcBorders>
            <w:shd w:val="clear" w:color="auto" w:fill="auto"/>
            <w:noWrap/>
            <w:vAlign w:val="bottom"/>
            <w:hideMark/>
          </w:tcPr>
          <w:p w14:paraId="33A7CDDE" w14:textId="77777777" w:rsidR="00EC5CD4" w:rsidRPr="00EC5CD4" w:rsidRDefault="00EC5CD4" w:rsidP="00EC5CD4">
            <w:pPr>
              <w:jc w:val="right"/>
              <w:rPr>
                <w:sz w:val="20"/>
              </w:rPr>
            </w:pPr>
            <w:r w:rsidRPr="00EC5CD4">
              <w:rPr>
                <w:sz w:val="20"/>
              </w:rPr>
              <w:t>3,278</w:t>
            </w:r>
          </w:p>
        </w:tc>
        <w:tc>
          <w:tcPr>
            <w:tcW w:w="980" w:type="dxa"/>
            <w:tcBorders>
              <w:top w:val="nil"/>
              <w:left w:val="nil"/>
              <w:bottom w:val="single" w:sz="4" w:space="0" w:color="auto"/>
              <w:right w:val="single" w:sz="4" w:space="0" w:color="auto"/>
            </w:tcBorders>
            <w:shd w:val="clear" w:color="auto" w:fill="auto"/>
            <w:noWrap/>
            <w:vAlign w:val="bottom"/>
            <w:hideMark/>
          </w:tcPr>
          <w:p w14:paraId="47919C6F" w14:textId="77777777" w:rsidR="00EC5CD4" w:rsidRPr="00EC5CD4" w:rsidRDefault="00EC5CD4" w:rsidP="00EC5CD4">
            <w:pPr>
              <w:jc w:val="right"/>
              <w:rPr>
                <w:sz w:val="20"/>
              </w:rPr>
            </w:pPr>
            <w:r w:rsidRPr="00EC5CD4">
              <w:rPr>
                <w:sz w:val="20"/>
              </w:rPr>
              <w:t>2,810</w:t>
            </w:r>
          </w:p>
        </w:tc>
        <w:tc>
          <w:tcPr>
            <w:tcW w:w="980" w:type="dxa"/>
            <w:tcBorders>
              <w:top w:val="nil"/>
              <w:left w:val="nil"/>
              <w:bottom w:val="single" w:sz="4" w:space="0" w:color="auto"/>
              <w:right w:val="single" w:sz="4" w:space="0" w:color="auto"/>
            </w:tcBorders>
            <w:shd w:val="clear" w:color="auto" w:fill="auto"/>
            <w:noWrap/>
            <w:vAlign w:val="bottom"/>
            <w:hideMark/>
          </w:tcPr>
          <w:p w14:paraId="382B1F8C" w14:textId="77777777" w:rsidR="00EC5CD4" w:rsidRPr="00EC5CD4" w:rsidRDefault="00EC5CD4" w:rsidP="00EC5CD4">
            <w:pPr>
              <w:jc w:val="right"/>
              <w:rPr>
                <w:sz w:val="20"/>
              </w:rPr>
            </w:pPr>
            <w:r w:rsidRPr="00EC5CD4">
              <w:rPr>
                <w:sz w:val="20"/>
              </w:rPr>
              <w:t>166</w:t>
            </w:r>
          </w:p>
        </w:tc>
        <w:tc>
          <w:tcPr>
            <w:tcW w:w="980" w:type="dxa"/>
            <w:tcBorders>
              <w:top w:val="nil"/>
              <w:left w:val="nil"/>
              <w:bottom w:val="single" w:sz="4" w:space="0" w:color="auto"/>
              <w:right w:val="single" w:sz="4" w:space="0" w:color="auto"/>
            </w:tcBorders>
            <w:shd w:val="clear" w:color="auto" w:fill="auto"/>
            <w:noWrap/>
            <w:vAlign w:val="bottom"/>
            <w:hideMark/>
          </w:tcPr>
          <w:p w14:paraId="696613CD" w14:textId="77777777" w:rsidR="00EC5CD4" w:rsidRPr="00EC5CD4" w:rsidRDefault="00EC5CD4" w:rsidP="00EC5CD4">
            <w:pPr>
              <w:jc w:val="right"/>
              <w:rPr>
                <w:sz w:val="20"/>
              </w:rPr>
            </w:pPr>
            <w:r w:rsidRPr="00EC5CD4">
              <w:rPr>
                <w:sz w:val="20"/>
              </w:rPr>
              <w:t>302</w:t>
            </w:r>
          </w:p>
        </w:tc>
        <w:tc>
          <w:tcPr>
            <w:tcW w:w="980" w:type="dxa"/>
            <w:tcBorders>
              <w:top w:val="nil"/>
              <w:left w:val="nil"/>
              <w:bottom w:val="single" w:sz="4" w:space="0" w:color="auto"/>
              <w:right w:val="single" w:sz="4" w:space="0" w:color="auto"/>
            </w:tcBorders>
            <w:shd w:val="clear" w:color="auto" w:fill="auto"/>
            <w:noWrap/>
            <w:vAlign w:val="bottom"/>
            <w:hideMark/>
          </w:tcPr>
          <w:p w14:paraId="0C12866D" w14:textId="77777777" w:rsidR="00EC5CD4" w:rsidRPr="00EC5CD4" w:rsidRDefault="00EC5CD4" w:rsidP="00EC5CD4">
            <w:pPr>
              <w:jc w:val="right"/>
              <w:rPr>
                <w:sz w:val="20"/>
              </w:rPr>
            </w:pPr>
            <w:r w:rsidRPr="00EC5CD4">
              <w:rPr>
                <w:sz w:val="20"/>
              </w:rPr>
              <w:t>2,355</w:t>
            </w:r>
          </w:p>
        </w:tc>
      </w:tr>
      <w:tr w:rsidR="00EC5CD4" w:rsidRPr="00EC5CD4" w14:paraId="6DC45A89" w14:textId="77777777" w:rsidTr="00EC5CD4">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68B83F8D" w14:textId="05F70FB8" w:rsidR="00EC5CD4" w:rsidRPr="00EC5CD4" w:rsidRDefault="00EC5CD4" w:rsidP="00EC5CD4">
            <w:pPr>
              <w:rPr>
                <w:sz w:val="20"/>
              </w:rPr>
            </w:pPr>
            <w:r w:rsidRPr="00EC5CD4">
              <w:rPr>
                <w:sz w:val="20"/>
              </w:rPr>
              <w:t xml:space="preserve">Older Adults 26+ </w:t>
            </w:r>
          </w:p>
        </w:tc>
        <w:tc>
          <w:tcPr>
            <w:tcW w:w="1140" w:type="dxa"/>
            <w:tcBorders>
              <w:top w:val="nil"/>
              <w:left w:val="single" w:sz="4" w:space="0" w:color="auto"/>
              <w:bottom w:val="nil"/>
              <w:right w:val="single" w:sz="4" w:space="0" w:color="auto"/>
            </w:tcBorders>
            <w:shd w:val="clear" w:color="auto" w:fill="auto"/>
            <w:noWrap/>
            <w:vAlign w:val="bottom"/>
            <w:hideMark/>
          </w:tcPr>
          <w:p w14:paraId="7F6AEDA5"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42BC296"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DD4C0D8"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45F6FBD4" w14:textId="77777777" w:rsidR="00EC5CD4" w:rsidRPr="00EC5CD4" w:rsidRDefault="00EC5CD4" w:rsidP="00EC5CD4">
            <w:pPr>
              <w:rPr>
                <w:sz w:val="20"/>
              </w:rPr>
            </w:pPr>
            <w:r w:rsidRPr="00EC5CD4">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F27DA4B"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26EE46C4"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1E1D86AD" w14:textId="77777777" w:rsidR="00EC5CD4" w:rsidRPr="00EC5CD4" w:rsidRDefault="00EC5CD4" w:rsidP="00EC5CD4">
            <w:pPr>
              <w:rPr>
                <w:sz w:val="20"/>
              </w:rPr>
            </w:pPr>
            <w:r w:rsidRPr="00EC5CD4">
              <w:rPr>
                <w:sz w:val="20"/>
              </w:rPr>
              <w:t> </w:t>
            </w:r>
          </w:p>
        </w:tc>
      </w:tr>
      <w:tr w:rsidR="00EC5CD4" w:rsidRPr="00EC5CD4" w14:paraId="0C4DB9B2"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0D222BF"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88BBF4C" w14:textId="77777777" w:rsidR="00EC5CD4" w:rsidRPr="00EC5CD4" w:rsidRDefault="00EC5CD4" w:rsidP="00EC5CD4">
            <w:pPr>
              <w:jc w:val="right"/>
              <w:rPr>
                <w:sz w:val="20"/>
              </w:rPr>
            </w:pPr>
            <w:r w:rsidRPr="00EC5CD4">
              <w:rPr>
                <w:sz w:val="20"/>
              </w:rPr>
              <w:t>3,077,467</w:t>
            </w:r>
          </w:p>
        </w:tc>
        <w:tc>
          <w:tcPr>
            <w:tcW w:w="980" w:type="dxa"/>
            <w:tcBorders>
              <w:top w:val="nil"/>
              <w:left w:val="nil"/>
              <w:bottom w:val="nil"/>
              <w:right w:val="nil"/>
            </w:tcBorders>
            <w:shd w:val="clear" w:color="auto" w:fill="auto"/>
            <w:noWrap/>
            <w:vAlign w:val="bottom"/>
            <w:hideMark/>
          </w:tcPr>
          <w:p w14:paraId="64368C24" w14:textId="77777777" w:rsidR="00EC5CD4" w:rsidRPr="00EC5CD4" w:rsidRDefault="00EC5CD4" w:rsidP="00EC5CD4">
            <w:pPr>
              <w:jc w:val="right"/>
              <w:rPr>
                <w:sz w:val="20"/>
              </w:rPr>
            </w:pPr>
            <w:r w:rsidRPr="00EC5CD4">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1BAB3080" w14:textId="77777777" w:rsidR="00EC5CD4" w:rsidRPr="00EC5CD4" w:rsidRDefault="00EC5CD4" w:rsidP="00EC5CD4">
            <w:pPr>
              <w:jc w:val="right"/>
              <w:rPr>
                <w:sz w:val="20"/>
              </w:rPr>
            </w:pPr>
            <w:r w:rsidRPr="00EC5CD4">
              <w:rPr>
                <w:sz w:val="20"/>
              </w:rPr>
              <w:t>320,039</w:t>
            </w:r>
          </w:p>
        </w:tc>
        <w:tc>
          <w:tcPr>
            <w:tcW w:w="980" w:type="dxa"/>
            <w:tcBorders>
              <w:top w:val="nil"/>
              <w:left w:val="nil"/>
              <w:bottom w:val="nil"/>
              <w:right w:val="nil"/>
            </w:tcBorders>
            <w:shd w:val="clear" w:color="auto" w:fill="auto"/>
            <w:noWrap/>
            <w:vAlign w:val="bottom"/>
            <w:hideMark/>
          </w:tcPr>
          <w:p w14:paraId="117055CD" w14:textId="77777777" w:rsidR="00EC5CD4" w:rsidRPr="00EC5CD4" w:rsidRDefault="00EC5CD4" w:rsidP="00EC5CD4">
            <w:pPr>
              <w:jc w:val="right"/>
              <w:rPr>
                <w:sz w:val="20"/>
              </w:rPr>
            </w:pPr>
            <w:r w:rsidRPr="00EC5CD4">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1D984EE6" w14:textId="77777777" w:rsidR="00EC5CD4" w:rsidRPr="00EC5CD4" w:rsidRDefault="00EC5CD4" w:rsidP="00EC5CD4">
            <w:pPr>
              <w:jc w:val="right"/>
              <w:rPr>
                <w:sz w:val="20"/>
              </w:rPr>
            </w:pPr>
            <w:r w:rsidRPr="00EC5CD4">
              <w:rPr>
                <w:sz w:val="20"/>
              </w:rPr>
              <w:t>14,956</w:t>
            </w:r>
          </w:p>
        </w:tc>
        <w:tc>
          <w:tcPr>
            <w:tcW w:w="980" w:type="dxa"/>
            <w:tcBorders>
              <w:top w:val="nil"/>
              <w:left w:val="nil"/>
              <w:bottom w:val="nil"/>
              <w:right w:val="single" w:sz="4" w:space="0" w:color="auto"/>
            </w:tcBorders>
            <w:shd w:val="clear" w:color="auto" w:fill="auto"/>
            <w:noWrap/>
            <w:vAlign w:val="bottom"/>
            <w:hideMark/>
          </w:tcPr>
          <w:p w14:paraId="77179495" w14:textId="77777777" w:rsidR="00EC5CD4" w:rsidRPr="00EC5CD4" w:rsidRDefault="00EC5CD4" w:rsidP="00EC5CD4">
            <w:pPr>
              <w:jc w:val="right"/>
              <w:rPr>
                <w:sz w:val="20"/>
              </w:rPr>
            </w:pPr>
            <w:r w:rsidRPr="00EC5CD4">
              <w:rPr>
                <w:sz w:val="20"/>
              </w:rPr>
              <w:t>30,611</w:t>
            </w:r>
          </w:p>
        </w:tc>
        <w:tc>
          <w:tcPr>
            <w:tcW w:w="980" w:type="dxa"/>
            <w:tcBorders>
              <w:top w:val="nil"/>
              <w:left w:val="nil"/>
              <w:bottom w:val="nil"/>
              <w:right w:val="single" w:sz="4" w:space="0" w:color="auto"/>
            </w:tcBorders>
            <w:shd w:val="clear" w:color="auto" w:fill="auto"/>
            <w:noWrap/>
            <w:vAlign w:val="bottom"/>
            <w:hideMark/>
          </w:tcPr>
          <w:p w14:paraId="5EAC1FD3" w14:textId="77777777" w:rsidR="00EC5CD4" w:rsidRPr="00EC5CD4" w:rsidRDefault="00EC5CD4" w:rsidP="00EC5CD4">
            <w:pPr>
              <w:jc w:val="right"/>
              <w:rPr>
                <w:sz w:val="20"/>
              </w:rPr>
            </w:pPr>
            <w:r w:rsidRPr="00EC5CD4">
              <w:rPr>
                <w:sz w:val="20"/>
              </w:rPr>
              <w:t>299,579</w:t>
            </w:r>
          </w:p>
        </w:tc>
      </w:tr>
      <w:tr w:rsidR="00EC5CD4" w:rsidRPr="00EC5CD4" w14:paraId="18E230F1"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1CD9A58D"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64B0DB6D" w14:textId="77777777" w:rsidR="00EC5CD4" w:rsidRPr="00EC5CD4" w:rsidRDefault="00EC5CD4" w:rsidP="00EC5CD4">
            <w:pPr>
              <w:jc w:val="right"/>
              <w:rPr>
                <w:sz w:val="20"/>
              </w:rPr>
            </w:pPr>
            <w:r w:rsidRPr="00EC5CD4">
              <w:rPr>
                <w:sz w:val="20"/>
              </w:rPr>
              <w:t>2.05%</w:t>
            </w:r>
          </w:p>
        </w:tc>
        <w:tc>
          <w:tcPr>
            <w:tcW w:w="980" w:type="dxa"/>
            <w:tcBorders>
              <w:top w:val="nil"/>
              <w:left w:val="nil"/>
              <w:bottom w:val="nil"/>
              <w:right w:val="single" w:sz="4" w:space="0" w:color="auto"/>
            </w:tcBorders>
            <w:shd w:val="clear" w:color="auto" w:fill="auto"/>
            <w:noWrap/>
            <w:vAlign w:val="bottom"/>
            <w:hideMark/>
          </w:tcPr>
          <w:p w14:paraId="6FDED031" w14:textId="77777777" w:rsidR="00EC5CD4" w:rsidRPr="00EC5CD4" w:rsidRDefault="00EC5CD4" w:rsidP="00EC5CD4">
            <w:pPr>
              <w:jc w:val="right"/>
              <w:rPr>
                <w:sz w:val="20"/>
              </w:rPr>
            </w:pPr>
            <w:r w:rsidRPr="00EC5CD4">
              <w:rPr>
                <w:sz w:val="20"/>
              </w:rPr>
              <w:t>2.25%</w:t>
            </w:r>
          </w:p>
        </w:tc>
        <w:tc>
          <w:tcPr>
            <w:tcW w:w="980" w:type="dxa"/>
            <w:tcBorders>
              <w:top w:val="nil"/>
              <w:left w:val="nil"/>
              <w:bottom w:val="nil"/>
              <w:right w:val="single" w:sz="4" w:space="0" w:color="auto"/>
            </w:tcBorders>
            <w:shd w:val="clear" w:color="auto" w:fill="auto"/>
            <w:noWrap/>
            <w:vAlign w:val="bottom"/>
            <w:hideMark/>
          </w:tcPr>
          <w:p w14:paraId="51E5E1B5" w14:textId="77777777" w:rsidR="00EC5CD4" w:rsidRPr="00EC5CD4" w:rsidRDefault="00EC5CD4" w:rsidP="00EC5CD4">
            <w:pPr>
              <w:jc w:val="right"/>
              <w:rPr>
                <w:sz w:val="20"/>
              </w:rPr>
            </w:pPr>
            <w:r w:rsidRPr="00EC5CD4">
              <w:rPr>
                <w:sz w:val="20"/>
              </w:rPr>
              <w:t>2.60%</w:t>
            </w:r>
          </w:p>
        </w:tc>
        <w:tc>
          <w:tcPr>
            <w:tcW w:w="980" w:type="dxa"/>
            <w:tcBorders>
              <w:top w:val="nil"/>
              <w:left w:val="nil"/>
              <w:bottom w:val="nil"/>
              <w:right w:val="nil"/>
            </w:tcBorders>
            <w:shd w:val="clear" w:color="auto" w:fill="auto"/>
            <w:noWrap/>
            <w:vAlign w:val="bottom"/>
            <w:hideMark/>
          </w:tcPr>
          <w:p w14:paraId="7B10CAF8" w14:textId="77777777" w:rsidR="00EC5CD4" w:rsidRPr="00EC5CD4" w:rsidRDefault="00EC5CD4" w:rsidP="00EC5CD4">
            <w:pPr>
              <w:jc w:val="right"/>
              <w:rPr>
                <w:sz w:val="20"/>
              </w:rPr>
            </w:pPr>
            <w:r w:rsidRPr="00EC5CD4">
              <w:rPr>
                <w:sz w:val="20"/>
              </w:rPr>
              <w:t>2.60%</w:t>
            </w:r>
          </w:p>
        </w:tc>
        <w:tc>
          <w:tcPr>
            <w:tcW w:w="980" w:type="dxa"/>
            <w:tcBorders>
              <w:top w:val="nil"/>
              <w:left w:val="single" w:sz="4" w:space="0" w:color="auto"/>
              <w:bottom w:val="nil"/>
              <w:right w:val="single" w:sz="4" w:space="0" w:color="auto"/>
            </w:tcBorders>
            <w:shd w:val="clear" w:color="auto" w:fill="auto"/>
            <w:noWrap/>
            <w:vAlign w:val="bottom"/>
            <w:hideMark/>
          </w:tcPr>
          <w:p w14:paraId="4E4793B7" w14:textId="77777777" w:rsidR="00EC5CD4" w:rsidRPr="00EC5CD4" w:rsidRDefault="00EC5CD4" w:rsidP="00EC5CD4">
            <w:pPr>
              <w:jc w:val="right"/>
              <w:rPr>
                <w:sz w:val="20"/>
              </w:rPr>
            </w:pPr>
            <w:r w:rsidRPr="00EC5CD4">
              <w:rPr>
                <w:sz w:val="20"/>
              </w:rPr>
              <w:t>2.60%</w:t>
            </w:r>
          </w:p>
        </w:tc>
        <w:tc>
          <w:tcPr>
            <w:tcW w:w="980" w:type="dxa"/>
            <w:tcBorders>
              <w:top w:val="nil"/>
              <w:left w:val="nil"/>
              <w:bottom w:val="nil"/>
              <w:right w:val="single" w:sz="4" w:space="0" w:color="auto"/>
            </w:tcBorders>
            <w:shd w:val="clear" w:color="auto" w:fill="auto"/>
            <w:noWrap/>
            <w:vAlign w:val="bottom"/>
            <w:hideMark/>
          </w:tcPr>
          <w:p w14:paraId="2AFAA4A1" w14:textId="77777777" w:rsidR="00EC5CD4" w:rsidRPr="00EC5CD4" w:rsidRDefault="00EC5CD4" w:rsidP="00EC5CD4">
            <w:pPr>
              <w:jc w:val="right"/>
              <w:rPr>
                <w:sz w:val="20"/>
              </w:rPr>
            </w:pPr>
            <w:r w:rsidRPr="00EC5CD4">
              <w:rPr>
                <w:sz w:val="20"/>
              </w:rPr>
              <w:t>2.60%</w:t>
            </w:r>
          </w:p>
        </w:tc>
        <w:tc>
          <w:tcPr>
            <w:tcW w:w="980" w:type="dxa"/>
            <w:tcBorders>
              <w:top w:val="nil"/>
              <w:left w:val="nil"/>
              <w:bottom w:val="nil"/>
              <w:right w:val="single" w:sz="4" w:space="0" w:color="auto"/>
            </w:tcBorders>
            <w:shd w:val="clear" w:color="auto" w:fill="auto"/>
            <w:noWrap/>
            <w:vAlign w:val="bottom"/>
            <w:hideMark/>
          </w:tcPr>
          <w:p w14:paraId="6C8A8376" w14:textId="77777777" w:rsidR="00EC5CD4" w:rsidRPr="00EC5CD4" w:rsidRDefault="00EC5CD4" w:rsidP="00EC5CD4">
            <w:pPr>
              <w:jc w:val="right"/>
              <w:rPr>
                <w:sz w:val="20"/>
              </w:rPr>
            </w:pPr>
            <w:r w:rsidRPr="00EC5CD4">
              <w:rPr>
                <w:sz w:val="20"/>
              </w:rPr>
              <w:t>1.85%</w:t>
            </w:r>
          </w:p>
        </w:tc>
      </w:tr>
      <w:tr w:rsidR="00EC5CD4" w:rsidRPr="00EC5CD4" w14:paraId="65FA91EF"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87C56C2"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51915B7" w14:textId="77777777" w:rsidR="00EC5CD4" w:rsidRPr="00EC5CD4" w:rsidRDefault="00EC5CD4" w:rsidP="00EC5CD4">
            <w:pPr>
              <w:jc w:val="right"/>
              <w:rPr>
                <w:sz w:val="20"/>
              </w:rPr>
            </w:pPr>
            <w:r w:rsidRPr="00EC5CD4">
              <w:rPr>
                <w:sz w:val="20"/>
              </w:rPr>
              <w:t>63,227</w:t>
            </w:r>
          </w:p>
        </w:tc>
        <w:tc>
          <w:tcPr>
            <w:tcW w:w="980" w:type="dxa"/>
            <w:tcBorders>
              <w:top w:val="nil"/>
              <w:left w:val="nil"/>
              <w:bottom w:val="single" w:sz="4" w:space="0" w:color="auto"/>
              <w:right w:val="single" w:sz="4" w:space="0" w:color="auto"/>
            </w:tcBorders>
            <w:shd w:val="clear" w:color="auto" w:fill="auto"/>
            <w:noWrap/>
            <w:vAlign w:val="bottom"/>
            <w:hideMark/>
          </w:tcPr>
          <w:p w14:paraId="7E62BAA9" w14:textId="77777777" w:rsidR="00EC5CD4" w:rsidRPr="00EC5CD4" w:rsidRDefault="00EC5CD4" w:rsidP="00EC5CD4">
            <w:pPr>
              <w:jc w:val="right"/>
              <w:rPr>
                <w:sz w:val="20"/>
              </w:rPr>
            </w:pPr>
            <w:r w:rsidRPr="00EC5CD4">
              <w:rPr>
                <w:sz w:val="20"/>
              </w:rPr>
              <w:t>13,911</w:t>
            </w:r>
          </w:p>
        </w:tc>
        <w:tc>
          <w:tcPr>
            <w:tcW w:w="980" w:type="dxa"/>
            <w:tcBorders>
              <w:top w:val="nil"/>
              <w:left w:val="nil"/>
              <w:bottom w:val="single" w:sz="4" w:space="0" w:color="auto"/>
              <w:right w:val="single" w:sz="4" w:space="0" w:color="auto"/>
            </w:tcBorders>
            <w:shd w:val="clear" w:color="auto" w:fill="auto"/>
            <w:noWrap/>
            <w:vAlign w:val="bottom"/>
            <w:hideMark/>
          </w:tcPr>
          <w:p w14:paraId="2C9FD38A" w14:textId="77777777" w:rsidR="00EC5CD4" w:rsidRPr="00EC5CD4" w:rsidRDefault="00EC5CD4" w:rsidP="00EC5CD4">
            <w:pPr>
              <w:jc w:val="right"/>
              <w:rPr>
                <w:sz w:val="20"/>
              </w:rPr>
            </w:pPr>
            <w:r w:rsidRPr="00EC5CD4">
              <w:rPr>
                <w:sz w:val="20"/>
              </w:rPr>
              <w:t>8,315</w:t>
            </w:r>
          </w:p>
        </w:tc>
        <w:tc>
          <w:tcPr>
            <w:tcW w:w="980" w:type="dxa"/>
            <w:tcBorders>
              <w:top w:val="nil"/>
              <w:left w:val="nil"/>
              <w:bottom w:val="single" w:sz="4" w:space="0" w:color="auto"/>
              <w:right w:val="single" w:sz="4" w:space="0" w:color="auto"/>
            </w:tcBorders>
            <w:shd w:val="clear" w:color="auto" w:fill="auto"/>
            <w:noWrap/>
            <w:vAlign w:val="bottom"/>
            <w:hideMark/>
          </w:tcPr>
          <w:p w14:paraId="0A832F93" w14:textId="77777777" w:rsidR="00EC5CD4" w:rsidRPr="00EC5CD4" w:rsidRDefault="00EC5CD4" w:rsidP="00EC5CD4">
            <w:pPr>
              <w:jc w:val="right"/>
              <w:rPr>
                <w:sz w:val="20"/>
              </w:rPr>
            </w:pPr>
            <w:r w:rsidRPr="00EC5CD4">
              <w:rPr>
                <w:sz w:val="20"/>
              </w:rPr>
              <w:t>7,131</w:t>
            </w:r>
          </w:p>
        </w:tc>
        <w:tc>
          <w:tcPr>
            <w:tcW w:w="980" w:type="dxa"/>
            <w:tcBorders>
              <w:top w:val="nil"/>
              <w:left w:val="nil"/>
              <w:bottom w:val="single" w:sz="4" w:space="0" w:color="auto"/>
              <w:right w:val="single" w:sz="4" w:space="0" w:color="auto"/>
            </w:tcBorders>
            <w:shd w:val="clear" w:color="auto" w:fill="auto"/>
            <w:noWrap/>
            <w:vAlign w:val="bottom"/>
            <w:hideMark/>
          </w:tcPr>
          <w:p w14:paraId="65C4D718" w14:textId="77777777" w:rsidR="00EC5CD4" w:rsidRPr="00EC5CD4" w:rsidRDefault="00EC5CD4" w:rsidP="00EC5CD4">
            <w:pPr>
              <w:jc w:val="right"/>
              <w:rPr>
                <w:sz w:val="20"/>
              </w:rPr>
            </w:pPr>
            <w:r w:rsidRPr="00EC5CD4">
              <w:rPr>
                <w:sz w:val="20"/>
              </w:rPr>
              <w:t>389</w:t>
            </w:r>
          </w:p>
        </w:tc>
        <w:tc>
          <w:tcPr>
            <w:tcW w:w="980" w:type="dxa"/>
            <w:tcBorders>
              <w:top w:val="nil"/>
              <w:left w:val="nil"/>
              <w:bottom w:val="single" w:sz="4" w:space="0" w:color="auto"/>
              <w:right w:val="single" w:sz="4" w:space="0" w:color="auto"/>
            </w:tcBorders>
            <w:shd w:val="clear" w:color="auto" w:fill="auto"/>
            <w:noWrap/>
            <w:vAlign w:val="bottom"/>
            <w:hideMark/>
          </w:tcPr>
          <w:p w14:paraId="4B7C9281" w14:textId="77777777" w:rsidR="00EC5CD4" w:rsidRPr="00EC5CD4" w:rsidRDefault="00EC5CD4" w:rsidP="00EC5CD4">
            <w:pPr>
              <w:jc w:val="right"/>
              <w:rPr>
                <w:sz w:val="20"/>
              </w:rPr>
            </w:pPr>
            <w:r w:rsidRPr="00EC5CD4">
              <w:rPr>
                <w:sz w:val="20"/>
              </w:rPr>
              <w:t>795</w:t>
            </w:r>
          </w:p>
        </w:tc>
        <w:tc>
          <w:tcPr>
            <w:tcW w:w="980" w:type="dxa"/>
            <w:tcBorders>
              <w:top w:val="nil"/>
              <w:left w:val="nil"/>
              <w:bottom w:val="single" w:sz="4" w:space="0" w:color="auto"/>
              <w:right w:val="single" w:sz="4" w:space="0" w:color="auto"/>
            </w:tcBorders>
            <w:shd w:val="clear" w:color="auto" w:fill="auto"/>
            <w:noWrap/>
            <w:vAlign w:val="bottom"/>
            <w:hideMark/>
          </w:tcPr>
          <w:p w14:paraId="050D3017" w14:textId="77777777" w:rsidR="00EC5CD4" w:rsidRPr="00EC5CD4" w:rsidRDefault="00EC5CD4" w:rsidP="00EC5CD4">
            <w:pPr>
              <w:jc w:val="right"/>
              <w:rPr>
                <w:sz w:val="20"/>
              </w:rPr>
            </w:pPr>
            <w:r w:rsidRPr="00EC5CD4">
              <w:rPr>
                <w:sz w:val="20"/>
              </w:rPr>
              <w:t>5,538</w:t>
            </w:r>
          </w:p>
        </w:tc>
      </w:tr>
      <w:tr w:rsidR="00EC5CD4" w:rsidRPr="00EC5CD4" w14:paraId="3D4A0D5D"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8BD64C6" w14:textId="77777777" w:rsidR="00EC5CD4" w:rsidRPr="00EC5CD4" w:rsidRDefault="00EC5CD4" w:rsidP="00EC5CD4">
            <w:pPr>
              <w:rPr>
                <w:sz w:val="20"/>
              </w:rPr>
            </w:pPr>
            <w:r w:rsidRPr="00EC5CD4">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74CFEFCB"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682F4637"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8A59567" w14:textId="77777777" w:rsidR="00EC5CD4" w:rsidRPr="00EC5CD4" w:rsidRDefault="00EC5CD4" w:rsidP="00EC5CD4">
            <w:pPr>
              <w:rPr>
                <w:sz w:val="20"/>
              </w:rPr>
            </w:pPr>
            <w:r w:rsidRPr="00EC5CD4">
              <w:rPr>
                <w:sz w:val="20"/>
              </w:rPr>
              <w:t> </w:t>
            </w:r>
          </w:p>
        </w:tc>
        <w:tc>
          <w:tcPr>
            <w:tcW w:w="980" w:type="dxa"/>
            <w:tcBorders>
              <w:top w:val="nil"/>
              <w:left w:val="nil"/>
              <w:bottom w:val="nil"/>
              <w:right w:val="nil"/>
            </w:tcBorders>
            <w:shd w:val="clear" w:color="auto" w:fill="auto"/>
            <w:noWrap/>
            <w:vAlign w:val="bottom"/>
            <w:hideMark/>
          </w:tcPr>
          <w:p w14:paraId="03618011" w14:textId="77777777" w:rsidR="00EC5CD4" w:rsidRPr="00EC5CD4" w:rsidRDefault="00EC5CD4" w:rsidP="00EC5CD4">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E7AB22A"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5411D29E" w14:textId="77777777" w:rsidR="00EC5CD4" w:rsidRPr="00EC5CD4" w:rsidRDefault="00EC5CD4" w:rsidP="00EC5CD4">
            <w:pPr>
              <w:rPr>
                <w:sz w:val="20"/>
              </w:rPr>
            </w:pPr>
            <w:r w:rsidRPr="00EC5CD4">
              <w:rPr>
                <w:sz w:val="20"/>
              </w:rPr>
              <w:t> </w:t>
            </w:r>
          </w:p>
        </w:tc>
        <w:tc>
          <w:tcPr>
            <w:tcW w:w="980" w:type="dxa"/>
            <w:tcBorders>
              <w:top w:val="nil"/>
              <w:left w:val="nil"/>
              <w:bottom w:val="nil"/>
              <w:right w:val="single" w:sz="4" w:space="0" w:color="auto"/>
            </w:tcBorders>
            <w:shd w:val="clear" w:color="auto" w:fill="auto"/>
            <w:noWrap/>
            <w:vAlign w:val="bottom"/>
            <w:hideMark/>
          </w:tcPr>
          <w:p w14:paraId="4AC9DDAD" w14:textId="77777777" w:rsidR="00EC5CD4" w:rsidRPr="00EC5CD4" w:rsidRDefault="00EC5CD4" w:rsidP="00EC5CD4">
            <w:pPr>
              <w:rPr>
                <w:sz w:val="20"/>
              </w:rPr>
            </w:pPr>
            <w:r w:rsidRPr="00EC5CD4">
              <w:rPr>
                <w:sz w:val="20"/>
              </w:rPr>
              <w:t> </w:t>
            </w:r>
          </w:p>
        </w:tc>
      </w:tr>
      <w:tr w:rsidR="00EC5CD4" w:rsidRPr="00EC5CD4" w14:paraId="25F0FDC9"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5CEF889E" w14:textId="77777777" w:rsidR="00EC5CD4" w:rsidRPr="00EC5CD4" w:rsidRDefault="00EC5CD4" w:rsidP="00EC5CD4">
            <w:pPr>
              <w:rPr>
                <w:sz w:val="20"/>
              </w:rPr>
            </w:pPr>
            <w:r w:rsidRPr="00EC5CD4">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6C58FB73" w14:textId="77777777" w:rsidR="00EC5CD4" w:rsidRPr="00EC5CD4" w:rsidRDefault="00EC5CD4" w:rsidP="00EC5CD4">
            <w:pPr>
              <w:jc w:val="right"/>
              <w:rPr>
                <w:sz w:val="20"/>
              </w:rPr>
            </w:pPr>
            <w:r w:rsidRPr="00EC5CD4">
              <w:rPr>
                <w:sz w:val="20"/>
              </w:rPr>
              <w:t>3,561,164</w:t>
            </w:r>
          </w:p>
        </w:tc>
        <w:tc>
          <w:tcPr>
            <w:tcW w:w="980" w:type="dxa"/>
            <w:tcBorders>
              <w:top w:val="nil"/>
              <w:left w:val="nil"/>
              <w:bottom w:val="nil"/>
              <w:right w:val="nil"/>
            </w:tcBorders>
            <w:shd w:val="clear" w:color="auto" w:fill="auto"/>
            <w:noWrap/>
            <w:vAlign w:val="bottom"/>
            <w:hideMark/>
          </w:tcPr>
          <w:p w14:paraId="2CB353C1" w14:textId="77777777" w:rsidR="00EC5CD4" w:rsidRPr="00EC5CD4" w:rsidRDefault="00EC5CD4" w:rsidP="00EC5CD4">
            <w:pPr>
              <w:jc w:val="right"/>
              <w:rPr>
                <w:sz w:val="20"/>
              </w:rPr>
            </w:pPr>
            <w:r w:rsidRPr="00EC5CD4">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76A0D905" w14:textId="77777777" w:rsidR="00EC5CD4" w:rsidRPr="00EC5CD4" w:rsidRDefault="00EC5CD4" w:rsidP="00EC5CD4">
            <w:pPr>
              <w:jc w:val="right"/>
              <w:rPr>
                <w:sz w:val="20"/>
              </w:rPr>
            </w:pPr>
            <w:r w:rsidRPr="00EC5CD4">
              <w:rPr>
                <w:sz w:val="20"/>
              </w:rPr>
              <w:t>364,829</w:t>
            </w:r>
          </w:p>
        </w:tc>
        <w:tc>
          <w:tcPr>
            <w:tcW w:w="980" w:type="dxa"/>
            <w:tcBorders>
              <w:top w:val="nil"/>
              <w:left w:val="nil"/>
              <w:bottom w:val="nil"/>
              <w:right w:val="nil"/>
            </w:tcBorders>
            <w:shd w:val="clear" w:color="auto" w:fill="auto"/>
            <w:noWrap/>
            <w:vAlign w:val="bottom"/>
            <w:hideMark/>
          </w:tcPr>
          <w:p w14:paraId="13B280B7" w14:textId="77777777" w:rsidR="00EC5CD4" w:rsidRPr="00EC5CD4" w:rsidRDefault="00EC5CD4" w:rsidP="00EC5CD4">
            <w:pPr>
              <w:jc w:val="right"/>
              <w:rPr>
                <w:sz w:val="20"/>
              </w:rPr>
            </w:pPr>
            <w:r w:rsidRPr="00EC5CD4">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4200B589" w14:textId="77777777" w:rsidR="00EC5CD4" w:rsidRPr="00EC5CD4" w:rsidRDefault="00EC5CD4" w:rsidP="00EC5CD4">
            <w:pPr>
              <w:jc w:val="right"/>
              <w:rPr>
                <w:sz w:val="20"/>
              </w:rPr>
            </w:pPr>
            <w:r w:rsidRPr="00EC5CD4">
              <w:rPr>
                <w:sz w:val="20"/>
              </w:rPr>
              <w:t>17,221</w:t>
            </w:r>
          </w:p>
        </w:tc>
        <w:tc>
          <w:tcPr>
            <w:tcW w:w="980" w:type="dxa"/>
            <w:tcBorders>
              <w:top w:val="nil"/>
              <w:left w:val="nil"/>
              <w:bottom w:val="nil"/>
              <w:right w:val="single" w:sz="4" w:space="0" w:color="auto"/>
            </w:tcBorders>
            <w:shd w:val="clear" w:color="auto" w:fill="auto"/>
            <w:noWrap/>
            <w:vAlign w:val="bottom"/>
            <w:hideMark/>
          </w:tcPr>
          <w:p w14:paraId="3041266E" w14:textId="77777777" w:rsidR="00EC5CD4" w:rsidRPr="00EC5CD4" w:rsidRDefault="00EC5CD4" w:rsidP="00EC5CD4">
            <w:pPr>
              <w:jc w:val="right"/>
              <w:rPr>
                <w:sz w:val="20"/>
              </w:rPr>
            </w:pPr>
            <w:r w:rsidRPr="00EC5CD4">
              <w:rPr>
                <w:sz w:val="20"/>
              </w:rPr>
              <w:t>34,744</w:t>
            </w:r>
          </w:p>
        </w:tc>
        <w:tc>
          <w:tcPr>
            <w:tcW w:w="980" w:type="dxa"/>
            <w:tcBorders>
              <w:top w:val="nil"/>
              <w:left w:val="nil"/>
              <w:bottom w:val="nil"/>
              <w:right w:val="single" w:sz="4" w:space="0" w:color="auto"/>
            </w:tcBorders>
            <w:shd w:val="clear" w:color="auto" w:fill="auto"/>
            <w:noWrap/>
            <w:vAlign w:val="bottom"/>
            <w:hideMark/>
          </w:tcPr>
          <w:p w14:paraId="4E6C25BF" w14:textId="77777777" w:rsidR="00EC5CD4" w:rsidRPr="00EC5CD4" w:rsidRDefault="00EC5CD4" w:rsidP="00EC5CD4">
            <w:pPr>
              <w:jc w:val="right"/>
              <w:rPr>
                <w:sz w:val="20"/>
              </w:rPr>
            </w:pPr>
            <w:r w:rsidRPr="00EC5CD4">
              <w:rPr>
                <w:sz w:val="20"/>
              </w:rPr>
              <w:t>337,196</w:t>
            </w:r>
          </w:p>
        </w:tc>
      </w:tr>
      <w:tr w:rsidR="00EC5CD4" w:rsidRPr="00EC5CD4" w14:paraId="74E8B214" w14:textId="77777777" w:rsidTr="00EC5CD4">
        <w:trPr>
          <w:trHeight w:val="255"/>
        </w:trPr>
        <w:tc>
          <w:tcPr>
            <w:tcW w:w="1960" w:type="dxa"/>
            <w:tcBorders>
              <w:top w:val="nil"/>
              <w:left w:val="single" w:sz="4" w:space="0" w:color="auto"/>
              <w:bottom w:val="nil"/>
              <w:right w:val="nil"/>
            </w:tcBorders>
            <w:shd w:val="clear" w:color="auto" w:fill="auto"/>
            <w:noWrap/>
            <w:vAlign w:val="bottom"/>
            <w:hideMark/>
          </w:tcPr>
          <w:p w14:paraId="2944C2FD" w14:textId="77777777" w:rsidR="00EC5CD4" w:rsidRPr="00EC5CD4" w:rsidRDefault="00EC5CD4" w:rsidP="00EC5CD4">
            <w:pPr>
              <w:rPr>
                <w:sz w:val="20"/>
              </w:rPr>
            </w:pPr>
            <w:r w:rsidRPr="00EC5CD4">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4DF93BE0" w14:textId="77777777" w:rsidR="00EC5CD4" w:rsidRPr="00EC5CD4" w:rsidRDefault="00EC5CD4" w:rsidP="00EC5CD4">
            <w:pPr>
              <w:jc w:val="right"/>
              <w:rPr>
                <w:sz w:val="20"/>
              </w:rPr>
            </w:pPr>
            <w:r w:rsidRPr="00EC5CD4">
              <w:rPr>
                <w:sz w:val="20"/>
              </w:rPr>
              <w:t>2.68%</w:t>
            </w:r>
          </w:p>
        </w:tc>
        <w:tc>
          <w:tcPr>
            <w:tcW w:w="980" w:type="dxa"/>
            <w:tcBorders>
              <w:top w:val="nil"/>
              <w:left w:val="nil"/>
              <w:bottom w:val="nil"/>
              <w:right w:val="single" w:sz="4" w:space="0" w:color="auto"/>
            </w:tcBorders>
            <w:shd w:val="clear" w:color="auto" w:fill="auto"/>
            <w:noWrap/>
            <w:vAlign w:val="bottom"/>
            <w:hideMark/>
          </w:tcPr>
          <w:p w14:paraId="6D7AE3A7" w14:textId="77777777" w:rsidR="00EC5CD4" w:rsidRPr="00EC5CD4" w:rsidRDefault="00EC5CD4" w:rsidP="00EC5CD4">
            <w:pPr>
              <w:jc w:val="right"/>
              <w:rPr>
                <w:sz w:val="20"/>
              </w:rPr>
            </w:pPr>
            <w:r w:rsidRPr="00EC5CD4">
              <w:rPr>
                <w:sz w:val="20"/>
              </w:rPr>
              <w:t>2.84%</w:t>
            </w:r>
          </w:p>
        </w:tc>
        <w:tc>
          <w:tcPr>
            <w:tcW w:w="980" w:type="dxa"/>
            <w:tcBorders>
              <w:top w:val="nil"/>
              <w:left w:val="nil"/>
              <w:bottom w:val="nil"/>
              <w:right w:val="single" w:sz="4" w:space="0" w:color="auto"/>
            </w:tcBorders>
            <w:shd w:val="clear" w:color="auto" w:fill="auto"/>
            <w:noWrap/>
            <w:vAlign w:val="bottom"/>
            <w:hideMark/>
          </w:tcPr>
          <w:p w14:paraId="1E7C715C" w14:textId="77777777" w:rsidR="00EC5CD4" w:rsidRPr="00EC5CD4" w:rsidRDefault="00EC5CD4" w:rsidP="00EC5CD4">
            <w:pPr>
              <w:jc w:val="right"/>
              <w:rPr>
                <w:sz w:val="20"/>
              </w:rPr>
            </w:pPr>
            <w:r w:rsidRPr="00EC5CD4">
              <w:rPr>
                <w:sz w:val="20"/>
              </w:rPr>
              <w:t>3.26%</w:t>
            </w:r>
          </w:p>
        </w:tc>
        <w:tc>
          <w:tcPr>
            <w:tcW w:w="980" w:type="dxa"/>
            <w:tcBorders>
              <w:top w:val="nil"/>
              <w:left w:val="nil"/>
              <w:bottom w:val="nil"/>
              <w:right w:val="nil"/>
            </w:tcBorders>
            <w:shd w:val="clear" w:color="auto" w:fill="auto"/>
            <w:noWrap/>
            <w:vAlign w:val="bottom"/>
            <w:hideMark/>
          </w:tcPr>
          <w:p w14:paraId="27159B48" w14:textId="77777777" w:rsidR="00EC5CD4" w:rsidRPr="00EC5CD4" w:rsidRDefault="00EC5CD4" w:rsidP="00EC5CD4">
            <w:pPr>
              <w:jc w:val="right"/>
              <w:rPr>
                <w:sz w:val="20"/>
              </w:rPr>
            </w:pPr>
            <w:r w:rsidRPr="00EC5CD4">
              <w:rPr>
                <w:sz w:val="20"/>
              </w:rPr>
              <w:t>3.26%</w:t>
            </w:r>
          </w:p>
        </w:tc>
        <w:tc>
          <w:tcPr>
            <w:tcW w:w="980" w:type="dxa"/>
            <w:tcBorders>
              <w:top w:val="nil"/>
              <w:left w:val="single" w:sz="4" w:space="0" w:color="auto"/>
              <w:bottom w:val="nil"/>
              <w:right w:val="single" w:sz="4" w:space="0" w:color="auto"/>
            </w:tcBorders>
            <w:shd w:val="clear" w:color="auto" w:fill="auto"/>
            <w:noWrap/>
            <w:vAlign w:val="bottom"/>
            <w:hideMark/>
          </w:tcPr>
          <w:p w14:paraId="02F2F03A" w14:textId="77777777" w:rsidR="00EC5CD4" w:rsidRPr="00EC5CD4" w:rsidRDefault="00EC5CD4" w:rsidP="00EC5CD4">
            <w:pPr>
              <w:jc w:val="right"/>
              <w:rPr>
                <w:sz w:val="20"/>
              </w:rPr>
            </w:pPr>
            <w:r w:rsidRPr="00EC5CD4">
              <w:rPr>
                <w:sz w:val="20"/>
              </w:rPr>
              <w:t>3.26%</w:t>
            </w:r>
          </w:p>
        </w:tc>
        <w:tc>
          <w:tcPr>
            <w:tcW w:w="980" w:type="dxa"/>
            <w:tcBorders>
              <w:top w:val="nil"/>
              <w:left w:val="nil"/>
              <w:bottom w:val="nil"/>
              <w:right w:val="single" w:sz="4" w:space="0" w:color="auto"/>
            </w:tcBorders>
            <w:shd w:val="clear" w:color="auto" w:fill="auto"/>
            <w:noWrap/>
            <w:vAlign w:val="bottom"/>
            <w:hideMark/>
          </w:tcPr>
          <w:p w14:paraId="3CF69718" w14:textId="77777777" w:rsidR="00EC5CD4" w:rsidRPr="00EC5CD4" w:rsidRDefault="00EC5CD4" w:rsidP="00EC5CD4">
            <w:pPr>
              <w:jc w:val="right"/>
              <w:rPr>
                <w:sz w:val="20"/>
              </w:rPr>
            </w:pPr>
            <w:r w:rsidRPr="00EC5CD4">
              <w:rPr>
                <w:sz w:val="20"/>
              </w:rPr>
              <w:t>3.26%</w:t>
            </w:r>
          </w:p>
        </w:tc>
        <w:tc>
          <w:tcPr>
            <w:tcW w:w="980" w:type="dxa"/>
            <w:tcBorders>
              <w:top w:val="nil"/>
              <w:left w:val="nil"/>
              <w:bottom w:val="nil"/>
              <w:right w:val="single" w:sz="4" w:space="0" w:color="auto"/>
            </w:tcBorders>
            <w:shd w:val="clear" w:color="auto" w:fill="auto"/>
            <w:noWrap/>
            <w:vAlign w:val="bottom"/>
            <w:hideMark/>
          </w:tcPr>
          <w:p w14:paraId="5B0F4C23" w14:textId="77777777" w:rsidR="00EC5CD4" w:rsidRPr="00EC5CD4" w:rsidRDefault="00EC5CD4" w:rsidP="00EC5CD4">
            <w:pPr>
              <w:jc w:val="right"/>
              <w:rPr>
                <w:sz w:val="20"/>
              </w:rPr>
            </w:pPr>
            <w:r w:rsidRPr="00EC5CD4">
              <w:rPr>
                <w:sz w:val="20"/>
              </w:rPr>
              <w:t>2.35%</w:t>
            </w:r>
          </w:p>
        </w:tc>
      </w:tr>
      <w:tr w:rsidR="00EC5CD4" w:rsidRPr="00EC5CD4" w14:paraId="5D7AB0B5" w14:textId="77777777" w:rsidTr="00EC5CD4">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E04A187" w14:textId="77777777" w:rsidR="00EC5CD4" w:rsidRPr="00EC5CD4" w:rsidRDefault="00EC5CD4" w:rsidP="00EC5CD4">
            <w:pPr>
              <w:rPr>
                <w:sz w:val="20"/>
              </w:rPr>
            </w:pPr>
            <w:r w:rsidRPr="00EC5CD4">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2B5800D" w14:textId="77777777" w:rsidR="00EC5CD4" w:rsidRPr="00EC5CD4" w:rsidRDefault="00EC5CD4" w:rsidP="00EC5CD4">
            <w:pPr>
              <w:jc w:val="right"/>
              <w:rPr>
                <w:sz w:val="20"/>
              </w:rPr>
            </w:pPr>
            <w:r w:rsidRPr="00EC5CD4">
              <w:rPr>
                <w:sz w:val="20"/>
              </w:rPr>
              <w:t>95,336</w:t>
            </w:r>
          </w:p>
        </w:tc>
        <w:tc>
          <w:tcPr>
            <w:tcW w:w="980" w:type="dxa"/>
            <w:tcBorders>
              <w:top w:val="nil"/>
              <w:left w:val="nil"/>
              <w:bottom w:val="single" w:sz="4" w:space="0" w:color="auto"/>
              <w:right w:val="single" w:sz="4" w:space="0" w:color="auto"/>
            </w:tcBorders>
            <w:shd w:val="clear" w:color="auto" w:fill="auto"/>
            <w:noWrap/>
            <w:vAlign w:val="bottom"/>
            <w:hideMark/>
          </w:tcPr>
          <w:p w14:paraId="77FE3B8D" w14:textId="77777777" w:rsidR="00EC5CD4" w:rsidRPr="00EC5CD4" w:rsidRDefault="00EC5CD4" w:rsidP="00EC5CD4">
            <w:pPr>
              <w:jc w:val="right"/>
              <w:rPr>
                <w:sz w:val="20"/>
              </w:rPr>
            </w:pPr>
            <w:r w:rsidRPr="00EC5CD4">
              <w:rPr>
                <w:sz w:val="20"/>
              </w:rPr>
              <w:t>19,934</w:t>
            </w:r>
          </w:p>
        </w:tc>
        <w:tc>
          <w:tcPr>
            <w:tcW w:w="980" w:type="dxa"/>
            <w:tcBorders>
              <w:top w:val="nil"/>
              <w:left w:val="nil"/>
              <w:bottom w:val="single" w:sz="4" w:space="0" w:color="auto"/>
              <w:right w:val="single" w:sz="4" w:space="0" w:color="auto"/>
            </w:tcBorders>
            <w:shd w:val="clear" w:color="auto" w:fill="auto"/>
            <w:noWrap/>
            <w:vAlign w:val="bottom"/>
            <w:hideMark/>
          </w:tcPr>
          <w:p w14:paraId="6F3F7F57" w14:textId="77777777" w:rsidR="00EC5CD4" w:rsidRPr="00EC5CD4" w:rsidRDefault="00EC5CD4" w:rsidP="00EC5CD4">
            <w:pPr>
              <w:jc w:val="right"/>
              <w:rPr>
                <w:sz w:val="20"/>
              </w:rPr>
            </w:pPr>
            <w:r w:rsidRPr="00EC5CD4">
              <w:rPr>
                <w:sz w:val="20"/>
              </w:rPr>
              <w:t>11,890</w:t>
            </w:r>
          </w:p>
        </w:tc>
        <w:tc>
          <w:tcPr>
            <w:tcW w:w="980" w:type="dxa"/>
            <w:tcBorders>
              <w:top w:val="nil"/>
              <w:left w:val="nil"/>
              <w:bottom w:val="single" w:sz="4" w:space="0" w:color="auto"/>
              <w:right w:val="single" w:sz="4" w:space="0" w:color="auto"/>
            </w:tcBorders>
            <w:shd w:val="clear" w:color="auto" w:fill="auto"/>
            <w:noWrap/>
            <w:vAlign w:val="bottom"/>
            <w:hideMark/>
          </w:tcPr>
          <w:p w14:paraId="720514D4" w14:textId="77777777" w:rsidR="00EC5CD4" w:rsidRPr="00EC5CD4" w:rsidRDefault="00EC5CD4" w:rsidP="00EC5CD4">
            <w:pPr>
              <w:jc w:val="right"/>
              <w:rPr>
                <w:sz w:val="20"/>
              </w:rPr>
            </w:pPr>
            <w:r w:rsidRPr="00EC5CD4">
              <w:rPr>
                <w:sz w:val="20"/>
              </w:rPr>
              <w:t>10,196</w:t>
            </w:r>
          </w:p>
        </w:tc>
        <w:tc>
          <w:tcPr>
            <w:tcW w:w="980" w:type="dxa"/>
            <w:tcBorders>
              <w:top w:val="nil"/>
              <w:left w:val="nil"/>
              <w:bottom w:val="single" w:sz="4" w:space="0" w:color="auto"/>
              <w:right w:val="single" w:sz="4" w:space="0" w:color="auto"/>
            </w:tcBorders>
            <w:shd w:val="clear" w:color="auto" w:fill="auto"/>
            <w:noWrap/>
            <w:vAlign w:val="bottom"/>
            <w:hideMark/>
          </w:tcPr>
          <w:p w14:paraId="47FCFC55" w14:textId="77777777" w:rsidR="00EC5CD4" w:rsidRPr="00EC5CD4" w:rsidRDefault="00EC5CD4" w:rsidP="00EC5CD4">
            <w:pPr>
              <w:jc w:val="right"/>
              <w:rPr>
                <w:sz w:val="20"/>
              </w:rPr>
            </w:pPr>
            <w:r w:rsidRPr="00EC5CD4">
              <w:rPr>
                <w:sz w:val="20"/>
              </w:rPr>
              <w:t>561</w:t>
            </w:r>
          </w:p>
        </w:tc>
        <w:tc>
          <w:tcPr>
            <w:tcW w:w="980" w:type="dxa"/>
            <w:tcBorders>
              <w:top w:val="nil"/>
              <w:left w:val="nil"/>
              <w:bottom w:val="single" w:sz="4" w:space="0" w:color="auto"/>
              <w:right w:val="single" w:sz="4" w:space="0" w:color="auto"/>
            </w:tcBorders>
            <w:shd w:val="clear" w:color="auto" w:fill="auto"/>
            <w:noWrap/>
            <w:vAlign w:val="bottom"/>
            <w:hideMark/>
          </w:tcPr>
          <w:p w14:paraId="4F691155" w14:textId="77777777" w:rsidR="00EC5CD4" w:rsidRPr="00EC5CD4" w:rsidRDefault="00EC5CD4" w:rsidP="00EC5CD4">
            <w:pPr>
              <w:jc w:val="right"/>
              <w:rPr>
                <w:sz w:val="20"/>
              </w:rPr>
            </w:pPr>
            <w:r w:rsidRPr="00EC5CD4">
              <w:rPr>
                <w:sz w:val="20"/>
              </w:rPr>
              <w:t>1,132</w:t>
            </w:r>
          </w:p>
        </w:tc>
        <w:tc>
          <w:tcPr>
            <w:tcW w:w="980" w:type="dxa"/>
            <w:tcBorders>
              <w:top w:val="nil"/>
              <w:left w:val="nil"/>
              <w:bottom w:val="single" w:sz="4" w:space="0" w:color="auto"/>
              <w:right w:val="single" w:sz="4" w:space="0" w:color="auto"/>
            </w:tcBorders>
            <w:shd w:val="clear" w:color="auto" w:fill="auto"/>
            <w:noWrap/>
            <w:vAlign w:val="bottom"/>
            <w:hideMark/>
          </w:tcPr>
          <w:p w14:paraId="0CCADC86" w14:textId="77777777" w:rsidR="00EC5CD4" w:rsidRPr="00EC5CD4" w:rsidRDefault="00EC5CD4" w:rsidP="00EC5CD4">
            <w:pPr>
              <w:jc w:val="right"/>
              <w:rPr>
                <w:sz w:val="20"/>
              </w:rPr>
            </w:pPr>
            <w:r w:rsidRPr="00EC5CD4">
              <w:rPr>
                <w:sz w:val="20"/>
              </w:rPr>
              <w:t>7,939</w:t>
            </w:r>
          </w:p>
        </w:tc>
      </w:tr>
      <w:tr w:rsidR="00EC5CD4" w:rsidRPr="00EC5CD4" w14:paraId="335E8150" w14:textId="77777777" w:rsidTr="00BF315B">
        <w:trPr>
          <w:trHeight w:val="935"/>
        </w:trPr>
        <w:tc>
          <w:tcPr>
            <w:tcW w:w="8980" w:type="dxa"/>
            <w:gridSpan w:val="8"/>
            <w:tcBorders>
              <w:top w:val="single" w:sz="4" w:space="0" w:color="auto"/>
              <w:left w:val="nil"/>
              <w:bottom w:val="nil"/>
              <w:right w:val="nil"/>
            </w:tcBorders>
            <w:shd w:val="clear" w:color="auto" w:fill="auto"/>
            <w:vAlign w:val="bottom"/>
            <w:hideMark/>
          </w:tcPr>
          <w:p w14:paraId="0691BBDA" w14:textId="77777777" w:rsidR="00BF315B" w:rsidRDefault="00EC5CD4" w:rsidP="00BF315B">
            <w:pPr>
              <w:rPr>
                <w:sz w:val="18"/>
                <w:szCs w:val="18"/>
              </w:rPr>
            </w:pPr>
            <w:r w:rsidRPr="00EC5CD4">
              <w:rPr>
                <w:b/>
                <w:bCs/>
                <w:sz w:val="18"/>
                <w:szCs w:val="18"/>
              </w:rPr>
              <w:t xml:space="preserve">Notes: * </w:t>
            </w:r>
            <w:r w:rsidRPr="00EC5CD4">
              <w:rPr>
                <w:sz w:val="18"/>
                <w:szCs w:val="18"/>
              </w:rPr>
              <w:t>Prevalence rates are estimated by the National Survey of Drug Use and Health, 2016-2018. Parish population sizes are estimated by U.S. Census for July 1, 2019.</w:t>
            </w:r>
          </w:p>
          <w:p w14:paraId="46D9FA27" w14:textId="45D15DD0" w:rsidR="00EC5CD4" w:rsidRPr="00EC5CD4"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7CD6615D" w14:textId="476227AB" w:rsidR="00EC5CD4" w:rsidRDefault="00EC5CD4" w:rsidP="001549F4"/>
    <w:p w14:paraId="1B98A0C4" w14:textId="495C4A48" w:rsidR="00EC5CD4" w:rsidRDefault="00EC5CD4">
      <w:r>
        <w:br w:type="page"/>
      </w:r>
    </w:p>
    <w:p w14:paraId="749A8624" w14:textId="48E9060A" w:rsidR="00EC5CD4" w:rsidRDefault="00454966" w:rsidP="00130E39">
      <w:pPr>
        <w:pStyle w:val="ListParagraph"/>
        <w:numPr>
          <w:ilvl w:val="0"/>
          <w:numId w:val="7"/>
        </w:numPr>
      </w:pPr>
      <w:r w:rsidRPr="00454966">
        <w:lastRenderedPageBreak/>
        <w:t xml:space="preserve">Pain Reliever Use Disorder in the </w:t>
      </w:r>
      <w:r w:rsidRPr="00130E39">
        <w:rPr>
          <w:i/>
          <w:iCs/>
        </w:rPr>
        <w:t>Past Year</w:t>
      </w:r>
    </w:p>
    <w:p w14:paraId="16DD7E91" w14:textId="73C81940"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20ACD06D" w14:textId="77777777" w:rsidTr="00454966">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40BCA904" w14:textId="77777777" w:rsidR="00454966" w:rsidRPr="00454966" w:rsidRDefault="00454966" w:rsidP="00454966">
            <w:pPr>
              <w:jc w:val="center"/>
              <w:rPr>
                <w:b/>
                <w:bCs/>
                <w:sz w:val="20"/>
              </w:rPr>
            </w:pPr>
            <w:bookmarkStart w:id="17" w:name="_Hlk58487409"/>
            <w:r w:rsidRPr="00454966">
              <w:rPr>
                <w:b/>
                <w:bCs/>
                <w:sz w:val="20"/>
              </w:rPr>
              <w:t xml:space="preserve">Pain Reliever Use Disorder in the </w:t>
            </w:r>
            <w:r w:rsidRPr="00454966">
              <w:rPr>
                <w:b/>
                <w:bCs/>
                <w:i/>
                <w:iCs/>
                <w:sz w:val="20"/>
                <w:u w:val="single"/>
              </w:rPr>
              <w:t>Past Year</w:t>
            </w:r>
            <w:r w:rsidRPr="00454966">
              <w:rPr>
                <w:b/>
                <w:bCs/>
                <w:sz w:val="20"/>
              </w:rPr>
              <w:t xml:space="preserve"> </w:t>
            </w:r>
            <w:bookmarkEnd w:id="17"/>
            <w:r w:rsidRPr="00454966">
              <w:rPr>
                <w:b/>
                <w:bCs/>
                <w:sz w:val="20"/>
              </w:rPr>
              <w:t>by Age Group Among Residents of</w:t>
            </w:r>
            <w:r w:rsidRPr="00454966">
              <w:rPr>
                <w:b/>
                <w:bCs/>
                <w:sz w:val="20"/>
              </w:rPr>
              <w:br/>
              <w:t>Greater New Orleans Parishes and Statewide, 2019*</w:t>
            </w:r>
          </w:p>
        </w:tc>
      </w:tr>
      <w:tr w:rsidR="00454966" w:rsidRPr="00454966" w14:paraId="518729FD"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0C4B480"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354D503E" w14:textId="689BD07C"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720C27C6"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575EBB2F"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683FD569"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73EB0717"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1A7BF76B"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20CF734E" w14:textId="77777777" w:rsidR="00454966" w:rsidRPr="00454966" w:rsidRDefault="00454966" w:rsidP="00454966">
            <w:pPr>
              <w:jc w:val="center"/>
              <w:rPr>
                <w:sz w:val="20"/>
              </w:rPr>
            </w:pPr>
            <w:r w:rsidRPr="00454966">
              <w:rPr>
                <w:sz w:val="20"/>
              </w:rPr>
              <w:t>Jefferson Parish HSA</w:t>
            </w:r>
          </w:p>
        </w:tc>
      </w:tr>
      <w:tr w:rsidR="00454966" w:rsidRPr="00454966" w14:paraId="7707F30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962A0A8"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67BA2D63"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C6C1F6E"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AFEB174"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7EA7798"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8FAF4DC"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E907251"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467E5176" w14:textId="77777777" w:rsidR="00454966" w:rsidRPr="00454966" w:rsidRDefault="00454966" w:rsidP="00454966">
            <w:pPr>
              <w:rPr>
                <w:sz w:val="20"/>
              </w:rPr>
            </w:pPr>
            <w:r w:rsidRPr="00454966">
              <w:rPr>
                <w:sz w:val="20"/>
              </w:rPr>
              <w:t> </w:t>
            </w:r>
          </w:p>
        </w:tc>
      </w:tr>
      <w:tr w:rsidR="00454966" w:rsidRPr="00454966" w14:paraId="35A25ED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7027716"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49F3514"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6AC3E893"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78BE44F6"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36689158"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649CC019"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6C8264D5"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616332D7" w14:textId="77777777" w:rsidR="00454966" w:rsidRPr="00454966" w:rsidRDefault="00454966" w:rsidP="00454966">
            <w:pPr>
              <w:jc w:val="right"/>
              <w:rPr>
                <w:sz w:val="20"/>
              </w:rPr>
            </w:pPr>
            <w:r w:rsidRPr="00454966">
              <w:rPr>
                <w:sz w:val="20"/>
              </w:rPr>
              <w:t>30,385</w:t>
            </w:r>
          </w:p>
        </w:tc>
      </w:tr>
      <w:tr w:rsidR="00454966" w:rsidRPr="00454966" w14:paraId="62ED7F6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11E0852" w14:textId="55E20C42" w:rsidR="00454966" w:rsidRPr="00454966" w:rsidRDefault="00454966" w:rsidP="00454966">
            <w:pPr>
              <w:rPr>
                <w:sz w:val="20"/>
              </w:rPr>
            </w:pPr>
            <w:r w:rsidRPr="00454966">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683208EE" w14:textId="77777777" w:rsidR="00454966" w:rsidRPr="00454966" w:rsidRDefault="00454966" w:rsidP="00454966">
            <w:pPr>
              <w:jc w:val="right"/>
              <w:rPr>
                <w:sz w:val="20"/>
              </w:rPr>
            </w:pPr>
            <w:r w:rsidRPr="00454966">
              <w:rPr>
                <w:sz w:val="20"/>
              </w:rPr>
              <w:t>0.39%</w:t>
            </w:r>
          </w:p>
        </w:tc>
        <w:tc>
          <w:tcPr>
            <w:tcW w:w="980" w:type="dxa"/>
            <w:tcBorders>
              <w:top w:val="nil"/>
              <w:left w:val="nil"/>
              <w:bottom w:val="nil"/>
              <w:right w:val="single" w:sz="4" w:space="0" w:color="auto"/>
            </w:tcBorders>
            <w:shd w:val="clear" w:color="000000" w:fill="FFD85B"/>
            <w:noWrap/>
            <w:vAlign w:val="bottom"/>
            <w:hideMark/>
          </w:tcPr>
          <w:p w14:paraId="628D75D0"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67EDA738"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2334F672"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41DF4ADB"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2E478C6D"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09E2F569" w14:textId="77777777" w:rsidR="00454966" w:rsidRPr="00454966" w:rsidRDefault="00454966" w:rsidP="00454966">
            <w:pPr>
              <w:jc w:val="center"/>
              <w:rPr>
                <w:sz w:val="20"/>
              </w:rPr>
            </w:pPr>
            <w:r w:rsidRPr="00454966">
              <w:rPr>
                <w:sz w:val="20"/>
              </w:rPr>
              <w:t>***</w:t>
            </w:r>
          </w:p>
        </w:tc>
      </w:tr>
      <w:tr w:rsidR="00454966" w:rsidRPr="00454966" w14:paraId="20B2E7C0"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4C3C9BF5"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37D92D" w14:textId="77777777" w:rsidR="00454966" w:rsidRPr="00454966" w:rsidRDefault="00454966" w:rsidP="00454966">
            <w:pPr>
              <w:jc w:val="right"/>
              <w:rPr>
                <w:sz w:val="20"/>
              </w:rPr>
            </w:pPr>
            <w:r w:rsidRPr="00454966">
              <w:rPr>
                <w:sz w:val="20"/>
              </w:rPr>
              <w:t>1,392</w:t>
            </w:r>
          </w:p>
        </w:tc>
        <w:tc>
          <w:tcPr>
            <w:tcW w:w="980" w:type="dxa"/>
            <w:tcBorders>
              <w:top w:val="nil"/>
              <w:left w:val="nil"/>
              <w:bottom w:val="nil"/>
              <w:right w:val="single" w:sz="4" w:space="0" w:color="auto"/>
            </w:tcBorders>
            <w:shd w:val="clear" w:color="000000" w:fill="FFD85B"/>
            <w:noWrap/>
            <w:vAlign w:val="bottom"/>
            <w:hideMark/>
          </w:tcPr>
          <w:p w14:paraId="15935EA7"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51A2F533"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73A578C5"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2E171634"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46BB8D73" w14:textId="77777777" w:rsidR="00454966" w:rsidRPr="00454966" w:rsidRDefault="00454966" w:rsidP="00454966">
            <w:pPr>
              <w:jc w:val="center"/>
              <w:rPr>
                <w:sz w:val="20"/>
              </w:rPr>
            </w:pPr>
            <w:r w:rsidRPr="00454966">
              <w:rPr>
                <w:sz w:val="20"/>
              </w:rPr>
              <w:t>***</w:t>
            </w:r>
          </w:p>
        </w:tc>
        <w:tc>
          <w:tcPr>
            <w:tcW w:w="980" w:type="dxa"/>
            <w:tcBorders>
              <w:top w:val="nil"/>
              <w:left w:val="nil"/>
              <w:bottom w:val="nil"/>
              <w:right w:val="single" w:sz="4" w:space="0" w:color="auto"/>
            </w:tcBorders>
            <w:shd w:val="clear" w:color="000000" w:fill="FFD85B"/>
            <w:noWrap/>
            <w:vAlign w:val="bottom"/>
            <w:hideMark/>
          </w:tcPr>
          <w:p w14:paraId="242E5656" w14:textId="77777777" w:rsidR="00454966" w:rsidRPr="00454966" w:rsidRDefault="00454966" w:rsidP="00454966">
            <w:pPr>
              <w:jc w:val="center"/>
              <w:rPr>
                <w:sz w:val="20"/>
              </w:rPr>
            </w:pPr>
            <w:r w:rsidRPr="00454966">
              <w:rPr>
                <w:sz w:val="20"/>
              </w:rPr>
              <w:t>***</w:t>
            </w:r>
          </w:p>
        </w:tc>
      </w:tr>
      <w:tr w:rsidR="00454966" w:rsidRPr="00454966" w14:paraId="0DC01305"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A7187AC"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406E7992"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93AB6B2"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C7FB0A5"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19A86596"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C4DF572"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5CDFAF9"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4A21CCF1" w14:textId="77777777" w:rsidR="00454966" w:rsidRPr="00454966" w:rsidRDefault="00454966" w:rsidP="00454966">
            <w:pPr>
              <w:rPr>
                <w:sz w:val="20"/>
              </w:rPr>
            </w:pPr>
            <w:r w:rsidRPr="00454966">
              <w:rPr>
                <w:sz w:val="20"/>
              </w:rPr>
              <w:t> </w:t>
            </w:r>
          </w:p>
        </w:tc>
      </w:tr>
      <w:tr w:rsidR="00454966" w:rsidRPr="00454966" w14:paraId="64B87E67"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CA655A6"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43088F0"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45022B8A"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7F4D2A7D"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4E640A0D"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6EE26C50"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7F621FDC"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726D4337" w14:textId="77777777" w:rsidR="00454966" w:rsidRPr="00454966" w:rsidRDefault="00454966" w:rsidP="00454966">
            <w:pPr>
              <w:jc w:val="right"/>
              <w:rPr>
                <w:sz w:val="20"/>
              </w:rPr>
            </w:pPr>
            <w:r w:rsidRPr="00454966">
              <w:rPr>
                <w:sz w:val="20"/>
              </w:rPr>
              <w:t>37,617</w:t>
            </w:r>
          </w:p>
        </w:tc>
      </w:tr>
      <w:tr w:rsidR="00454966" w:rsidRPr="00454966" w14:paraId="03DE2C8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4D62524" w14:textId="77777777" w:rsidR="00454966" w:rsidRPr="00454966" w:rsidRDefault="00454966" w:rsidP="00454966">
            <w:pPr>
              <w:rPr>
                <w:sz w:val="20"/>
              </w:rPr>
            </w:pPr>
            <w:r w:rsidRPr="00454966">
              <w:rPr>
                <w:sz w:val="20"/>
              </w:rPr>
              <w:t xml:space="preserve">    Rate (%) </w:t>
            </w:r>
            <w:r w:rsidRPr="00454966">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765B82E2" w14:textId="77777777" w:rsidR="00454966" w:rsidRPr="00454966" w:rsidRDefault="00454966" w:rsidP="00454966">
            <w:pPr>
              <w:jc w:val="right"/>
              <w:rPr>
                <w:sz w:val="20"/>
              </w:rPr>
            </w:pPr>
            <w:r w:rsidRPr="00454966">
              <w:rPr>
                <w:sz w:val="20"/>
              </w:rPr>
              <w:t>0.98%</w:t>
            </w:r>
          </w:p>
        </w:tc>
        <w:tc>
          <w:tcPr>
            <w:tcW w:w="980" w:type="dxa"/>
            <w:tcBorders>
              <w:top w:val="nil"/>
              <w:left w:val="nil"/>
              <w:bottom w:val="nil"/>
              <w:right w:val="single" w:sz="4" w:space="0" w:color="auto"/>
            </w:tcBorders>
            <w:shd w:val="clear" w:color="auto" w:fill="auto"/>
            <w:noWrap/>
            <w:vAlign w:val="bottom"/>
            <w:hideMark/>
          </w:tcPr>
          <w:p w14:paraId="2FB909C5" w14:textId="77777777" w:rsidR="00454966" w:rsidRPr="00454966" w:rsidRDefault="00454966" w:rsidP="00454966">
            <w:pPr>
              <w:jc w:val="right"/>
              <w:rPr>
                <w:sz w:val="20"/>
              </w:rPr>
            </w:pPr>
            <w:r w:rsidRPr="00454966">
              <w:rPr>
                <w:sz w:val="20"/>
              </w:rPr>
              <w:t>0.90%</w:t>
            </w:r>
          </w:p>
        </w:tc>
        <w:tc>
          <w:tcPr>
            <w:tcW w:w="980" w:type="dxa"/>
            <w:tcBorders>
              <w:top w:val="nil"/>
              <w:left w:val="nil"/>
              <w:bottom w:val="nil"/>
              <w:right w:val="single" w:sz="4" w:space="0" w:color="auto"/>
            </w:tcBorders>
            <w:shd w:val="clear" w:color="000000" w:fill="FFD85B"/>
            <w:noWrap/>
            <w:vAlign w:val="bottom"/>
            <w:hideMark/>
          </w:tcPr>
          <w:p w14:paraId="68B8932B" w14:textId="77777777" w:rsidR="00454966" w:rsidRPr="00454966" w:rsidRDefault="00454966" w:rsidP="00454966">
            <w:pPr>
              <w:jc w:val="right"/>
              <w:rPr>
                <w:sz w:val="20"/>
              </w:rPr>
            </w:pPr>
            <w:r w:rsidRPr="00454966">
              <w:rPr>
                <w:sz w:val="20"/>
              </w:rPr>
              <w:t>0.90%</w:t>
            </w:r>
          </w:p>
        </w:tc>
        <w:tc>
          <w:tcPr>
            <w:tcW w:w="980" w:type="dxa"/>
            <w:tcBorders>
              <w:top w:val="nil"/>
              <w:left w:val="nil"/>
              <w:bottom w:val="nil"/>
              <w:right w:val="nil"/>
            </w:tcBorders>
            <w:shd w:val="clear" w:color="000000" w:fill="FFD85B"/>
            <w:noWrap/>
            <w:vAlign w:val="bottom"/>
            <w:hideMark/>
          </w:tcPr>
          <w:p w14:paraId="0BF2D934" w14:textId="77777777" w:rsidR="00454966" w:rsidRPr="00454966" w:rsidRDefault="00454966" w:rsidP="00454966">
            <w:pPr>
              <w:jc w:val="right"/>
              <w:rPr>
                <w:sz w:val="20"/>
              </w:rPr>
            </w:pPr>
            <w:r w:rsidRPr="00454966">
              <w:rPr>
                <w:sz w:val="20"/>
              </w:rPr>
              <w:t>0.90%</w:t>
            </w:r>
          </w:p>
        </w:tc>
        <w:tc>
          <w:tcPr>
            <w:tcW w:w="980" w:type="dxa"/>
            <w:tcBorders>
              <w:top w:val="nil"/>
              <w:left w:val="single" w:sz="4" w:space="0" w:color="auto"/>
              <w:bottom w:val="nil"/>
              <w:right w:val="single" w:sz="4" w:space="0" w:color="auto"/>
            </w:tcBorders>
            <w:shd w:val="clear" w:color="000000" w:fill="FFD85B"/>
            <w:noWrap/>
            <w:vAlign w:val="bottom"/>
            <w:hideMark/>
          </w:tcPr>
          <w:p w14:paraId="7E8347AD" w14:textId="77777777" w:rsidR="00454966" w:rsidRPr="00454966" w:rsidRDefault="00454966" w:rsidP="00454966">
            <w:pPr>
              <w:jc w:val="right"/>
              <w:rPr>
                <w:sz w:val="20"/>
              </w:rPr>
            </w:pPr>
            <w:r w:rsidRPr="00454966">
              <w:rPr>
                <w:sz w:val="20"/>
              </w:rPr>
              <w:t>0.90%</w:t>
            </w:r>
          </w:p>
        </w:tc>
        <w:tc>
          <w:tcPr>
            <w:tcW w:w="980" w:type="dxa"/>
            <w:tcBorders>
              <w:top w:val="nil"/>
              <w:left w:val="nil"/>
              <w:bottom w:val="nil"/>
              <w:right w:val="single" w:sz="4" w:space="0" w:color="auto"/>
            </w:tcBorders>
            <w:shd w:val="clear" w:color="000000" w:fill="FFD85B"/>
            <w:noWrap/>
            <w:vAlign w:val="bottom"/>
            <w:hideMark/>
          </w:tcPr>
          <w:p w14:paraId="0D61A300" w14:textId="77777777" w:rsidR="00454966" w:rsidRPr="00454966" w:rsidRDefault="00454966" w:rsidP="00454966">
            <w:pPr>
              <w:jc w:val="right"/>
              <w:rPr>
                <w:sz w:val="20"/>
              </w:rPr>
            </w:pPr>
            <w:r w:rsidRPr="00454966">
              <w:rPr>
                <w:sz w:val="20"/>
              </w:rPr>
              <w:t>0.90%</w:t>
            </w:r>
          </w:p>
        </w:tc>
        <w:tc>
          <w:tcPr>
            <w:tcW w:w="980" w:type="dxa"/>
            <w:tcBorders>
              <w:top w:val="nil"/>
              <w:left w:val="nil"/>
              <w:bottom w:val="nil"/>
              <w:right w:val="single" w:sz="4" w:space="0" w:color="auto"/>
            </w:tcBorders>
            <w:shd w:val="clear" w:color="000000" w:fill="FFD85B"/>
            <w:noWrap/>
            <w:vAlign w:val="bottom"/>
            <w:hideMark/>
          </w:tcPr>
          <w:p w14:paraId="75B6E0E2" w14:textId="77777777" w:rsidR="00454966" w:rsidRPr="00454966" w:rsidRDefault="00454966" w:rsidP="00454966">
            <w:pPr>
              <w:jc w:val="right"/>
              <w:rPr>
                <w:sz w:val="20"/>
              </w:rPr>
            </w:pPr>
            <w:r w:rsidRPr="00454966">
              <w:rPr>
                <w:sz w:val="20"/>
              </w:rPr>
              <w:t>0.90%</w:t>
            </w:r>
          </w:p>
        </w:tc>
      </w:tr>
      <w:tr w:rsidR="00454966" w:rsidRPr="00454966" w14:paraId="40E21025"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D5FC6CE"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E5AC5C5" w14:textId="77777777" w:rsidR="00454966" w:rsidRPr="00454966" w:rsidRDefault="00454966" w:rsidP="00454966">
            <w:pPr>
              <w:jc w:val="right"/>
              <w:rPr>
                <w:sz w:val="20"/>
              </w:rPr>
            </w:pPr>
            <w:r w:rsidRPr="00454966">
              <w:rPr>
                <w:sz w:val="20"/>
              </w:rPr>
              <w:t>4,758</w:t>
            </w:r>
          </w:p>
        </w:tc>
        <w:tc>
          <w:tcPr>
            <w:tcW w:w="980" w:type="dxa"/>
            <w:tcBorders>
              <w:top w:val="nil"/>
              <w:left w:val="nil"/>
              <w:bottom w:val="single" w:sz="4" w:space="0" w:color="auto"/>
              <w:right w:val="single" w:sz="4" w:space="0" w:color="auto"/>
            </w:tcBorders>
            <w:shd w:val="clear" w:color="auto" w:fill="auto"/>
            <w:noWrap/>
            <w:vAlign w:val="bottom"/>
            <w:hideMark/>
          </w:tcPr>
          <w:p w14:paraId="5B61F6FF" w14:textId="77777777" w:rsidR="00454966" w:rsidRPr="00454966" w:rsidRDefault="00454966" w:rsidP="00454966">
            <w:pPr>
              <w:jc w:val="right"/>
              <w:rPr>
                <w:sz w:val="20"/>
              </w:rPr>
            </w:pPr>
            <w:r w:rsidRPr="00454966">
              <w:rPr>
                <w:sz w:val="20"/>
              </w:rPr>
              <w:t>743</w:t>
            </w:r>
          </w:p>
        </w:tc>
        <w:tc>
          <w:tcPr>
            <w:tcW w:w="980" w:type="dxa"/>
            <w:tcBorders>
              <w:top w:val="nil"/>
              <w:left w:val="nil"/>
              <w:bottom w:val="single" w:sz="4" w:space="0" w:color="auto"/>
              <w:right w:val="single" w:sz="4" w:space="0" w:color="auto"/>
            </w:tcBorders>
            <w:shd w:val="clear" w:color="000000" w:fill="FFD85B"/>
            <w:noWrap/>
            <w:vAlign w:val="bottom"/>
            <w:hideMark/>
          </w:tcPr>
          <w:p w14:paraId="584D8C12" w14:textId="77777777" w:rsidR="00454966" w:rsidRPr="00454966" w:rsidRDefault="00454966" w:rsidP="00454966">
            <w:pPr>
              <w:jc w:val="right"/>
              <w:rPr>
                <w:sz w:val="20"/>
              </w:rPr>
            </w:pPr>
            <w:r w:rsidRPr="00454966">
              <w:rPr>
                <w:sz w:val="20"/>
              </w:rPr>
              <w:t>404</w:t>
            </w:r>
          </w:p>
        </w:tc>
        <w:tc>
          <w:tcPr>
            <w:tcW w:w="980" w:type="dxa"/>
            <w:tcBorders>
              <w:top w:val="nil"/>
              <w:left w:val="nil"/>
              <w:bottom w:val="single" w:sz="4" w:space="0" w:color="auto"/>
              <w:right w:val="single" w:sz="4" w:space="0" w:color="auto"/>
            </w:tcBorders>
            <w:shd w:val="clear" w:color="000000" w:fill="FFD85B"/>
            <w:noWrap/>
            <w:vAlign w:val="bottom"/>
            <w:hideMark/>
          </w:tcPr>
          <w:p w14:paraId="32037CE9" w14:textId="77777777" w:rsidR="00454966" w:rsidRPr="00454966" w:rsidRDefault="00454966" w:rsidP="00454966">
            <w:pPr>
              <w:jc w:val="right"/>
              <w:rPr>
                <w:sz w:val="20"/>
              </w:rPr>
            </w:pPr>
            <w:r w:rsidRPr="00454966">
              <w:rPr>
                <w:sz w:val="20"/>
              </w:rPr>
              <w:t>346</w:t>
            </w:r>
          </w:p>
        </w:tc>
        <w:tc>
          <w:tcPr>
            <w:tcW w:w="980" w:type="dxa"/>
            <w:tcBorders>
              <w:top w:val="nil"/>
              <w:left w:val="nil"/>
              <w:bottom w:val="single" w:sz="4" w:space="0" w:color="auto"/>
              <w:right w:val="single" w:sz="4" w:space="0" w:color="auto"/>
            </w:tcBorders>
            <w:shd w:val="clear" w:color="000000" w:fill="FFD85B"/>
            <w:noWrap/>
            <w:vAlign w:val="bottom"/>
            <w:hideMark/>
          </w:tcPr>
          <w:p w14:paraId="4ADBBF79" w14:textId="77777777" w:rsidR="00454966" w:rsidRPr="00454966" w:rsidRDefault="00454966" w:rsidP="00454966">
            <w:pPr>
              <w:jc w:val="right"/>
              <w:rPr>
                <w:sz w:val="20"/>
              </w:rPr>
            </w:pPr>
            <w:r w:rsidRPr="00454966">
              <w:rPr>
                <w:sz w:val="20"/>
              </w:rPr>
              <w:t>20</w:t>
            </w:r>
          </w:p>
        </w:tc>
        <w:tc>
          <w:tcPr>
            <w:tcW w:w="980" w:type="dxa"/>
            <w:tcBorders>
              <w:top w:val="nil"/>
              <w:left w:val="nil"/>
              <w:bottom w:val="single" w:sz="4" w:space="0" w:color="auto"/>
              <w:right w:val="single" w:sz="4" w:space="0" w:color="auto"/>
            </w:tcBorders>
            <w:shd w:val="clear" w:color="000000" w:fill="FFD85B"/>
            <w:noWrap/>
            <w:vAlign w:val="bottom"/>
            <w:hideMark/>
          </w:tcPr>
          <w:p w14:paraId="6B4D7413" w14:textId="77777777" w:rsidR="00454966" w:rsidRPr="00454966" w:rsidRDefault="00454966" w:rsidP="00454966">
            <w:pPr>
              <w:jc w:val="right"/>
              <w:rPr>
                <w:sz w:val="20"/>
              </w:rPr>
            </w:pPr>
            <w:r w:rsidRPr="00454966">
              <w:rPr>
                <w:sz w:val="20"/>
              </w:rPr>
              <w:t>37</w:t>
            </w:r>
          </w:p>
        </w:tc>
        <w:tc>
          <w:tcPr>
            <w:tcW w:w="980" w:type="dxa"/>
            <w:tcBorders>
              <w:top w:val="nil"/>
              <w:left w:val="nil"/>
              <w:bottom w:val="single" w:sz="4" w:space="0" w:color="auto"/>
              <w:right w:val="single" w:sz="4" w:space="0" w:color="auto"/>
            </w:tcBorders>
            <w:shd w:val="clear" w:color="000000" w:fill="FFD85B"/>
            <w:noWrap/>
            <w:vAlign w:val="bottom"/>
            <w:hideMark/>
          </w:tcPr>
          <w:p w14:paraId="156AE50E" w14:textId="77777777" w:rsidR="00454966" w:rsidRPr="00454966" w:rsidRDefault="00454966" w:rsidP="00454966">
            <w:pPr>
              <w:jc w:val="right"/>
              <w:rPr>
                <w:sz w:val="20"/>
              </w:rPr>
            </w:pPr>
            <w:r w:rsidRPr="00454966">
              <w:rPr>
                <w:sz w:val="20"/>
              </w:rPr>
              <w:t>339</w:t>
            </w:r>
          </w:p>
        </w:tc>
      </w:tr>
      <w:tr w:rsidR="00454966" w:rsidRPr="00454966" w14:paraId="5E01C456"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3B922EEA" w14:textId="165B29B4"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721E87D1"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184D61B4"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6BA9E4C5"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FBA441D"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7D3F1C3"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78EEAEF6"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77BB0D7F" w14:textId="77777777" w:rsidR="00454966" w:rsidRPr="00454966" w:rsidRDefault="00454966" w:rsidP="00454966">
            <w:pPr>
              <w:rPr>
                <w:sz w:val="20"/>
              </w:rPr>
            </w:pPr>
            <w:r w:rsidRPr="00454966">
              <w:rPr>
                <w:sz w:val="20"/>
              </w:rPr>
              <w:t> </w:t>
            </w:r>
          </w:p>
        </w:tc>
      </w:tr>
      <w:tr w:rsidR="00454966" w:rsidRPr="00454966" w14:paraId="01773CFA"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4D5F32F"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EDF00AF"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6C29EC4C"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1F5B1EB1"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05B5222E"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10ECE2D4"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6AC6A79E"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621958F9" w14:textId="77777777" w:rsidR="00454966" w:rsidRPr="00454966" w:rsidRDefault="00454966" w:rsidP="00454966">
            <w:pPr>
              <w:jc w:val="right"/>
              <w:rPr>
                <w:sz w:val="20"/>
              </w:rPr>
            </w:pPr>
            <w:r w:rsidRPr="00454966">
              <w:rPr>
                <w:sz w:val="20"/>
              </w:rPr>
              <w:t>299,579</w:t>
            </w:r>
          </w:p>
        </w:tc>
      </w:tr>
      <w:tr w:rsidR="00454966" w:rsidRPr="00454966" w14:paraId="2CFA64AA"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66AE13D"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D4FD79F" w14:textId="77777777" w:rsidR="00454966" w:rsidRPr="00454966" w:rsidRDefault="00454966" w:rsidP="00454966">
            <w:pPr>
              <w:jc w:val="right"/>
              <w:rPr>
                <w:sz w:val="20"/>
              </w:rPr>
            </w:pPr>
            <w:r w:rsidRPr="00454966">
              <w:rPr>
                <w:sz w:val="20"/>
              </w:rPr>
              <w:t>0.60%</w:t>
            </w:r>
          </w:p>
        </w:tc>
        <w:tc>
          <w:tcPr>
            <w:tcW w:w="980" w:type="dxa"/>
            <w:tcBorders>
              <w:top w:val="nil"/>
              <w:left w:val="nil"/>
              <w:bottom w:val="nil"/>
              <w:right w:val="single" w:sz="4" w:space="0" w:color="auto"/>
            </w:tcBorders>
            <w:shd w:val="clear" w:color="auto" w:fill="auto"/>
            <w:noWrap/>
            <w:vAlign w:val="bottom"/>
            <w:hideMark/>
          </w:tcPr>
          <w:p w14:paraId="5B0FDABB" w14:textId="77777777" w:rsidR="00454966" w:rsidRPr="00454966" w:rsidRDefault="00454966" w:rsidP="00454966">
            <w:pPr>
              <w:jc w:val="right"/>
              <w:rPr>
                <w:sz w:val="20"/>
              </w:rPr>
            </w:pPr>
            <w:r w:rsidRPr="00454966">
              <w:rPr>
                <w:sz w:val="20"/>
              </w:rPr>
              <w:t>0.67%</w:t>
            </w:r>
          </w:p>
        </w:tc>
        <w:tc>
          <w:tcPr>
            <w:tcW w:w="980" w:type="dxa"/>
            <w:tcBorders>
              <w:top w:val="nil"/>
              <w:left w:val="nil"/>
              <w:bottom w:val="nil"/>
              <w:right w:val="single" w:sz="4" w:space="0" w:color="auto"/>
            </w:tcBorders>
            <w:shd w:val="clear" w:color="auto" w:fill="auto"/>
            <w:noWrap/>
            <w:vAlign w:val="bottom"/>
            <w:hideMark/>
          </w:tcPr>
          <w:p w14:paraId="0A472E53" w14:textId="77777777" w:rsidR="00454966" w:rsidRPr="00454966" w:rsidRDefault="00454966" w:rsidP="00454966">
            <w:pPr>
              <w:jc w:val="right"/>
              <w:rPr>
                <w:sz w:val="20"/>
              </w:rPr>
            </w:pPr>
            <w:r w:rsidRPr="00454966">
              <w:rPr>
                <w:sz w:val="20"/>
              </w:rPr>
              <w:t>0.73%</w:t>
            </w:r>
          </w:p>
        </w:tc>
        <w:tc>
          <w:tcPr>
            <w:tcW w:w="980" w:type="dxa"/>
            <w:tcBorders>
              <w:top w:val="nil"/>
              <w:left w:val="nil"/>
              <w:bottom w:val="nil"/>
              <w:right w:val="nil"/>
            </w:tcBorders>
            <w:shd w:val="clear" w:color="auto" w:fill="auto"/>
            <w:noWrap/>
            <w:vAlign w:val="bottom"/>
            <w:hideMark/>
          </w:tcPr>
          <w:p w14:paraId="67C8D954" w14:textId="77777777" w:rsidR="00454966" w:rsidRPr="00454966" w:rsidRDefault="00454966" w:rsidP="00454966">
            <w:pPr>
              <w:jc w:val="right"/>
              <w:rPr>
                <w:sz w:val="20"/>
              </w:rPr>
            </w:pPr>
            <w:r w:rsidRPr="00454966">
              <w:rPr>
                <w:sz w:val="20"/>
              </w:rPr>
              <w:t>0.73%</w:t>
            </w:r>
          </w:p>
        </w:tc>
        <w:tc>
          <w:tcPr>
            <w:tcW w:w="980" w:type="dxa"/>
            <w:tcBorders>
              <w:top w:val="nil"/>
              <w:left w:val="single" w:sz="4" w:space="0" w:color="auto"/>
              <w:bottom w:val="nil"/>
              <w:right w:val="single" w:sz="4" w:space="0" w:color="auto"/>
            </w:tcBorders>
            <w:shd w:val="clear" w:color="auto" w:fill="auto"/>
            <w:noWrap/>
            <w:vAlign w:val="bottom"/>
            <w:hideMark/>
          </w:tcPr>
          <w:p w14:paraId="1F4647AE" w14:textId="77777777" w:rsidR="00454966" w:rsidRPr="00454966" w:rsidRDefault="00454966" w:rsidP="00454966">
            <w:pPr>
              <w:jc w:val="right"/>
              <w:rPr>
                <w:sz w:val="20"/>
              </w:rPr>
            </w:pPr>
            <w:r w:rsidRPr="00454966">
              <w:rPr>
                <w:sz w:val="20"/>
              </w:rPr>
              <w:t>0.73%</w:t>
            </w:r>
          </w:p>
        </w:tc>
        <w:tc>
          <w:tcPr>
            <w:tcW w:w="980" w:type="dxa"/>
            <w:tcBorders>
              <w:top w:val="nil"/>
              <w:left w:val="nil"/>
              <w:bottom w:val="nil"/>
              <w:right w:val="single" w:sz="4" w:space="0" w:color="auto"/>
            </w:tcBorders>
            <w:shd w:val="clear" w:color="auto" w:fill="auto"/>
            <w:noWrap/>
            <w:vAlign w:val="bottom"/>
            <w:hideMark/>
          </w:tcPr>
          <w:p w14:paraId="6638A1B8" w14:textId="77777777" w:rsidR="00454966" w:rsidRPr="00454966" w:rsidRDefault="00454966" w:rsidP="00454966">
            <w:pPr>
              <w:jc w:val="right"/>
              <w:rPr>
                <w:sz w:val="20"/>
              </w:rPr>
            </w:pPr>
            <w:r w:rsidRPr="00454966">
              <w:rPr>
                <w:sz w:val="20"/>
              </w:rPr>
              <w:t>0.73%</w:t>
            </w:r>
          </w:p>
        </w:tc>
        <w:tc>
          <w:tcPr>
            <w:tcW w:w="980" w:type="dxa"/>
            <w:tcBorders>
              <w:top w:val="nil"/>
              <w:left w:val="nil"/>
              <w:bottom w:val="nil"/>
              <w:right w:val="single" w:sz="4" w:space="0" w:color="auto"/>
            </w:tcBorders>
            <w:shd w:val="clear" w:color="auto" w:fill="auto"/>
            <w:noWrap/>
            <w:vAlign w:val="bottom"/>
            <w:hideMark/>
          </w:tcPr>
          <w:p w14:paraId="25A102EF" w14:textId="77777777" w:rsidR="00454966" w:rsidRPr="00454966" w:rsidRDefault="00454966" w:rsidP="00454966">
            <w:pPr>
              <w:jc w:val="right"/>
              <w:rPr>
                <w:sz w:val="20"/>
              </w:rPr>
            </w:pPr>
            <w:r w:rsidRPr="00454966">
              <w:rPr>
                <w:sz w:val="20"/>
              </w:rPr>
              <w:t>0.61%</w:t>
            </w:r>
          </w:p>
        </w:tc>
      </w:tr>
      <w:tr w:rsidR="00454966" w:rsidRPr="00454966" w14:paraId="71D375FA"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CF49F6F"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F951859" w14:textId="77777777" w:rsidR="00454966" w:rsidRPr="00454966" w:rsidRDefault="00454966" w:rsidP="00454966">
            <w:pPr>
              <w:jc w:val="right"/>
              <w:rPr>
                <w:sz w:val="20"/>
              </w:rPr>
            </w:pPr>
            <w:r w:rsidRPr="00454966">
              <w:rPr>
                <w:sz w:val="20"/>
              </w:rPr>
              <w:t>18,343</w:t>
            </w:r>
          </w:p>
        </w:tc>
        <w:tc>
          <w:tcPr>
            <w:tcW w:w="980" w:type="dxa"/>
            <w:tcBorders>
              <w:top w:val="nil"/>
              <w:left w:val="nil"/>
              <w:bottom w:val="single" w:sz="4" w:space="0" w:color="auto"/>
              <w:right w:val="single" w:sz="4" w:space="0" w:color="auto"/>
            </w:tcBorders>
            <w:shd w:val="clear" w:color="auto" w:fill="auto"/>
            <w:noWrap/>
            <w:vAlign w:val="bottom"/>
            <w:hideMark/>
          </w:tcPr>
          <w:p w14:paraId="45D402EC" w14:textId="77777777" w:rsidR="00454966" w:rsidRPr="00454966" w:rsidRDefault="00454966" w:rsidP="00454966">
            <w:pPr>
              <w:jc w:val="right"/>
              <w:rPr>
                <w:sz w:val="20"/>
              </w:rPr>
            </w:pPr>
            <w:r w:rsidRPr="00454966">
              <w:rPr>
                <w:sz w:val="20"/>
              </w:rPr>
              <w:t>4,169</w:t>
            </w:r>
          </w:p>
        </w:tc>
        <w:tc>
          <w:tcPr>
            <w:tcW w:w="980" w:type="dxa"/>
            <w:tcBorders>
              <w:top w:val="nil"/>
              <w:left w:val="nil"/>
              <w:bottom w:val="single" w:sz="4" w:space="0" w:color="auto"/>
              <w:right w:val="single" w:sz="4" w:space="0" w:color="auto"/>
            </w:tcBorders>
            <w:shd w:val="clear" w:color="auto" w:fill="auto"/>
            <w:noWrap/>
            <w:vAlign w:val="bottom"/>
            <w:hideMark/>
          </w:tcPr>
          <w:p w14:paraId="7180E37C" w14:textId="77777777" w:rsidR="00454966" w:rsidRPr="00454966" w:rsidRDefault="00454966" w:rsidP="00454966">
            <w:pPr>
              <w:jc w:val="right"/>
              <w:rPr>
                <w:sz w:val="20"/>
              </w:rPr>
            </w:pPr>
            <w:r w:rsidRPr="00454966">
              <w:rPr>
                <w:sz w:val="20"/>
              </w:rPr>
              <w:t>2,345</w:t>
            </w:r>
          </w:p>
        </w:tc>
        <w:tc>
          <w:tcPr>
            <w:tcW w:w="980" w:type="dxa"/>
            <w:tcBorders>
              <w:top w:val="nil"/>
              <w:left w:val="nil"/>
              <w:bottom w:val="single" w:sz="4" w:space="0" w:color="auto"/>
              <w:right w:val="single" w:sz="4" w:space="0" w:color="auto"/>
            </w:tcBorders>
            <w:shd w:val="clear" w:color="auto" w:fill="auto"/>
            <w:noWrap/>
            <w:vAlign w:val="bottom"/>
            <w:hideMark/>
          </w:tcPr>
          <w:p w14:paraId="78A3FE62" w14:textId="77777777" w:rsidR="00454966" w:rsidRPr="00454966" w:rsidRDefault="00454966" w:rsidP="00454966">
            <w:pPr>
              <w:jc w:val="right"/>
              <w:rPr>
                <w:sz w:val="20"/>
              </w:rPr>
            </w:pPr>
            <w:r w:rsidRPr="00454966">
              <w:rPr>
                <w:sz w:val="20"/>
              </w:rPr>
              <w:t>2,011</w:t>
            </w:r>
          </w:p>
        </w:tc>
        <w:tc>
          <w:tcPr>
            <w:tcW w:w="980" w:type="dxa"/>
            <w:tcBorders>
              <w:top w:val="nil"/>
              <w:left w:val="nil"/>
              <w:bottom w:val="single" w:sz="4" w:space="0" w:color="auto"/>
              <w:right w:val="single" w:sz="4" w:space="0" w:color="auto"/>
            </w:tcBorders>
            <w:shd w:val="clear" w:color="auto" w:fill="auto"/>
            <w:noWrap/>
            <w:vAlign w:val="bottom"/>
            <w:hideMark/>
          </w:tcPr>
          <w:p w14:paraId="4662FCFF" w14:textId="77777777" w:rsidR="00454966" w:rsidRPr="00454966" w:rsidRDefault="00454966" w:rsidP="00454966">
            <w:pPr>
              <w:jc w:val="right"/>
              <w:rPr>
                <w:sz w:val="20"/>
              </w:rPr>
            </w:pPr>
            <w:r w:rsidRPr="00454966">
              <w:rPr>
                <w:sz w:val="20"/>
              </w:rPr>
              <w:t>110</w:t>
            </w:r>
          </w:p>
        </w:tc>
        <w:tc>
          <w:tcPr>
            <w:tcW w:w="980" w:type="dxa"/>
            <w:tcBorders>
              <w:top w:val="nil"/>
              <w:left w:val="nil"/>
              <w:bottom w:val="single" w:sz="4" w:space="0" w:color="auto"/>
              <w:right w:val="single" w:sz="4" w:space="0" w:color="auto"/>
            </w:tcBorders>
            <w:shd w:val="clear" w:color="auto" w:fill="auto"/>
            <w:noWrap/>
            <w:vAlign w:val="bottom"/>
            <w:hideMark/>
          </w:tcPr>
          <w:p w14:paraId="5E90A52A" w14:textId="77777777" w:rsidR="00454966" w:rsidRPr="00454966" w:rsidRDefault="00454966" w:rsidP="00454966">
            <w:pPr>
              <w:jc w:val="right"/>
              <w:rPr>
                <w:sz w:val="20"/>
              </w:rPr>
            </w:pPr>
            <w:r w:rsidRPr="00454966">
              <w:rPr>
                <w:sz w:val="20"/>
              </w:rPr>
              <w:t>224</w:t>
            </w:r>
          </w:p>
        </w:tc>
        <w:tc>
          <w:tcPr>
            <w:tcW w:w="980" w:type="dxa"/>
            <w:tcBorders>
              <w:top w:val="nil"/>
              <w:left w:val="nil"/>
              <w:bottom w:val="single" w:sz="4" w:space="0" w:color="auto"/>
              <w:right w:val="single" w:sz="4" w:space="0" w:color="auto"/>
            </w:tcBorders>
            <w:shd w:val="clear" w:color="auto" w:fill="auto"/>
            <w:noWrap/>
            <w:vAlign w:val="bottom"/>
            <w:hideMark/>
          </w:tcPr>
          <w:p w14:paraId="6E1D36FD" w14:textId="77777777" w:rsidR="00454966" w:rsidRPr="00454966" w:rsidRDefault="00454966" w:rsidP="00454966">
            <w:pPr>
              <w:jc w:val="right"/>
              <w:rPr>
                <w:sz w:val="20"/>
              </w:rPr>
            </w:pPr>
            <w:r w:rsidRPr="00454966">
              <w:rPr>
                <w:sz w:val="20"/>
              </w:rPr>
              <w:t>1,815</w:t>
            </w:r>
          </w:p>
        </w:tc>
      </w:tr>
      <w:tr w:rsidR="00454966" w:rsidRPr="00454966" w14:paraId="3CDD4A95"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861F194"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407D9B0C"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DB204DC"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1713C2C"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101E2C12"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08D57F9"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7974D674"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25408AB" w14:textId="77777777" w:rsidR="00454966" w:rsidRPr="00454966" w:rsidRDefault="00454966" w:rsidP="00454966">
            <w:pPr>
              <w:rPr>
                <w:sz w:val="20"/>
              </w:rPr>
            </w:pPr>
            <w:r w:rsidRPr="00454966">
              <w:rPr>
                <w:sz w:val="20"/>
              </w:rPr>
              <w:t> </w:t>
            </w:r>
          </w:p>
        </w:tc>
      </w:tr>
      <w:tr w:rsidR="00454966" w:rsidRPr="00454966" w14:paraId="1892057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0831464"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FB20723"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3BC89624"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1934C769"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18D2C2F1"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688D4914"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0F396095"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273ADF37" w14:textId="77777777" w:rsidR="00454966" w:rsidRPr="00454966" w:rsidRDefault="00454966" w:rsidP="00454966">
            <w:pPr>
              <w:jc w:val="right"/>
              <w:rPr>
                <w:sz w:val="20"/>
              </w:rPr>
            </w:pPr>
            <w:r w:rsidRPr="00454966">
              <w:rPr>
                <w:sz w:val="20"/>
              </w:rPr>
              <w:t>337,196</w:t>
            </w:r>
          </w:p>
        </w:tc>
      </w:tr>
      <w:tr w:rsidR="00454966" w:rsidRPr="00454966" w14:paraId="083579E0"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4E880D2"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6A2C2EB" w14:textId="77777777" w:rsidR="00454966" w:rsidRPr="00454966" w:rsidRDefault="00454966" w:rsidP="00454966">
            <w:pPr>
              <w:jc w:val="right"/>
              <w:rPr>
                <w:sz w:val="20"/>
              </w:rPr>
            </w:pPr>
            <w:r w:rsidRPr="00454966">
              <w:rPr>
                <w:sz w:val="20"/>
              </w:rPr>
              <w:t>0.65%</w:t>
            </w:r>
          </w:p>
        </w:tc>
        <w:tc>
          <w:tcPr>
            <w:tcW w:w="980" w:type="dxa"/>
            <w:tcBorders>
              <w:top w:val="nil"/>
              <w:left w:val="nil"/>
              <w:bottom w:val="nil"/>
              <w:right w:val="single" w:sz="4" w:space="0" w:color="auto"/>
            </w:tcBorders>
            <w:shd w:val="clear" w:color="auto" w:fill="auto"/>
            <w:noWrap/>
            <w:vAlign w:val="bottom"/>
            <w:hideMark/>
          </w:tcPr>
          <w:p w14:paraId="3D1C87EA" w14:textId="77777777" w:rsidR="00454966" w:rsidRPr="00454966" w:rsidRDefault="00454966" w:rsidP="00454966">
            <w:pPr>
              <w:jc w:val="right"/>
              <w:rPr>
                <w:sz w:val="20"/>
              </w:rPr>
            </w:pPr>
            <w:r w:rsidRPr="00454966">
              <w:rPr>
                <w:sz w:val="20"/>
              </w:rPr>
              <w:t>0.70%</w:t>
            </w:r>
          </w:p>
        </w:tc>
        <w:tc>
          <w:tcPr>
            <w:tcW w:w="980" w:type="dxa"/>
            <w:tcBorders>
              <w:top w:val="nil"/>
              <w:left w:val="nil"/>
              <w:bottom w:val="nil"/>
              <w:right w:val="single" w:sz="4" w:space="0" w:color="auto"/>
            </w:tcBorders>
            <w:shd w:val="clear" w:color="auto" w:fill="auto"/>
            <w:noWrap/>
            <w:vAlign w:val="bottom"/>
            <w:hideMark/>
          </w:tcPr>
          <w:p w14:paraId="0A96EDFC" w14:textId="77777777" w:rsidR="00454966" w:rsidRPr="00454966" w:rsidRDefault="00454966" w:rsidP="00454966">
            <w:pPr>
              <w:jc w:val="right"/>
              <w:rPr>
                <w:sz w:val="20"/>
              </w:rPr>
            </w:pPr>
            <w:r w:rsidRPr="00454966">
              <w:rPr>
                <w:sz w:val="20"/>
              </w:rPr>
              <w:t>0.76%</w:t>
            </w:r>
          </w:p>
        </w:tc>
        <w:tc>
          <w:tcPr>
            <w:tcW w:w="980" w:type="dxa"/>
            <w:tcBorders>
              <w:top w:val="nil"/>
              <w:left w:val="nil"/>
              <w:bottom w:val="nil"/>
              <w:right w:val="nil"/>
            </w:tcBorders>
            <w:shd w:val="clear" w:color="auto" w:fill="auto"/>
            <w:noWrap/>
            <w:vAlign w:val="bottom"/>
            <w:hideMark/>
          </w:tcPr>
          <w:p w14:paraId="5B348515" w14:textId="77777777" w:rsidR="00454966" w:rsidRPr="00454966" w:rsidRDefault="00454966" w:rsidP="00454966">
            <w:pPr>
              <w:jc w:val="right"/>
              <w:rPr>
                <w:sz w:val="20"/>
              </w:rPr>
            </w:pPr>
            <w:r w:rsidRPr="00454966">
              <w:rPr>
                <w:sz w:val="20"/>
              </w:rPr>
              <w:t>0.76%</w:t>
            </w:r>
          </w:p>
        </w:tc>
        <w:tc>
          <w:tcPr>
            <w:tcW w:w="980" w:type="dxa"/>
            <w:tcBorders>
              <w:top w:val="nil"/>
              <w:left w:val="single" w:sz="4" w:space="0" w:color="auto"/>
              <w:bottom w:val="nil"/>
              <w:right w:val="single" w:sz="4" w:space="0" w:color="auto"/>
            </w:tcBorders>
            <w:shd w:val="clear" w:color="auto" w:fill="auto"/>
            <w:noWrap/>
            <w:vAlign w:val="bottom"/>
            <w:hideMark/>
          </w:tcPr>
          <w:p w14:paraId="08E25ABD" w14:textId="77777777" w:rsidR="00454966" w:rsidRPr="00454966" w:rsidRDefault="00454966" w:rsidP="00454966">
            <w:pPr>
              <w:jc w:val="right"/>
              <w:rPr>
                <w:sz w:val="20"/>
              </w:rPr>
            </w:pPr>
            <w:r w:rsidRPr="00454966">
              <w:rPr>
                <w:sz w:val="20"/>
              </w:rPr>
              <w:t>0.76%</w:t>
            </w:r>
          </w:p>
        </w:tc>
        <w:tc>
          <w:tcPr>
            <w:tcW w:w="980" w:type="dxa"/>
            <w:tcBorders>
              <w:top w:val="nil"/>
              <w:left w:val="nil"/>
              <w:bottom w:val="nil"/>
              <w:right w:val="single" w:sz="4" w:space="0" w:color="auto"/>
            </w:tcBorders>
            <w:shd w:val="clear" w:color="auto" w:fill="auto"/>
            <w:noWrap/>
            <w:vAlign w:val="bottom"/>
            <w:hideMark/>
          </w:tcPr>
          <w:p w14:paraId="6EBFAB8C" w14:textId="77777777" w:rsidR="00454966" w:rsidRPr="00454966" w:rsidRDefault="00454966" w:rsidP="00454966">
            <w:pPr>
              <w:jc w:val="right"/>
              <w:rPr>
                <w:sz w:val="20"/>
              </w:rPr>
            </w:pPr>
            <w:r w:rsidRPr="00454966">
              <w:rPr>
                <w:sz w:val="20"/>
              </w:rPr>
              <w:t>0.76%</w:t>
            </w:r>
          </w:p>
        </w:tc>
        <w:tc>
          <w:tcPr>
            <w:tcW w:w="980" w:type="dxa"/>
            <w:tcBorders>
              <w:top w:val="nil"/>
              <w:left w:val="nil"/>
              <w:bottom w:val="nil"/>
              <w:right w:val="single" w:sz="4" w:space="0" w:color="auto"/>
            </w:tcBorders>
            <w:shd w:val="clear" w:color="auto" w:fill="auto"/>
            <w:noWrap/>
            <w:vAlign w:val="bottom"/>
            <w:hideMark/>
          </w:tcPr>
          <w:p w14:paraId="4A24FE1D" w14:textId="77777777" w:rsidR="00454966" w:rsidRPr="00454966" w:rsidRDefault="00454966" w:rsidP="00454966">
            <w:pPr>
              <w:jc w:val="right"/>
              <w:rPr>
                <w:sz w:val="20"/>
              </w:rPr>
            </w:pPr>
            <w:r w:rsidRPr="00454966">
              <w:rPr>
                <w:sz w:val="20"/>
              </w:rPr>
              <w:t>0.64%</w:t>
            </w:r>
          </w:p>
        </w:tc>
      </w:tr>
      <w:tr w:rsidR="00454966" w:rsidRPr="00454966" w14:paraId="10FF1523"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069149F7"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ECF3611" w14:textId="77777777" w:rsidR="00454966" w:rsidRPr="00454966" w:rsidRDefault="00454966" w:rsidP="00454966">
            <w:pPr>
              <w:jc w:val="right"/>
              <w:rPr>
                <w:sz w:val="20"/>
              </w:rPr>
            </w:pPr>
            <w:r w:rsidRPr="00454966">
              <w:rPr>
                <w:sz w:val="20"/>
              </w:rPr>
              <w:t>23,158</w:t>
            </w:r>
          </w:p>
        </w:tc>
        <w:tc>
          <w:tcPr>
            <w:tcW w:w="980" w:type="dxa"/>
            <w:tcBorders>
              <w:top w:val="nil"/>
              <w:left w:val="nil"/>
              <w:bottom w:val="single" w:sz="4" w:space="0" w:color="auto"/>
              <w:right w:val="single" w:sz="4" w:space="0" w:color="auto"/>
            </w:tcBorders>
            <w:shd w:val="clear" w:color="auto" w:fill="auto"/>
            <w:noWrap/>
            <w:vAlign w:val="bottom"/>
            <w:hideMark/>
          </w:tcPr>
          <w:p w14:paraId="3E59D988" w14:textId="77777777" w:rsidR="00454966" w:rsidRPr="00454966" w:rsidRDefault="00454966" w:rsidP="00454966">
            <w:pPr>
              <w:jc w:val="right"/>
              <w:rPr>
                <w:sz w:val="20"/>
              </w:rPr>
            </w:pPr>
            <w:r w:rsidRPr="00454966">
              <w:rPr>
                <w:sz w:val="20"/>
              </w:rPr>
              <w:t>4,930</w:t>
            </w:r>
          </w:p>
        </w:tc>
        <w:tc>
          <w:tcPr>
            <w:tcW w:w="980" w:type="dxa"/>
            <w:tcBorders>
              <w:top w:val="nil"/>
              <w:left w:val="nil"/>
              <w:bottom w:val="single" w:sz="4" w:space="0" w:color="auto"/>
              <w:right w:val="single" w:sz="4" w:space="0" w:color="auto"/>
            </w:tcBorders>
            <w:shd w:val="clear" w:color="auto" w:fill="auto"/>
            <w:noWrap/>
            <w:vAlign w:val="bottom"/>
            <w:hideMark/>
          </w:tcPr>
          <w:p w14:paraId="17FB0875" w14:textId="77777777" w:rsidR="00454966" w:rsidRPr="00454966" w:rsidRDefault="00454966" w:rsidP="00454966">
            <w:pPr>
              <w:jc w:val="right"/>
              <w:rPr>
                <w:sz w:val="20"/>
              </w:rPr>
            </w:pPr>
            <w:r w:rsidRPr="00454966">
              <w:rPr>
                <w:sz w:val="20"/>
              </w:rPr>
              <w:t>2,766</w:t>
            </w:r>
          </w:p>
        </w:tc>
        <w:tc>
          <w:tcPr>
            <w:tcW w:w="980" w:type="dxa"/>
            <w:tcBorders>
              <w:top w:val="nil"/>
              <w:left w:val="nil"/>
              <w:bottom w:val="single" w:sz="4" w:space="0" w:color="auto"/>
              <w:right w:val="single" w:sz="4" w:space="0" w:color="auto"/>
            </w:tcBorders>
            <w:shd w:val="clear" w:color="auto" w:fill="auto"/>
            <w:noWrap/>
            <w:vAlign w:val="bottom"/>
            <w:hideMark/>
          </w:tcPr>
          <w:p w14:paraId="14802003" w14:textId="77777777" w:rsidR="00454966" w:rsidRPr="00454966" w:rsidRDefault="00454966" w:rsidP="00454966">
            <w:pPr>
              <w:jc w:val="right"/>
              <w:rPr>
                <w:sz w:val="20"/>
              </w:rPr>
            </w:pPr>
            <w:r w:rsidRPr="00454966">
              <w:rPr>
                <w:sz w:val="20"/>
              </w:rPr>
              <w:t>2,372</w:t>
            </w:r>
          </w:p>
        </w:tc>
        <w:tc>
          <w:tcPr>
            <w:tcW w:w="980" w:type="dxa"/>
            <w:tcBorders>
              <w:top w:val="nil"/>
              <w:left w:val="nil"/>
              <w:bottom w:val="single" w:sz="4" w:space="0" w:color="auto"/>
              <w:right w:val="single" w:sz="4" w:space="0" w:color="auto"/>
            </w:tcBorders>
            <w:shd w:val="clear" w:color="auto" w:fill="auto"/>
            <w:noWrap/>
            <w:vAlign w:val="bottom"/>
            <w:hideMark/>
          </w:tcPr>
          <w:p w14:paraId="1258CCB6" w14:textId="77777777" w:rsidR="00454966" w:rsidRPr="00454966" w:rsidRDefault="00454966" w:rsidP="00454966">
            <w:pPr>
              <w:jc w:val="right"/>
              <w:rPr>
                <w:sz w:val="20"/>
              </w:rPr>
            </w:pPr>
            <w:r w:rsidRPr="00454966">
              <w:rPr>
                <w:sz w:val="20"/>
              </w:rPr>
              <w:t>131</w:t>
            </w:r>
          </w:p>
        </w:tc>
        <w:tc>
          <w:tcPr>
            <w:tcW w:w="980" w:type="dxa"/>
            <w:tcBorders>
              <w:top w:val="nil"/>
              <w:left w:val="nil"/>
              <w:bottom w:val="single" w:sz="4" w:space="0" w:color="auto"/>
              <w:right w:val="single" w:sz="4" w:space="0" w:color="auto"/>
            </w:tcBorders>
            <w:shd w:val="clear" w:color="auto" w:fill="auto"/>
            <w:noWrap/>
            <w:vAlign w:val="bottom"/>
            <w:hideMark/>
          </w:tcPr>
          <w:p w14:paraId="73B22FBD" w14:textId="77777777" w:rsidR="00454966" w:rsidRPr="00454966" w:rsidRDefault="00454966" w:rsidP="00454966">
            <w:pPr>
              <w:jc w:val="right"/>
              <w:rPr>
                <w:sz w:val="20"/>
              </w:rPr>
            </w:pPr>
            <w:r w:rsidRPr="00454966">
              <w:rPr>
                <w:sz w:val="20"/>
              </w:rPr>
              <w:t>263</w:t>
            </w:r>
          </w:p>
        </w:tc>
        <w:tc>
          <w:tcPr>
            <w:tcW w:w="980" w:type="dxa"/>
            <w:tcBorders>
              <w:top w:val="nil"/>
              <w:left w:val="nil"/>
              <w:bottom w:val="single" w:sz="4" w:space="0" w:color="auto"/>
              <w:right w:val="single" w:sz="4" w:space="0" w:color="auto"/>
            </w:tcBorders>
            <w:shd w:val="clear" w:color="auto" w:fill="auto"/>
            <w:noWrap/>
            <w:vAlign w:val="bottom"/>
            <w:hideMark/>
          </w:tcPr>
          <w:p w14:paraId="15DE6CC2" w14:textId="77777777" w:rsidR="00454966" w:rsidRPr="00454966" w:rsidRDefault="00454966" w:rsidP="00454966">
            <w:pPr>
              <w:jc w:val="right"/>
              <w:rPr>
                <w:sz w:val="20"/>
              </w:rPr>
            </w:pPr>
            <w:r w:rsidRPr="00454966">
              <w:rPr>
                <w:sz w:val="20"/>
              </w:rPr>
              <w:t>2,151</w:t>
            </w:r>
          </w:p>
        </w:tc>
      </w:tr>
      <w:tr w:rsidR="00454966" w:rsidRPr="00454966" w14:paraId="71F41D76" w14:textId="77777777" w:rsidTr="00BF315B">
        <w:trPr>
          <w:trHeight w:val="1385"/>
        </w:trPr>
        <w:tc>
          <w:tcPr>
            <w:tcW w:w="8980" w:type="dxa"/>
            <w:gridSpan w:val="8"/>
            <w:tcBorders>
              <w:top w:val="single" w:sz="4" w:space="0" w:color="auto"/>
              <w:left w:val="nil"/>
              <w:bottom w:val="nil"/>
              <w:right w:val="nil"/>
            </w:tcBorders>
            <w:shd w:val="clear" w:color="auto" w:fill="auto"/>
            <w:vAlign w:val="bottom"/>
            <w:hideMark/>
          </w:tcPr>
          <w:p w14:paraId="014C8391"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r w:rsidRPr="00454966">
              <w:rPr>
                <w:sz w:val="18"/>
                <w:szCs w:val="18"/>
              </w:rPr>
              <w:br/>
            </w:r>
            <w:r w:rsidRPr="00454966">
              <w:rPr>
                <w:b/>
                <w:bCs/>
                <w:sz w:val="18"/>
                <w:szCs w:val="18"/>
              </w:rPr>
              <w:t>**</w:t>
            </w:r>
            <w:r w:rsidRPr="00454966">
              <w:rPr>
                <w:sz w:val="18"/>
                <w:szCs w:val="18"/>
              </w:rPr>
              <w:t xml:space="preserve"> NSDUH did not </w:t>
            </w:r>
            <w:r w:rsidR="00BF315B">
              <w:rPr>
                <w:sz w:val="18"/>
                <w:szCs w:val="18"/>
              </w:rPr>
              <w:t>estimate rates</w:t>
            </w:r>
            <w:r w:rsidRPr="00454966">
              <w:rPr>
                <w:sz w:val="18"/>
                <w:szCs w:val="18"/>
              </w:rPr>
              <w:t xml:space="preserve"> </w:t>
            </w:r>
            <w:r w:rsidR="00BF315B">
              <w:rPr>
                <w:sz w:val="18"/>
                <w:szCs w:val="18"/>
              </w:rPr>
              <w:t xml:space="preserve">for Jefferson </w:t>
            </w:r>
            <w:r w:rsidRPr="00454966">
              <w:rPr>
                <w:sz w:val="18"/>
                <w:szCs w:val="18"/>
              </w:rPr>
              <w:t xml:space="preserve">Parish and the Metropolitan District; therefore, the rate for Greater New Orleans is applied to both Jefferson Parish and the Metropolitan District and its constituent parishes. </w:t>
            </w:r>
          </w:p>
          <w:p w14:paraId="24DA9E35" w14:textId="4844FE34"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5E7D97FF" w14:textId="77777777" w:rsidR="00454966" w:rsidRDefault="00454966" w:rsidP="001549F4"/>
    <w:p w14:paraId="12742433" w14:textId="0C9D7B4B" w:rsidR="00454966" w:rsidRDefault="00454966">
      <w:r>
        <w:br w:type="page"/>
      </w:r>
    </w:p>
    <w:p w14:paraId="108F99A8" w14:textId="019DE6FD" w:rsidR="00454966" w:rsidRDefault="00454966" w:rsidP="00130E39">
      <w:pPr>
        <w:pStyle w:val="ListParagraph"/>
        <w:numPr>
          <w:ilvl w:val="0"/>
          <w:numId w:val="7"/>
        </w:numPr>
      </w:pPr>
      <w:r>
        <w:lastRenderedPageBreak/>
        <w:t xml:space="preserve">Needing </w:t>
      </w:r>
      <w:proofErr w:type="gramStart"/>
      <w:r>
        <w:t>But</w:t>
      </w:r>
      <w:proofErr w:type="gramEnd"/>
      <w:r>
        <w:t xml:space="preserve"> Not Receiving Treatment at a Specialty Facility for Substance Use in the </w:t>
      </w:r>
      <w:r w:rsidRPr="00130E39">
        <w:rPr>
          <w:i/>
          <w:iCs/>
        </w:rPr>
        <w:t>Past Year</w:t>
      </w:r>
    </w:p>
    <w:p w14:paraId="434408FC" w14:textId="241981CB"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2A1C9CD9" w14:textId="77777777" w:rsidTr="00454966">
        <w:trPr>
          <w:trHeight w:val="795"/>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019D566" w14:textId="77777777" w:rsidR="00454966" w:rsidRPr="00454966" w:rsidRDefault="00454966" w:rsidP="00454966">
            <w:pPr>
              <w:jc w:val="center"/>
              <w:rPr>
                <w:b/>
                <w:bCs/>
                <w:sz w:val="20"/>
              </w:rPr>
            </w:pPr>
            <w:bookmarkStart w:id="18" w:name="_Hlk58487447"/>
            <w:r w:rsidRPr="00454966">
              <w:rPr>
                <w:b/>
                <w:bCs/>
                <w:sz w:val="20"/>
              </w:rPr>
              <w:t xml:space="preserve">Needing </w:t>
            </w:r>
            <w:proofErr w:type="gramStart"/>
            <w:r w:rsidRPr="00454966">
              <w:rPr>
                <w:b/>
                <w:bCs/>
                <w:sz w:val="20"/>
              </w:rPr>
              <w:t>But</w:t>
            </w:r>
            <w:proofErr w:type="gramEnd"/>
            <w:r w:rsidRPr="00454966">
              <w:rPr>
                <w:b/>
                <w:bCs/>
                <w:sz w:val="20"/>
              </w:rPr>
              <w:t xml:space="preserve"> Not Receiving Treatment at a Specialty Facility for </w:t>
            </w:r>
            <w:r w:rsidRPr="00454966">
              <w:rPr>
                <w:b/>
                <w:bCs/>
                <w:sz w:val="20"/>
              </w:rPr>
              <w:br/>
            </w:r>
            <w:r w:rsidRPr="00454966">
              <w:rPr>
                <w:b/>
                <w:bCs/>
                <w:sz w:val="20"/>
                <w:u w:val="single"/>
              </w:rPr>
              <w:t>Substance Use</w:t>
            </w:r>
            <w:r w:rsidRPr="00454966">
              <w:rPr>
                <w:b/>
                <w:bCs/>
                <w:sz w:val="20"/>
              </w:rPr>
              <w:t xml:space="preserve"> in the </w:t>
            </w:r>
            <w:r w:rsidRPr="00454966">
              <w:rPr>
                <w:b/>
                <w:bCs/>
                <w:i/>
                <w:iCs/>
                <w:sz w:val="20"/>
                <w:u w:val="single"/>
              </w:rPr>
              <w:t>Past Year</w:t>
            </w:r>
            <w:r w:rsidRPr="00454966">
              <w:rPr>
                <w:b/>
                <w:bCs/>
                <w:sz w:val="20"/>
              </w:rPr>
              <w:t xml:space="preserve"> </w:t>
            </w:r>
            <w:bookmarkEnd w:id="18"/>
            <w:r w:rsidRPr="00454966">
              <w:rPr>
                <w:b/>
                <w:bCs/>
                <w:sz w:val="20"/>
              </w:rPr>
              <w:t>by Age Group Among Residents</w:t>
            </w:r>
            <w:r w:rsidRPr="00454966">
              <w:rPr>
                <w:b/>
                <w:bCs/>
                <w:sz w:val="20"/>
              </w:rPr>
              <w:br/>
              <w:t xml:space="preserve"> of Greater New Orleans Parishes and Statewide, 2019*</w:t>
            </w:r>
          </w:p>
        </w:tc>
      </w:tr>
      <w:tr w:rsidR="00454966" w:rsidRPr="00454966" w14:paraId="4CEFF713"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6B9EECD"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460AEA44" w14:textId="7E6912E1"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2BCA0A98"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01054589"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424943DA"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0FBCED0C"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5DDEA50C"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416EA656" w14:textId="77777777" w:rsidR="00454966" w:rsidRPr="00454966" w:rsidRDefault="00454966" w:rsidP="00454966">
            <w:pPr>
              <w:jc w:val="center"/>
              <w:rPr>
                <w:sz w:val="20"/>
              </w:rPr>
            </w:pPr>
            <w:r w:rsidRPr="00454966">
              <w:rPr>
                <w:sz w:val="20"/>
              </w:rPr>
              <w:t>Jefferson Parish HSA</w:t>
            </w:r>
          </w:p>
        </w:tc>
      </w:tr>
      <w:tr w:rsidR="00454966" w:rsidRPr="00454966" w14:paraId="0B205E02"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CE678D5"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20B6508F"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D3D34E0"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0222E53"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A57DB6D"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789C40F"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B33450B"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8ECAFC8" w14:textId="77777777" w:rsidR="00454966" w:rsidRPr="00454966" w:rsidRDefault="00454966" w:rsidP="00454966">
            <w:pPr>
              <w:rPr>
                <w:sz w:val="20"/>
              </w:rPr>
            </w:pPr>
            <w:r w:rsidRPr="00454966">
              <w:rPr>
                <w:sz w:val="20"/>
              </w:rPr>
              <w:t> </w:t>
            </w:r>
          </w:p>
        </w:tc>
      </w:tr>
      <w:tr w:rsidR="00454966" w:rsidRPr="00454966" w14:paraId="18733C3F"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3C317BD"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E72A386"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2EF81AE1"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7F2C0359"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568976D3"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72A0627A"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0DEEDCC2"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1F97AA76" w14:textId="77777777" w:rsidR="00454966" w:rsidRPr="00454966" w:rsidRDefault="00454966" w:rsidP="00454966">
            <w:pPr>
              <w:jc w:val="right"/>
              <w:rPr>
                <w:sz w:val="20"/>
              </w:rPr>
            </w:pPr>
            <w:r w:rsidRPr="00454966">
              <w:rPr>
                <w:sz w:val="20"/>
              </w:rPr>
              <w:t>30,385</w:t>
            </w:r>
          </w:p>
        </w:tc>
      </w:tr>
      <w:tr w:rsidR="00454966" w:rsidRPr="00454966" w14:paraId="21DBADE9"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7DB0C63" w14:textId="199A642B" w:rsidR="00454966" w:rsidRPr="00454966" w:rsidRDefault="00454966" w:rsidP="00454966">
            <w:pPr>
              <w:rPr>
                <w:sz w:val="20"/>
              </w:rPr>
            </w:pPr>
            <w:r w:rsidRPr="00454966">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49770117" w14:textId="77777777" w:rsidR="00454966" w:rsidRPr="00454966" w:rsidRDefault="00454966" w:rsidP="00454966">
            <w:pPr>
              <w:jc w:val="right"/>
              <w:rPr>
                <w:sz w:val="20"/>
              </w:rPr>
            </w:pPr>
            <w:r w:rsidRPr="00454966">
              <w:rPr>
                <w:sz w:val="20"/>
              </w:rPr>
              <w:t>3.44%</w:t>
            </w:r>
          </w:p>
        </w:tc>
        <w:tc>
          <w:tcPr>
            <w:tcW w:w="980" w:type="dxa"/>
            <w:tcBorders>
              <w:top w:val="nil"/>
              <w:left w:val="nil"/>
              <w:bottom w:val="nil"/>
              <w:right w:val="single" w:sz="4" w:space="0" w:color="auto"/>
            </w:tcBorders>
            <w:shd w:val="clear" w:color="auto" w:fill="auto"/>
            <w:noWrap/>
            <w:vAlign w:val="bottom"/>
            <w:hideMark/>
          </w:tcPr>
          <w:p w14:paraId="7571A200" w14:textId="77777777" w:rsidR="00454966" w:rsidRPr="00454966" w:rsidRDefault="00454966" w:rsidP="00454966">
            <w:pPr>
              <w:jc w:val="right"/>
              <w:rPr>
                <w:sz w:val="20"/>
              </w:rPr>
            </w:pPr>
            <w:r w:rsidRPr="00454966">
              <w:rPr>
                <w:sz w:val="20"/>
              </w:rPr>
              <w:t>3.63%</w:t>
            </w:r>
          </w:p>
        </w:tc>
        <w:tc>
          <w:tcPr>
            <w:tcW w:w="980" w:type="dxa"/>
            <w:tcBorders>
              <w:top w:val="nil"/>
              <w:left w:val="nil"/>
              <w:bottom w:val="nil"/>
              <w:right w:val="single" w:sz="4" w:space="0" w:color="auto"/>
            </w:tcBorders>
            <w:shd w:val="clear" w:color="auto" w:fill="auto"/>
            <w:noWrap/>
            <w:vAlign w:val="bottom"/>
            <w:hideMark/>
          </w:tcPr>
          <w:p w14:paraId="2360C141" w14:textId="77777777" w:rsidR="00454966" w:rsidRPr="00454966" w:rsidRDefault="00454966" w:rsidP="00454966">
            <w:pPr>
              <w:jc w:val="right"/>
              <w:rPr>
                <w:sz w:val="20"/>
              </w:rPr>
            </w:pPr>
            <w:r w:rsidRPr="00454966">
              <w:rPr>
                <w:sz w:val="20"/>
              </w:rPr>
              <w:t>3.74%</w:t>
            </w:r>
          </w:p>
        </w:tc>
        <w:tc>
          <w:tcPr>
            <w:tcW w:w="980" w:type="dxa"/>
            <w:tcBorders>
              <w:top w:val="nil"/>
              <w:left w:val="nil"/>
              <w:bottom w:val="nil"/>
              <w:right w:val="nil"/>
            </w:tcBorders>
            <w:shd w:val="clear" w:color="auto" w:fill="auto"/>
            <w:noWrap/>
            <w:vAlign w:val="bottom"/>
            <w:hideMark/>
          </w:tcPr>
          <w:p w14:paraId="51E299C7" w14:textId="77777777" w:rsidR="00454966" w:rsidRPr="00454966" w:rsidRDefault="00454966" w:rsidP="00454966">
            <w:pPr>
              <w:jc w:val="right"/>
              <w:rPr>
                <w:sz w:val="20"/>
              </w:rPr>
            </w:pPr>
            <w:r w:rsidRPr="00454966">
              <w:rPr>
                <w:sz w:val="20"/>
              </w:rPr>
              <w:t>3.74%</w:t>
            </w:r>
          </w:p>
        </w:tc>
        <w:tc>
          <w:tcPr>
            <w:tcW w:w="980" w:type="dxa"/>
            <w:tcBorders>
              <w:top w:val="nil"/>
              <w:left w:val="single" w:sz="4" w:space="0" w:color="auto"/>
              <w:bottom w:val="nil"/>
              <w:right w:val="single" w:sz="4" w:space="0" w:color="auto"/>
            </w:tcBorders>
            <w:shd w:val="clear" w:color="auto" w:fill="auto"/>
            <w:noWrap/>
            <w:vAlign w:val="bottom"/>
            <w:hideMark/>
          </w:tcPr>
          <w:p w14:paraId="7D3245D9" w14:textId="77777777" w:rsidR="00454966" w:rsidRPr="00454966" w:rsidRDefault="00454966" w:rsidP="00454966">
            <w:pPr>
              <w:jc w:val="right"/>
              <w:rPr>
                <w:sz w:val="20"/>
              </w:rPr>
            </w:pPr>
            <w:r w:rsidRPr="00454966">
              <w:rPr>
                <w:sz w:val="20"/>
              </w:rPr>
              <w:t>3.74%</w:t>
            </w:r>
          </w:p>
        </w:tc>
        <w:tc>
          <w:tcPr>
            <w:tcW w:w="980" w:type="dxa"/>
            <w:tcBorders>
              <w:top w:val="nil"/>
              <w:left w:val="nil"/>
              <w:bottom w:val="nil"/>
              <w:right w:val="single" w:sz="4" w:space="0" w:color="auto"/>
            </w:tcBorders>
            <w:shd w:val="clear" w:color="auto" w:fill="auto"/>
            <w:noWrap/>
            <w:vAlign w:val="bottom"/>
            <w:hideMark/>
          </w:tcPr>
          <w:p w14:paraId="0CAE9EE1" w14:textId="77777777" w:rsidR="00454966" w:rsidRPr="00454966" w:rsidRDefault="00454966" w:rsidP="00454966">
            <w:pPr>
              <w:jc w:val="right"/>
              <w:rPr>
                <w:sz w:val="20"/>
              </w:rPr>
            </w:pPr>
            <w:r w:rsidRPr="00454966">
              <w:rPr>
                <w:sz w:val="20"/>
              </w:rPr>
              <w:t>3.74%</w:t>
            </w:r>
          </w:p>
        </w:tc>
        <w:tc>
          <w:tcPr>
            <w:tcW w:w="980" w:type="dxa"/>
            <w:tcBorders>
              <w:top w:val="nil"/>
              <w:left w:val="nil"/>
              <w:bottom w:val="nil"/>
              <w:right w:val="single" w:sz="4" w:space="0" w:color="auto"/>
            </w:tcBorders>
            <w:shd w:val="clear" w:color="auto" w:fill="auto"/>
            <w:noWrap/>
            <w:vAlign w:val="bottom"/>
            <w:hideMark/>
          </w:tcPr>
          <w:p w14:paraId="2211D9C2" w14:textId="77777777" w:rsidR="00454966" w:rsidRPr="00454966" w:rsidRDefault="00454966" w:rsidP="00454966">
            <w:pPr>
              <w:jc w:val="right"/>
              <w:rPr>
                <w:sz w:val="20"/>
              </w:rPr>
            </w:pPr>
            <w:r w:rsidRPr="00454966">
              <w:rPr>
                <w:sz w:val="20"/>
              </w:rPr>
              <w:t>3.51%</w:t>
            </w:r>
          </w:p>
        </w:tc>
      </w:tr>
      <w:tr w:rsidR="00454966" w:rsidRPr="00454966" w14:paraId="3E11D1F7"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03AB9399"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84A00CA" w14:textId="77777777" w:rsidR="00454966" w:rsidRPr="00454966" w:rsidRDefault="00454966" w:rsidP="00454966">
            <w:pPr>
              <w:jc w:val="right"/>
              <w:rPr>
                <w:sz w:val="20"/>
              </w:rPr>
            </w:pPr>
            <w:r w:rsidRPr="00454966">
              <w:rPr>
                <w:sz w:val="20"/>
              </w:rPr>
              <w:t>12,394</w:t>
            </w:r>
          </w:p>
        </w:tc>
        <w:tc>
          <w:tcPr>
            <w:tcW w:w="980" w:type="dxa"/>
            <w:tcBorders>
              <w:top w:val="nil"/>
              <w:left w:val="nil"/>
              <w:bottom w:val="single" w:sz="4" w:space="0" w:color="auto"/>
              <w:right w:val="single" w:sz="4" w:space="0" w:color="auto"/>
            </w:tcBorders>
            <w:shd w:val="clear" w:color="auto" w:fill="auto"/>
            <w:noWrap/>
            <w:vAlign w:val="bottom"/>
            <w:hideMark/>
          </w:tcPr>
          <w:p w14:paraId="7A0D25AA" w14:textId="77777777" w:rsidR="00454966" w:rsidRPr="00454966" w:rsidRDefault="00454966" w:rsidP="00454966">
            <w:pPr>
              <w:jc w:val="right"/>
              <w:rPr>
                <w:sz w:val="20"/>
              </w:rPr>
            </w:pPr>
            <w:r w:rsidRPr="00454966">
              <w:rPr>
                <w:sz w:val="20"/>
              </w:rPr>
              <w:t>2,221</w:t>
            </w:r>
          </w:p>
        </w:tc>
        <w:tc>
          <w:tcPr>
            <w:tcW w:w="980" w:type="dxa"/>
            <w:tcBorders>
              <w:top w:val="nil"/>
              <w:left w:val="nil"/>
              <w:bottom w:val="single" w:sz="4" w:space="0" w:color="auto"/>
              <w:right w:val="single" w:sz="4" w:space="0" w:color="auto"/>
            </w:tcBorders>
            <w:shd w:val="clear" w:color="auto" w:fill="auto"/>
            <w:noWrap/>
            <w:vAlign w:val="bottom"/>
            <w:hideMark/>
          </w:tcPr>
          <w:p w14:paraId="656AD441" w14:textId="77777777" w:rsidR="00454966" w:rsidRPr="00454966" w:rsidRDefault="00454966" w:rsidP="00454966">
            <w:pPr>
              <w:jc w:val="right"/>
              <w:rPr>
                <w:sz w:val="20"/>
              </w:rPr>
            </w:pPr>
            <w:r w:rsidRPr="00454966">
              <w:rPr>
                <w:sz w:val="20"/>
              </w:rPr>
              <w:t>1,152</w:t>
            </w:r>
          </w:p>
        </w:tc>
        <w:tc>
          <w:tcPr>
            <w:tcW w:w="980" w:type="dxa"/>
            <w:tcBorders>
              <w:top w:val="nil"/>
              <w:left w:val="nil"/>
              <w:bottom w:val="single" w:sz="4" w:space="0" w:color="auto"/>
              <w:right w:val="single" w:sz="4" w:space="0" w:color="auto"/>
            </w:tcBorders>
            <w:shd w:val="clear" w:color="auto" w:fill="auto"/>
            <w:noWrap/>
            <w:vAlign w:val="bottom"/>
            <w:hideMark/>
          </w:tcPr>
          <w:p w14:paraId="4E5DB839" w14:textId="77777777" w:rsidR="00454966" w:rsidRPr="00454966" w:rsidRDefault="00454966" w:rsidP="00454966">
            <w:pPr>
              <w:jc w:val="right"/>
              <w:rPr>
                <w:sz w:val="20"/>
              </w:rPr>
            </w:pPr>
            <w:r w:rsidRPr="00454966">
              <w:rPr>
                <w:sz w:val="20"/>
              </w:rPr>
              <w:t>923</w:t>
            </w:r>
          </w:p>
        </w:tc>
        <w:tc>
          <w:tcPr>
            <w:tcW w:w="980" w:type="dxa"/>
            <w:tcBorders>
              <w:top w:val="nil"/>
              <w:left w:val="nil"/>
              <w:bottom w:val="single" w:sz="4" w:space="0" w:color="auto"/>
              <w:right w:val="single" w:sz="4" w:space="0" w:color="auto"/>
            </w:tcBorders>
            <w:shd w:val="clear" w:color="auto" w:fill="auto"/>
            <w:noWrap/>
            <w:vAlign w:val="bottom"/>
            <w:hideMark/>
          </w:tcPr>
          <w:p w14:paraId="7C715126" w14:textId="77777777" w:rsidR="00454966" w:rsidRPr="00454966" w:rsidRDefault="00454966" w:rsidP="00454966">
            <w:pPr>
              <w:jc w:val="right"/>
              <w:rPr>
                <w:sz w:val="20"/>
              </w:rPr>
            </w:pPr>
            <w:r w:rsidRPr="00454966">
              <w:rPr>
                <w:sz w:val="20"/>
              </w:rPr>
              <w:t>78</w:t>
            </w:r>
          </w:p>
        </w:tc>
        <w:tc>
          <w:tcPr>
            <w:tcW w:w="980" w:type="dxa"/>
            <w:tcBorders>
              <w:top w:val="nil"/>
              <w:left w:val="nil"/>
              <w:bottom w:val="single" w:sz="4" w:space="0" w:color="auto"/>
              <w:right w:val="single" w:sz="4" w:space="0" w:color="auto"/>
            </w:tcBorders>
            <w:shd w:val="clear" w:color="auto" w:fill="auto"/>
            <w:noWrap/>
            <w:vAlign w:val="bottom"/>
            <w:hideMark/>
          </w:tcPr>
          <w:p w14:paraId="224314F8" w14:textId="77777777" w:rsidR="00454966" w:rsidRPr="00454966" w:rsidRDefault="00454966" w:rsidP="00454966">
            <w:pPr>
              <w:jc w:val="right"/>
              <w:rPr>
                <w:sz w:val="20"/>
              </w:rPr>
            </w:pPr>
            <w:r w:rsidRPr="00454966">
              <w:rPr>
                <w:sz w:val="20"/>
              </w:rPr>
              <w:t>151</w:t>
            </w:r>
          </w:p>
        </w:tc>
        <w:tc>
          <w:tcPr>
            <w:tcW w:w="980" w:type="dxa"/>
            <w:tcBorders>
              <w:top w:val="nil"/>
              <w:left w:val="nil"/>
              <w:bottom w:val="single" w:sz="4" w:space="0" w:color="auto"/>
              <w:right w:val="single" w:sz="4" w:space="0" w:color="auto"/>
            </w:tcBorders>
            <w:shd w:val="clear" w:color="auto" w:fill="auto"/>
            <w:noWrap/>
            <w:vAlign w:val="bottom"/>
            <w:hideMark/>
          </w:tcPr>
          <w:p w14:paraId="028832CF" w14:textId="77777777" w:rsidR="00454966" w:rsidRPr="00454966" w:rsidRDefault="00454966" w:rsidP="00454966">
            <w:pPr>
              <w:jc w:val="right"/>
              <w:rPr>
                <w:sz w:val="20"/>
              </w:rPr>
            </w:pPr>
            <w:r w:rsidRPr="00454966">
              <w:rPr>
                <w:sz w:val="20"/>
              </w:rPr>
              <w:t>1,068</w:t>
            </w:r>
          </w:p>
        </w:tc>
      </w:tr>
      <w:tr w:rsidR="00454966" w:rsidRPr="00454966" w14:paraId="26F4FC9A"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CB0D55C"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36F61918"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1A2D6C10"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B975A15"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5867C147"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F6E9EFB"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71D5C30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0A78DBB" w14:textId="77777777" w:rsidR="00454966" w:rsidRPr="00454966" w:rsidRDefault="00454966" w:rsidP="00454966">
            <w:pPr>
              <w:rPr>
                <w:sz w:val="20"/>
              </w:rPr>
            </w:pPr>
            <w:r w:rsidRPr="00454966">
              <w:rPr>
                <w:sz w:val="20"/>
              </w:rPr>
              <w:t> </w:t>
            </w:r>
          </w:p>
        </w:tc>
      </w:tr>
      <w:tr w:rsidR="00454966" w:rsidRPr="00454966" w14:paraId="515261EA"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F8B663B"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1DDA772"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6F6D9B39"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5AE8DF9A"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32D70790"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7E49F95F"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76F0BE73"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0CC7353F" w14:textId="77777777" w:rsidR="00454966" w:rsidRPr="00454966" w:rsidRDefault="00454966" w:rsidP="00454966">
            <w:pPr>
              <w:jc w:val="right"/>
              <w:rPr>
                <w:sz w:val="20"/>
              </w:rPr>
            </w:pPr>
            <w:r w:rsidRPr="00454966">
              <w:rPr>
                <w:sz w:val="20"/>
              </w:rPr>
              <w:t>37,617</w:t>
            </w:r>
          </w:p>
        </w:tc>
      </w:tr>
      <w:tr w:rsidR="00454966" w:rsidRPr="00454966" w14:paraId="73C94D37"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0833868" w14:textId="77777777" w:rsidR="00454966" w:rsidRPr="00454966" w:rsidRDefault="00454966" w:rsidP="00454966">
            <w:pPr>
              <w:rPr>
                <w:sz w:val="20"/>
              </w:rPr>
            </w:pPr>
            <w:r w:rsidRPr="00454966">
              <w:rPr>
                <w:sz w:val="20"/>
              </w:rPr>
              <w:t xml:space="preserve">    Rate (%) </w:t>
            </w:r>
            <w:r w:rsidRPr="00454966">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2517C4ED" w14:textId="77777777" w:rsidR="00454966" w:rsidRPr="00454966" w:rsidRDefault="00454966" w:rsidP="00454966">
            <w:pPr>
              <w:jc w:val="right"/>
              <w:rPr>
                <w:sz w:val="20"/>
              </w:rPr>
            </w:pPr>
            <w:r w:rsidRPr="00454966">
              <w:rPr>
                <w:sz w:val="20"/>
              </w:rPr>
              <w:t>13.61%</w:t>
            </w:r>
          </w:p>
        </w:tc>
        <w:tc>
          <w:tcPr>
            <w:tcW w:w="980" w:type="dxa"/>
            <w:tcBorders>
              <w:top w:val="nil"/>
              <w:left w:val="nil"/>
              <w:bottom w:val="nil"/>
              <w:right w:val="single" w:sz="4" w:space="0" w:color="auto"/>
            </w:tcBorders>
            <w:shd w:val="clear" w:color="auto" w:fill="auto"/>
            <w:noWrap/>
            <w:vAlign w:val="bottom"/>
            <w:hideMark/>
          </w:tcPr>
          <w:p w14:paraId="1BEA7518" w14:textId="77777777" w:rsidR="00454966" w:rsidRPr="00454966" w:rsidRDefault="00454966" w:rsidP="00454966">
            <w:pPr>
              <w:jc w:val="right"/>
              <w:rPr>
                <w:sz w:val="20"/>
              </w:rPr>
            </w:pPr>
            <w:r w:rsidRPr="00454966">
              <w:rPr>
                <w:sz w:val="20"/>
              </w:rPr>
              <w:t>13.82%</w:t>
            </w:r>
          </w:p>
        </w:tc>
        <w:tc>
          <w:tcPr>
            <w:tcW w:w="980" w:type="dxa"/>
            <w:tcBorders>
              <w:top w:val="nil"/>
              <w:left w:val="nil"/>
              <w:bottom w:val="nil"/>
              <w:right w:val="single" w:sz="4" w:space="0" w:color="auto"/>
            </w:tcBorders>
            <w:shd w:val="clear" w:color="000000" w:fill="FFD85B"/>
            <w:noWrap/>
            <w:vAlign w:val="bottom"/>
            <w:hideMark/>
          </w:tcPr>
          <w:p w14:paraId="0C9AC7A7" w14:textId="77777777" w:rsidR="00454966" w:rsidRPr="00454966" w:rsidRDefault="00454966" w:rsidP="00454966">
            <w:pPr>
              <w:jc w:val="right"/>
              <w:rPr>
                <w:sz w:val="20"/>
              </w:rPr>
            </w:pPr>
            <w:r w:rsidRPr="00454966">
              <w:rPr>
                <w:sz w:val="20"/>
              </w:rPr>
              <w:t>13.82%</w:t>
            </w:r>
          </w:p>
        </w:tc>
        <w:tc>
          <w:tcPr>
            <w:tcW w:w="980" w:type="dxa"/>
            <w:tcBorders>
              <w:top w:val="nil"/>
              <w:left w:val="nil"/>
              <w:bottom w:val="nil"/>
              <w:right w:val="nil"/>
            </w:tcBorders>
            <w:shd w:val="clear" w:color="000000" w:fill="FFD85B"/>
            <w:noWrap/>
            <w:vAlign w:val="bottom"/>
            <w:hideMark/>
          </w:tcPr>
          <w:p w14:paraId="28EA1268" w14:textId="77777777" w:rsidR="00454966" w:rsidRPr="00454966" w:rsidRDefault="00454966" w:rsidP="00454966">
            <w:pPr>
              <w:jc w:val="right"/>
              <w:rPr>
                <w:sz w:val="20"/>
              </w:rPr>
            </w:pPr>
            <w:r w:rsidRPr="00454966">
              <w:rPr>
                <w:sz w:val="20"/>
              </w:rPr>
              <w:t>13.82%</w:t>
            </w:r>
          </w:p>
        </w:tc>
        <w:tc>
          <w:tcPr>
            <w:tcW w:w="980" w:type="dxa"/>
            <w:tcBorders>
              <w:top w:val="nil"/>
              <w:left w:val="single" w:sz="4" w:space="0" w:color="auto"/>
              <w:bottom w:val="nil"/>
              <w:right w:val="single" w:sz="4" w:space="0" w:color="auto"/>
            </w:tcBorders>
            <w:shd w:val="clear" w:color="000000" w:fill="FFD85B"/>
            <w:noWrap/>
            <w:vAlign w:val="bottom"/>
            <w:hideMark/>
          </w:tcPr>
          <w:p w14:paraId="36D0F739" w14:textId="77777777" w:rsidR="00454966" w:rsidRPr="00454966" w:rsidRDefault="00454966" w:rsidP="00454966">
            <w:pPr>
              <w:jc w:val="right"/>
              <w:rPr>
                <w:sz w:val="20"/>
              </w:rPr>
            </w:pPr>
            <w:r w:rsidRPr="00454966">
              <w:rPr>
                <w:sz w:val="20"/>
              </w:rPr>
              <w:t>13.82%</w:t>
            </w:r>
          </w:p>
        </w:tc>
        <w:tc>
          <w:tcPr>
            <w:tcW w:w="980" w:type="dxa"/>
            <w:tcBorders>
              <w:top w:val="nil"/>
              <w:left w:val="nil"/>
              <w:bottom w:val="nil"/>
              <w:right w:val="single" w:sz="4" w:space="0" w:color="auto"/>
            </w:tcBorders>
            <w:shd w:val="clear" w:color="000000" w:fill="FFD85B"/>
            <w:noWrap/>
            <w:vAlign w:val="bottom"/>
            <w:hideMark/>
          </w:tcPr>
          <w:p w14:paraId="09A91E93" w14:textId="77777777" w:rsidR="00454966" w:rsidRPr="00454966" w:rsidRDefault="00454966" w:rsidP="00454966">
            <w:pPr>
              <w:jc w:val="right"/>
              <w:rPr>
                <w:sz w:val="20"/>
              </w:rPr>
            </w:pPr>
            <w:r w:rsidRPr="00454966">
              <w:rPr>
                <w:sz w:val="20"/>
              </w:rPr>
              <w:t>13.82%</w:t>
            </w:r>
          </w:p>
        </w:tc>
        <w:tc>
          <w:tcPr>
            <w:tcW w:w="980" w:type="dxa"/>
            <w:tcBorders>
              <w:top w:val="nil"/>
              <w:left w:val="nil"/>
              <w:bottom w:val="nil"/>
              <w:right w:val="single" w:sz="4" w:space="0" w:color="auto"/>
            </w:tcBorders>
            <w:shd w:val="clear" w:color="000000" w:fill="FFD85B"/>
            <w:noWrap/>
            <w:vAlign w:val="bottom"/>
            <w:hideMark/>
          </w:tcPr>
          <w:p w14:paraId="3806B137" w14:textId="77777777" w:rsidR="00454966" w:rsidRPr="00454966" w:rsidRDefault="00454966" w:rsidP="00454966">
            <w:pPr>
              <w:jc w:val="right"/>
              <w:rPr>
                <w:sz w:val="20"/>
              </w:rPr>
            </w:pPr>
            <w:r w:rsidRPr="00454966">
              <w:rPr>
                <w:sz w:val="20"/>
              </w:rPr>
              <w:t>13.82%</w:t>
            </w:r>
          </w:p>
        </w:tc>
      </w:tr>
      <w:tr w:rsidR="00454966" w:rsidRPr="00454966" w14:paraId="2B725276"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CA426B4"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06D7447" w14:textId="77777777" w:rsidR="00454966" w:rsidRPr="00454966" w:rsidRDefault="00454966" w:rsidP="00454966">
            <w:pPr>
              <w:jc w:val="right"/>
              <w:rPr>
                <w:sz w:val="20"/>
              </w:rPr>
            </w:pPr>
            <w:r w:rsidRPr="00454966">
              <w:rPr>
                <w:sz w:val="20"/>
              </w:rPr>
              <w:t>65,828</w:t>
            </w:r>
          </w:p>
        </w:tc>
        <w:tc>
          <w:tcPr>
            <w:tcW w:w="980" w:type="dxa"/>
            <w:tcBorders>
              <w:top w:val="nil"/>
              <w:left w:val="nil"/>
              <w:bottom w:val="single" w:sz="4" w:space="0" w:color="auto"/>
              <w:right w:val="single" w:sz="4" w:space="0" w:color="auto"/>
            </w:tcBorders>
            <w:shd w:val="clear" w:color="auto" w:fill="auto"/>
            <w:noWrap/>
            <w:vAlign w:val="bottom"/>
            <w:hideMark/>
          </w:tcPr>
          <w:p w14:paraId="521273B3" w14:textId="77777777" w:rsidR="00454966" w:rsidRPr="00454966" w:rsidRDefault="00454966" w:rsidP="00454966">
            <w:pPr>
              <w:jc w:val="right"/>
              <w:rPr>
                <w:sz w:val="20"/>
              </w:rPr>
            </w:pPr>
            <w:r w:rsidRPr="00454966">
              <w:rPr>
                <w:sz w:val="20"/>
              </w:rPr>
              <w:t>11,389</w:t>
            </w:r>
          </w:p>
        </w:tc>
        <w:tc>
          <w:tcPr>
            <w:tcW w:w="980" w:type="dxa"/>
            <w:tcBorders>
              <w:top w:val="nil"/>
              <w:left w:val="nil"/>
              <w:bottom w:val="single" w:sz="4" w:space="0" w:color="auto"/>
              <w:right w:val="single" w:sz="4" w:space="0" w:color="auto"/>
            </w:tcBorders>
            <w:shd w:val="clear" w:color="000000" w:fill="FFD85B"/>
            <w:noWrap/>
            <w:vAlign w:val="bottom"/>
            <w:hideMark/>
          </w:tcPr>
          <w:p w14:paraId="28ED84CD" w14:textId="77777777" w:rsidR="00454966" w:rsidRPr="00454966" w:rsidRDefault="00454966" w:rsidP="00454966">
            <w:pPr>
              <w:jc w:val="right"/>
              <w:rPr>
                <w:sz w:val="20"/>
              </w:rPr>
            </w:pPr>
            <w:r w:rsidRPr="00454966">
              <w:rPr>
                <w:sz w:val="20"/>
              </w:rPr>
              <w:t>6,190</w:t>
            </w:r>
          </w:p>
        </w:tc>
        <w:tc>
          <w:tcPr>
            <w:tcW w:w="980" w:type="dxa"/>
            <w:tcBorders>
              <w:top w:val="nil"/>
              <w:left w:val="nil"/>
              <w:bottom w:val="single" w:sz="4" w:space="0" w:color="auto"/>
              <w:right w:val="single" w:sz="4" w:space="0" w:color="auto"/>
            </w:tcBorders>
            <w:shd w:val="clear" w:color="000000" w:fill="FFD85B"/>
            <w:noWrap/>
            <w:vAlign w:val="bottom"/>
            <w:hideMark/>
          </w:tcPr>
          <w:p w14:paraId="3B0C8018" w14:textId="77777777" w:rsidR="00454966" w:rsidRPr="00454966" w:rsidRDefault="00454966" w:rsidP="00454966">
            <w:pPr>
              <w:jc w:val="right"/>
              <w:rPr>
                <w:sz w:val="20"/>
              </w:rPr>
            </w:pPr>
            <w:r w:rsidRPr="00454966">
              <w:rPr>
                <w:sz w:val="20"/>
              </w:rPr>
              <w:t>5,306</w:t>
            </w:r>
          </w:p>
        </w:tc>
        <w:tc>
          <w:tcPr>
            <w:tcW w:w="980" w:type="dxa"/>
            <w:tcBorders>
              <w:top w:val="nil"/>
              <w:left w:val="nil"/>
              <w:bottom w:val="single" w:sz="4" w:space="0" w:color="auto"/>
              <w:right w:val="single" w:sz="4" w:space="0" w:color="auto"/>
            </w:tcBorders>
            <w:shd w:val="clear" w:color="000000" w:fill="FFD85B"/>
            <w:noWrap/>
            <w:vAlign w:val="bottom"/>
            <w:hideMark/>
          </w:tcPr>
          <w:p w14:paraId="699AE777" w14:textId="77777777" w:rsidR="00454966" w:rsidRPr="00454966" w:rsidRDefault="00454966" w:rsidP="00454966">
            <w:pPr>
              <w:jc w:val="right"/>
              <w:rPr>
                <w:sz w:val="20"/>
              </w:rPr>
            </w:pPr>
            <w:r w:rsidRPr="00454966">
              <w:rPr>
                <w:sz w:val="20"/>
              </w:rPr>
              <w:t>313</w:t>
            </w:r>
          </w:p>
        </w:tc>
        <w:tc>
          <w:tcPr>
            <w:tcW w:w="980" w:type="dxa"/>
            <w:tcBorders>
              <w:top w:val="nil"/>
              <w:left w:val="nil"/>
              <w:bottom w:val="single" w:sz="4" w:space="0" w:color="auto"/>
              <w:right w:val="single" w:sz="4" w:space="0" w:color="auto"/>
            </w:tcBorders>
            <w:shd w:val="clear" w:color="000000" w:fill="FFD85B"/>
            <w:noWrap/>
            <w:vAlign w:val="bottom"/>
            <w:hideMark/>
          </w:tcPr>
          <w:p w14:paraId="76AEBCC2" w14:textId="77777777" w:rsidR="00454966" w:rsidRPr="00454966" w:rsidRDefault="00454966" w:rsidP="00454966">
            <w:pPr>
              <w:jc w:val="right"/>
              <w:rPr>
                <w:sz w:val="20"/>
              </w:rPr>
            </w:pPr>
            <w:r w:rsidRPr="00454966">
              <w:rPr>
                <w:sz w:val="20"/>
              </w:rPr>
              <w:t>571</w:t>
            </w:r>
          </w:p>
        </w:tc>
        <w:tc>
          <w:tcPr>
            <w:tcW w:w="980" w:type="dxa"/>
            <w:tcBorders>
              <w:top w:val="nil"/>
              <w:left w:val="nil"/>
              <w:bottom w:val="single" w:sz="4" w:space="0" w:color="auto"/>
              <w:right w:val="single" w:sz="4" w:space="0" w:color="auto"/>
            </w:tcBorders>
            <w:shd w:val="clear" w:color="000000" w:fill="FFD85B"/>
            <w:noWrap/>
            <w:vAlign w:val="bottom"/>
            <w:hideMark/>
          </w:tcPr>
          <w:p w14:paraId="288C5A56" w14:textId="77777777" w:rsidR="00454966" w:rsidRPr="00454966" w:rsidRDefault="00454966" w:rsidP="00454966">
            <w:pPr>
              <w:jc w:val="right"/>
              <w:rPr>
                <w:sz w:val="20"/>
              </w:rPr>
            </w:pPr>
            <w:r w:rsidRPr="00454966">
              <w:rPr>
                <w:sz w:val="20"/>
              </w:rPr>
              <w:t>5,199</w:t>
            </w:r>
          </w:p>
        </w:tc>
      </w:tr>
      <w:tr w:rsidR="00454966" w:rsidRPr="00454966" w14:paraId="05E55638"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5BD23BB4" w14:textId="50E041D3"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2B494321"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4A1218E"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49112E3"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C8E612F"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D33364C"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0B6BC9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D6D51BC" w14:textId="77777777" w:rsidR="00454966" w:rsidRPr="00454966" w:rsidRDefault="00454966" w:rsidP="00454966">
            <w:pPr>
              <w:rPr>
                <w:sz w:val="20"/>
              </w:rPr>
            </w:pPr>
            <w:r w:rsidRPr="00454966">
              <w:rPr>
                <w:sz w:val="20"/>
              </w:rPr>
              <w:t> </w:t>
            </w:r>
          </w:p>
        </w:tc>
      </w:tr>
      <w:tr w:rsidR="00454966" w:rsidRPr="00454966" w14:paraId="39F04E8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A29494E"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CEE208F"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4663E504"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0155A6D8"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4DEE5E85"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4CACFB0B"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2327BB6D"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464E03B0" w14:textId="77777777" w:rsidR="00454966" w:rsidRPr="00454966" w:rsidRDefault="00454966" w:rsidP="00454966">
            <w:pPr>
              <w:jc w:val="right"/>
              <w:rPr>
                <w:sz w:val="20"/>
              </w:rPr>
            </w:pPr>
            <w:r w:rsidRPr="00454966">
              <w:rPr>
                <w:sz w:val="20"/>
              </w:rPr>
              <w:t>299,579</w:t>
            </w:r>
          </w:p>
        </w:tc>
      </w:tr>
      <w:tr w:rsidR="00454966" w:rsidRPr="00454966" w14:paraId="572287B0"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30177D8"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7A5F7B66" w14:textId="77777777" w:rsidR="00454966" w:rsidRPr="00454966" w:rsidRDefault="00454966" w:rsidP="00454966">
            <w:pPr>
              <w:jc w:val="right"/>
              <w:rPr>
                <w:sz w:val="20"/>
              </w:rPr>
            </w:pPr>
            <w:r w:rsidRPr="00454966">
              <w:rPr>
                <w:sz w:val="20"/>
              </w:rPr>
              <w:t>6.78%</w:t>
            </w:r>
          </w:p>
        </w:tc>
        <w:tc>
          <w:tcPr>
            <w:tcW w:w="980" w:type="dxa"/>
            <w:tcBorders>
              <w:top w:val="nil"/>
              <w:left w:val="nil"/>
              <w:bottom w:val="nil"/>
              <w:right w:val="single" w:sz="4" w:space="0" w:color="auto"/>
            </w:tcBorders>
            <w:shd w:val="clear" w:color="auto" w:fill="auto"/>
            <w:noWrap/>
            <w:vAlign w:val="bottom"/>
            <w:hideMark/>
          </w:tcPr>
          <w:p w14:paraId="3C0DE168" w14:textId="77777777" w:rsidR="00454966" w:rsidRPr="00454966" w:rsidRDefault="00454966" w:rsidP="00454966">
            <w:pPr>
              <w:jc w:val="right"/>
              <w:rPr>
                <w:sz w:val="20"/>
              </w:rPr>
            </w:pPr>
            <w:r w:rsidRPr="00454966">
              <w:rPr>
                <w:sz w:val="20"/>
              </w:rPr>
              <w:t>7.26%</w:t>
            </w:r>
          </w:p>
        </w:tc>
        <w:tc>
          <w:tcPr>
            <w:tcW w:w="980" w:type="dxa"/>
            <w:tcBorders>
              <w:top w:val="nil"/>
              <w:left w:val="nil"/>
              <w:bottom w:val="nil"/>
              <w:right w:val="single" w:sz="4" w:space="0" w:color="auto"/>
            </w:tcBorders>
            <w:shd w:val="clear" w:color="auto" w:fill="auto"/>
            <w:noWrap/>
            <w:vAlign w:val="bottom"/>
            <w:hideMark/>
          </w:tcPr>
          <w:p w14:paraId="7B8D153D" w14:textId="77777777" w:rsidR="00454966" w:rsidRPr="00454966" w:rsidRDefault="00454966" w:rsidP="00454966">
            <w:pPr>
              <w:jc w:val="right"/>
              <w:rPr>
                <w:sz w:val="20"/>
              </w:rPr>
            </w:pPr>
            <w:r w:rsidRPr="00454966">
              <w:rPr>
                <w:sz w:val="20"/>
              </w:rPr>
              <w:t>8.56%</w:t>
            </w:r>
          </w:p>
        </w:tc>
        <w:tc>
          <w:tcPr>
            <w:tcW w:w="980" w:type="dxa"/>
            <w:tcBorders>
              <w:top w:val="nil"/>
              <w:left w:val="nil"/>
              <w:bottom w:val="nil"/>
              <w:right w:val="nil"/>
            </w:tcBorders>
            <w:shd w:val="clear" w:color="auto" w:fill="auto"/>
            <w:noWrap/>
            <w:vAlign w:val="bottom"/>
            <w:hideMark/>
          </w:tcPr>
          <w:p w14:paraId="6E74C9C8" w14:textId="77777777" w:rsidR="00454966" w:rsidRPr="00454966" w:rsidRDefault="00454966" w:rsidP="00454966">
            <w:pPr>
              <w:jc w:val="right"/>
              <w:rPr>
                <w:sz w:val="20"/>
              </w:rPr>
            </w:pPr>
            <w:r w:rsidRPr="00454966">
              <w:rPr>
                <w:sz w:val="20"/>
              </w:rPr>
              <w:t>8.56%</w:t>
            </w:r>
          </w:p>
        </w:tc>
        <w:tc>
          <w:tcPr>
            <w:tcW w:w="980" w:type="dxa"/>
            <w:tcBorders>
              <w:top w:val="nil"/>
              <w:left w:val="single" w:sz="4" w:space="0" w:color="auto"/>
              <w:bottom w:val="nil"/>
              <w:right w:val="single" w:sz="4" w:space="0" w:color="auto"/>
            </w:tcBorders>
            <w:shd w:val="clear" w:color="auto" w:fill="auto"/>
            <w:noWrap/>
            <w:vAlign w:val="bottom"/>
            <w:hideMark/>
          </w:tcPr>
          <w:p w14:paraId="116DEAFB" w14:textId="77777777" w:rsidR="00454966" w:rsidRPr="00454966" w:rsidRDefault="00454966" w:rsidP="00454966">
            <w:pPr>
              <w:jc w:val="right"/>
              <w:rPr>
                <w:sz w:val="20"/>
              </w:rPr>
            </w:pPr>
            <w:r w:rsidRPr="00454966">
              <w:rPr>
                <w:sz w:val="20"/>
              </w:rPr>
              <w:t>8.56%</w:t>
            </w:r>
          </w:p>
        </w:tc>
        <w:tc>
          <w:tcPr>
            <w:tcW w:w="980" w:type="dxa"/>
            <w:tcBorders>
              <w:top w:val="nil"/>
              <w:left w:val="nil"/>
              <w:bottom w:val="nil"/>
              <w:right w:val="single" w:sz="4" w:space="0" w:color="auto"/>
            </w:tcBorders>
            <w:shd w:val="clear" w:color="auto" w:fill="auto"/>
            <w:noWrap/>
            <w:vAlign w:val="bottom"/>
            <w:hideMark/>
          </w:tcPr>
          <w:p w14:paraId="40DC5342" w14:textId="77777777" w:rsidR="00454966" w:rsidRPr="00454966" w:rsidRDefault="00454966" w:rsidP="00454966">
            <w:pPr>
              <w:jc w:val="right"/>
              <w:rPr>
                <w:sz w:val="20"/>
              </w:rPr>
            </w:pPr>
            <w:r w:rsidRPr="00454966">
              <w:rPr>
                <w:sz w:val="20"/>
              </w:rPr>
              <w:t>8.56%</w:t>
            </w:r>
          </w:p>
        </w:tc>
        <w:tc>
          <w:tcPr>
            <w:tcW w:w="980" w:type="dxa"/>
            <w:tcBorders>
              <w:top w:val="nil"/>
              <w:left w:val="nil"/>
              <w:bottom w:val="nil"/>
              <w:right w:val="single" w:sz="4" w:space="0" w:color="auto"/>
            </w:tcBorders>
            <w:shd w:val="clear" w:color="auto" w:fill="auto"/>
            <w:noWrap/>
            <w:vAlign w:val="bottom"/>
            <w:hideMark/>
          </w:tcPr>
          <w:p w14:paraId="5F72EE08" w14:textId="77777777" w:rsidR="00454966" w:rsidRPr="00454966" w:rsidRDefault="00454966" w:rsidP="00454966">
            <w:pPr>
              <w:jc w:val="right"/>
              <w:rPr>
                <w:sz w:val="20"/>
              </w:rPr>
            </w:pPr>
            <w:r w:rsidRPr="00454966">
              <w:rPr>
                <w:sz w:val="20"/>
              </w:rPr>
              <w:t>5.80%</w:t>
            </w:r>
          </w:p>
        </w:tc>
      </w:tr>
      <w:tr w:rsidR="00454966" w:rsidRPr="00454966" w14:paraId="42243159"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2BC6285"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01C849F" w14:textId="77777777" w:rsidR="00454966" w:rsidRPr="00454966" w:rsidRDefault="00454966" w:rsidP="00454966">
            <w:pPr>
              <w:jc w:val="right"/>
              <w:rPr>
                <w:sz w:val="20"/>
              </w:rPr>
            </w:pPr>
            <w:r w:rsidRPr="00454966">
              <w:rPr>
                <w:sz w:val="20"/>
              </w:rPr>
              <w:t>208,709</w:t>
            </w:r>
          </w:p>
        </w:tc>
        <w:tc>
          <w:tcPr>
            <w:tcW w:w="980" w:type="dxa"/>
            <w:tcBorders>
              <w:top w:val="nil"/>
              <w:left w:val="nil"/>
              <w:bottom w:val="single" w:sz="4" w:space="0" w:color="auto"/>
              <w:right w:val="single" w:sz="4" w:space="0" w:color="auto"/>
            </w:tcBorders>
            <w:shd w:val="clear" w:color="auto" w:fill="auto"/>
            <w:noWrap/>
            <w:vAlign w:val="bottom"/>
            <w:hideMark/>
          </w:tcPr>
          <w:p w14:paraId="1118AEB7" w14:textId="77777777" w:rsidR="00454966" w:rsidRPr="00454966" w:rsidRDefault="00454966" w:rsidP="00454966">
            <w:pPr>
              <w:jc w:val="right"/>
              <w:rPr>
                <w:sz w:val="20"/>
              </w:rPr>
            </w:pPr>
            <w:r w:rsidRPr="00454966">
              <w:rPr>
                <w:sz w:val="20"/>
              </w:rPr>
              <w:t>44,963</w:t>
            </w:r>
          </w:p>
        </w:tc>
        <w:tc>
          <w:tcPr>
            <w:tcW w:w="980" w:type="dxa"/>
            <w:tcBorders>
              <w:top w:val="nil"/>
              <w:left w:val="nil"/>
              <w:bottom w:val="single" w:sz="4" w:space="0" w:color="auto"/>
              <w:right w:val="single" w:sz="4" w:space="0" w:color="auto"/>
            </w:tcBorders>
            <w:shd w:val="clear" w:color="auto" w:fill="auto"/>
            <w:noWrap/>
            <w:vAlign w:val="bottom"/>
            <w:hideMark/>
          </w:tcPr>
          <w:p w14:paraId="7AF36C22" w14:textId="77777777" w:rsidR="00454966" w:rsidRPr="00454966" w:rsidRDefault="00454966" w:rsidP="00454966">
            <w:pPr>
              <w:jc w:val="right"/>
              <w:rPr>
                <w:sz w:val="20"/>
              </w:rPr>
            </w:pPr>
            <w:r w:rsidRPr="00454966">
              <w:rPr>
                <w:sz w:val="20"/>
              </w:rPr>
              <w:t>27,390</w:t>
            </w:r>
          </w:p>
        </w:tc>
        <w:tc>
          <w:tcPr>
            <w:tcW w:w="980" w:type="dxa"/>
            <w:tcBorders>
              <w:top w:val="nil"/>
              <w:left w:val="nil"/>
              <w:bottom w:val="single" w:sz="4" w:space="0" w:color="auto"/>
              <w:right w:val="single" w:sz="4" w:space="0" w:color="auto"/>
            </w:tcBorders>
            <w:shd w:val="clear" w:color="auto" w:fill="auto"/>
            <w:noWrap/>
            <w:vAlign w:val="bottom"/>
            <w:hideMark/>
          </w:tcPr>
          <w:p w14:paraId="67884365" w14:textId="77777777" w:rsidR="00454966" w:rsidRPr="00454966" w:rsidRDefault="00454966" w:rsidP="00454966">
            <w:pPr>
              <w:jc w:val="right"/>
              <w:rPr>
                <w:sz w:val="20"/>
              </w:rPr>
            </w:pPr>
            <w:r w:rsidRPr="00454966">
              <w:rPr>
                <w:sz w:val="20"/>
              </w:rPr>
              <w:t>23,490</w:t>
            </w:r>
          </w:p>
        </w:tc>
        <w:tc>
          <w:tcPr>
            <w:tcW w:w="980" w:type="dxa"/>
            <w:tcBorders>
              <w:top w:val="nil"/>
              <w:left w:val="nil"/>
              <w:bottom w:val="single" w:sz="4" w:space="0" w:color="auto"/>
              <w:right w:val="single" w:sz="4" w:space="0" w:color="auto"/>
            </w:tcBorders>
            <w:shd w:val="clear" w:color="auto" w:fill="auto"/>
            <w:noWrap/>
            <w:vAlign w:val="bottom"/>
            <w:hideMark/>
          </w:tcPr>
          <w:p w14:paraId="718E5B05" w14:textId="77777777" w:rsidR="00454966" w:rsidRPr="00454966" w:rsidRDefault="00454966" w:rsidP="00454966">
            <w:pPr>
              <w:jc w:val="right"/>
              <w:rPr>
                <w:sz w:val="20"/>
              </w:rPr>
            </w:pPr>
            <w:r w:rsidRPr="00454966">
              <w:rPr>
                <w:sz w:val="20"/>
              </w:rPr>
              <w:t>1,280</w:t>
            </w:r>
          </w:p>
        </w:tc>
        <w:tc>
          <w:tcPr>
            <w:tcW w:w="980" w:type="dxa"/>
            <w:tcBorders>
              <w:top w:val="nil"/>
              <w:left w:val="nil"/>
              <w:bottom w:val="single" w:sz="4" w:space="0" w:color="auto"/>
              <w:right w:val="single" w:sz="4" w:space="0" w:color="auto"/>
            </w:tcBorders>
            <w:shd w:val="clear" w:color="auto" w:fill="auto"/>
            <w:noWrap/>
            <w:vAlign w:val="bottom"/>
            <w:hideMark/>
          </w:tcPr>
          <w:p w14:paraId="7D46CD24" w14:textId="77777777" w:rsidR="00454966" w:rsidRPr="00454966" w:rsidRDefault="00454966" w:rsidP="00454966">
            <w:pPr>
              <w:jc w:val="right"/>
              <w:rPr>
                <w:sz w:val="20"/>
              </w:rPr>
            </w:pPr>
            <w:r w:rsidRPr="00454966">
              <w:rPr>
                <w:sz w:val="20"/>
              </w:rPr>
              <w:t>2,620</w:t>
            </w:r>
          </w:p>
        </w:tc>
        <w:tc>
          <w:tcPr>
            <w:tcW w:w="980" w:type="dxa"/>
            <w:tcBorders>
              <w:top w:val="nil"/>
              <w:left w:val="nil"/>
              <w:bottom w:val="single" w:sz="4" w:space="0" w:color="auto"/>
              <w:right w:val="single" w:sz="4" w:space="0" w:color="auto"/>
            </w:tcBorders>
            <w:shd w:val="clear" w:color="auto" w:fill="auto"/>
            <w:noWrap/>
            <w:vAlign w:val="bottom"/>
            <w:hideMark/>
          </w:tcPr>
          <w:p w14:paraId="2038E7E0" w14:textId="77777777" w:rsidR="00454966" w:rsidRPr="00454966" w:rsidRDefault="00454966" w:rsidP="00454966">
            <w:pPr>
              <w:jc w:val="right"/>
              <w:rPr>
                <w:sz w:val="20"/>
              </w:rPr>
            </w:pPr>
            <w:r w:rsidRPr="00454966">
              <w:rPr>
                <w:sz w:val="20"/>
              </w:rPr>
              <w:t>17,362</w:t>
            </w:r>
          </w:p>
        </w:tc>
      </w:tr>
      <w:tr w:rsidR="00454966" w:rsidRPr="00454966" w14:paraId="2BDEA57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1860D49"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0EB856DB"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50E8BEEA"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0BF0F48F"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5E2D024"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957C5C6"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74B2ED3"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A500BBA" w14:textId="77777777" w:rsidR="00454966" w:rsidRPr="00454966" w:rsidRDefault="00454966" w:rsidP="00454966">
            <w:pPr>
              <w:rPr>
                <w:sz w:val="20"/>
              </w:rPr>
            </w:pPr>
            <w:r w:rsidRPr="00454966">
              <w:rPr>
                <w:sz w:val="20"/>
              </w:rPr>
              <w:t> </w:t>
            </w:r>
          </w:p>
        </w:tc>
      </w:tr>
      <w:tr w:rsidR="00454966" w:rsidRPr="00454966" w14:paraId="0366A3AC"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77E268A"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D9935FA"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59B89A5A"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1A064311"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7D47AAE1"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4173736C"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051FCF7A"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30673B9C" w14:textId="77777777" w:rsidR="00454966" w:rsidRPr="00454966" w:rsidRDefault="00454966" w:rsidP="00454966">
            <w:pPr>
              <w:jc w:val="right"/>
              <w:rPr>
                <w:sz w:val="20"/>
              </w:rPr>
            </w:pPr>
            <w:r w:rsidRPr="00454966">
              <w:rPr>
                <w:sz w:val="20"/>
              </w:rPr>
              <w:t>337,196</w:t>
            </w:r>
          </w:p>
        </w:tc>
      </w:tr>
      <w:tr w:rsidR="00454966" w:rsidRPr="00454966" w14:paraId="7B6E6BE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3A1A25A"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3ADE1842" w14:textId="77777777" w:rsidR="00454966" w:rsidRPr="00454966" w:rsidRDefault="00454966" w:rsidP="00454966">
            <w:pPr>
              <w:jc w:val="right"/>
              <w:rPr>
                <w:sz w:val="20"/>
              </w:rPr>
            </w:pPr>
            <w:r w:rsidRPr="00454966">
              <w:rPr>
                <w:sz w:val="20"/>
              </w:rPr>
              <w:t>7.74%</w:t>
            </w:r>
          </w:p>
        </w:tc>
        <w:tc>
          <w:tcPr>
            <w:tcW w:w="980" w:type="dxa"/>
            <w:tcBorders>
              <w:top w:val="nil"/>
              <w:left w:val="nil"/>
              <w:bottom w:val="nil"/>
              <w:right w:val="single" w:sz="4" w:space="0" w:color="auto"/>
            </w:tcBorders>
            <w:shd w:val="clear" w:color="auto" w:fill="auto"/>
            <w:noWrap/>
            <w:vAlign w:val="bottom"/>
            <w:hideMark/>
          </w:tcPr>
          <w:p w14:paraId="75557357" w14:textId="77777777" w:rsidR="00454966" w:rsidRPr="00454966" w:rsidRDefault="00454966" w:rsidP="00454966">
            <w:pPr>
              <w:jc w:val="right"/>
              <w:rPr>
                <w:sz w:val="20"/>
              </w:rPr>
            </w:pPr>
            <w:r w:rsidRPr="00454966">
              <w:rPr>
                <w:sz w:val="20"/>
              </w:rPr>
              <w:t>8.10%</w:t>
            </w:r>
          </w:p>
        </w:tc>
        <w:tc>
          <w:tcPr>
            <w:tcW w:w="980" w:type="dxa"/>
            <w:tcBorders>
              <w:top w:val="nil"/>
              <w:left w:val="nil"/>
              <w:bottom w:val="nil"/>
              <w:right w:val="single" w:sz="4" w:space="0" w:color="auto"/>
            </w:tcBorders>
            <w:shd w:val="clear" w:color="auto" w:fill="auto"/>
            <w:noWrap/>
            <w:vAlign w:val="bottom"/>
            <w:hideMark/>
          </w:tcPr>
          <w:p w14:paraId="6A36C8DD" w14:textId="77777777" w:rsidR="00454966" w:rsidRPr="00454966" w:rsidRDefault="00454966" w:rsidP="00454966">
            <w:pPr>
              <w:jc w:val="right"/>
              <w:rPr>
                <w:sz w:val="20"/>
              </w:rPr>
            </w:pPr>
            <w:r w:rsidRPr="00454966">
              <w:rPr>
                <w:sz w:val="20"/>
              </w:rPr>
              <w:t>9.51%</w:t>
            </w:r>
          </w:p>
        </w:tc>
        <w:tc>
          <w:tcPr>
            <w:tcW w:w="980" w:type="dxa"/>
            <w:tcBorders>
              <w:top w:val="nil"/>
              <w:left w:val="nil"/>
              <w:bottom w:val="nil"/>
              <w:right w:val="nil"/>
            </w:tcBorders>
            <w:shd w:val="clear" w:color="auto" w:fill="auto"/>
            <w:noWrap/>
            <w:vAlign w:val="bottom"/>
            <w:hideMark/>
          </w:tcPr>
          <w:p w14:paraId="52C4B4A7" w14:textId="77777777" w:rsidR="00454966" w:rsidRPr="00454966" w:rsidRDefault="00454966" w:rsidP="00454966">
            <w:pPr>
              <w:jc w:val="right"/>
              <w:rPr>
                <w:sz w:val="20"/>
              </w:rPr>
            </w:pPr>
            <w:r w:rsidRPr="00454966">
              <w:rPr>
                <w:sz w:val="20"/>
              </w:rPr>
              <w:t>9.51%</w:t>
            </w:r>
          </w:p>
        </w:tc>
        <w:tc>
          <w:tcPr>
            <w:tcW w:w="980" w:type="dxa"/>
            <w:tcBorders>
              <w:top w:val="nil"/>
              <w:left w:val="single" w:sz="4" w:space="0" w:color="auto"/>
              <w:bottom w:val="nil"/>
              <w:right w:val="single" w:sz="4" w:space="0" w:color="auto"/>
            </w:tcBorders>
            <w:shd w:val="clear" w:color="auto" w:fill="auto"/>
            <w:noWrap/>
            <w:vAlign w:val="bottom"/>
            <w:hideMark/>
          </w:tcPr>
          <w:p w14:paraId="5F5359DC" w14:textId="77777777" w:rsidR="00454966" w:rsidRPr="00454966" w:rsidRDefault="00454966" w:rsidP="00454966">
            <w:pPr>
              <w:jc w:val="right"/>
              <w:rPr>
                <w:sz w:val="20"/>
              </w:rPr>
            </w:pPr>
            <w:r w:rsidRPr="00454966">
              <w:rPr>
                <w:sz w:val="20"/>
              </w:rPr>
              <w:t>9.51%</w:t>
            </w:r>
          </w:p>
        </w:tc>
        <w:tc>
          <w:tcPr>
            <w:tcW w:w="980" w:type="dxa"/>
            <w:tcBorders>
              <w:top w:val="nil"/>
              <w:left w:val="nil"/>
              <w:bottom w:val="nil"/>
              <w:right w:val="single" w:sz="4" w:space="0" w:color="auto"/>
            </w:tcBorders>
            <w:shd w:val="clear" w:color="auto" w:fill="auto"/>
            <w:noWrap/>
            <w:vAlign w:val="bottom"/>
            <w:hideMark/>
          </w:tcPr>
          <w:p w14:paraId="1BAB3C0B" w14:textId="77777777" w:rsidR="00454966" w:rsidRPr="00454966" w:rsidRDefault="00454966" w:rsidP="00454966">
            <w:pPr>
              <w:jc w:val="right"/>
              <w:rPr>
                <w:sz w:val="20"/>
              </w:rPr>
            </w:pPr>
            <w:r w:rsidRPr="00454966">
              <w:rPr>
                <w:sz w:val="20"/>
              </w:rPr>
              <w:t>9.51%</w:t>
            </w:r>
          </w:p>
        </w:tc>
        <w:tc>
          <w:tcPr>
            <w:tcW w:w="980" w:type="dxa"/>
            <w:tcBorders>
              <w:top w:val="nil"/>
              <w:left w:val="nil"/>
              <w:bottom w:val="nil"/>
              <w:right w:val="single" w:sz="4" w:space="0" w:color="auto"/>
            </w:tcBorders>
            <w:shd w:val="clear" w:color="auto" w:fill="auto"/>
            <w:noWrap/>
            <w:vAlign w:val="bottom"/>
            <w:hideMark/>
          </w:tcPr>
          <w:p w14:paraId="132B33C9" w14:textId="77777777" w:rsidR="00454966" w:rsidRPr="00454966" w:rsidRDefault="00454966" w:rsidP="00454966">
            <w:pPr>
              <w:jc w:val="right"/>
              <w:rPr>
                <w:sz w:val="20"/>
              </w:rPr>
            </w:pPr>
            <w:r w:rsidRPr="00454966">
              <w:rPr>
                <w:sz w:val="20"/>
              </w:rPr>
              <w:t>6.47%</w:t>
            </w:r>
          </w:p>
        </w:tc>
      </w:tr>
      <w:tr w:rsidR="00454966" w:rsidRPr="00454966" w14:paraId="24F0BBBA"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562F4EFE"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FF655B0" w14:textId="77777777" w:rsidR="00454966" w:rsidRPr="00454966" w:rsidRDefault="00454966" w:rsidP="00454966">
            <w:pPr>
              <w:jc w:val="right"/>
              <w:rPr>
                <w:sz w:val="20"/>
              </w:rPr>
            </w:pPr>
            <w:r w:rsidRPr="00454966">
              <w:rPr>
                <w:sz w:val="20"/>
              </w:rPr>
              <w:t>275,530</w:t>
            </w:r>
          </w:p>
        </w:tc>
        <w:tc>
          <w:tcPr>
            <w:tcW w:w="980" w:type="dxa"/>
            <w:tcBorders>
              <w:top w:val="nil"/>
              <w:left w:val="nil"/>
              <w:bottom w:val="single" w:sz="4" w:space="0" w:color="auto"/>
              <w:right w:val="single" w:sz="4" w:space="0" w:color="auto"/>
            </w:tcBorders>
            <w:shd w:val="clear" w:color="auto" w:fill="auto"/>
            <w:noWrap/>
            <w:vAlign w:val="bottom"/>
            <w:hideMark/>
          </w:tcPr>
          <w:p w14:paraId="584244F6" w14:textId="77777777" w:rsidR="00454966" w:rsidRPr="00454966" w:rsidRDefault="00454966" w:rsidP="00454966">
            <w:pPr>
              <w:jc w:val="right"/>
              <w:rPr>
                <w:sz w:val="20"/>
              </w:rPr>
            </w:pPr>
            <w:r w:rsidRPr="00454966">
              <w:rPr>
                <w:sz w:val="20"/>
              </w:rPr>
              <w:t>56,859</w:t>
            </w:r>
          </w:p>
        </w:tc>
        <w:tc>
          <w:tcPr>
            <w:tcW w:w="980" w:type="dxa"/>
            <w:tcBorders>
              <w:top w:val="nil"/>
              <w:left w:val="nil"/>
              <w:bottom w:val="single" w:sz="4" w:space="0" w:color="auto"/>
              <w:right w:val="single" w:sz="4" w:space="0" w:color="auto"/>
            </w:tcBorders>
            <w:shd w:val="clear" w:color="auto" w:fill="auto"/>
            <w:noWrap/>
            <w:vAlign w:val="bottom"/>
            <w:hideMark/>
          </w:tcPr>
          <w:p w14:paraId="015C6D4F" w14:textId="77777777" w:rsidR="00454966" w:rsidRPr="00454966" w:rsidRDefault="00454966" w:rsidP="00454966">
            <w:pPr>
              <w:jc w:val="right"/>
              <w:rPr>
                <w:sz w:val="20"/>
              </w:rPr>
            </w:pPr>
            <w:r w:rsidRPr="00454966">
              <w:rPr>
                <w:sz w:val="20"/>
              </w:rPr>
              <w:t>34,695</w:t>
            </w:r>
          </w:p>
        </w:tc>
        <w:tc>
          <w:tcPr>
            <w:tcW w:w="980" w:type="dxa"/>
            <w:tcBorders>
              <w:top w:val="nil"/>
              <w:left w:val="nil"/>
              <w:bottom w:val="single" w:sz="4" w:space="0" w:color="auto"/>
              <w:right w:val="single" w:sz="4" w:space="0" w:color="auto"/>
            </w:tcBorders>
            <w:shd w:val="clear" w:color="auto" w:fill="auto"/>
            <w:noWrap/>
            <w:vAlign w:val="bottom"/>
            <w:hideMark/>
          </w:tcPr>
          <w:p w14:paraId="51DA1E4E" w14:textId="77777777" w:rsidR="00454966" w:rsidRPr="00454966" w:rsidRDefault="00454966" w:rsidP="00454966">
            <w:pPr>
              <w:jc w:val="right"/>
              <w:rPr>
                <w:sz w:val="20"/>
              </w:rPr>
            </w:pPr>
            <w:r w:rsidRPr="00454966">
              <w:rPr>
                <w:sz w:val="20"/>
              </w:rPr>
              <w:t>29,753</w:t>
            </w:r>
          </w:p>
        </w:tc>
        <w:tc>
          <w:tcPr>
            <w:tcW w:w="980" w:type="dxa"/>
            <w:tcBorders>
              <w:top w:val="nil"/>
              <w:left w:val="nil"/>
              <w:bottom w:val="single" w:sz="4" w:space="0" w:color="auto"/>
              <w:right w:val="single" w:sz="4" w:space="0" w:color="auto"/>
            </w:tcBorders>
            <w:shd w:val="clear" w:color="auto" w:fill="auto"/>
            <w:noWrap/>
            <w:vAlign w:val="bottom"/>
            <w:hideMark/>
          </w:tcPr>
          <w:p w14:paraId="37C96F6D" w14:textId="77777777" w:rsidR="00454966" w:rsidRPr="00454966" w:rsidRDefault="00454966" w:rsidP="00454966">
            <w:pPr>
              <w:jc w:val="right"/>
              <w:rPr>
                <w:sz w:val="20"/>
              </w:rPr>
            </w:pPr>
            <w:r w:rsidRPr="00454966">
              <w:rPr>
                <w:sz w:val="20"/>
              </w:rPr>
              <w:t>1,638</w:t>
            </w:r>
          </w:p>
        </w:tc>
        <w:tc>
          <w:tcPr>
            <w:tcW w:w="980" w:type="dxa"/>
            <w:tcBorders>
              <w:top w:val="nil"/>
              <w:left w:val="nil"/>
              <w:bottom w:val="single" w:sz="4" w:space="0" w:color="auto"/>
              <w:right w:val="single" w:sz="4" w:space="0" w:color="auto"/>
            </w:tcBorders>
            <w:shd w:val="clear" w:color="auto" w:fill="auto"/>
            <w:noWrap/>
            <w:vAlign w:val="bottom"/>
            <w:hideMark/>
          </w:tcPr>
          <w:p w14:paraId="45C48CC7" w14:textId="77777777" w:rsidR="00454966" w:rsidRPr="00454966" w:rsidRDefault="00454966" w:rsidP="00454966">
            <w:pPr>
              <w:jc w:val="right"/>
              <w:rPr>
                <w:sz w:val="20"/>
              </w:rPr>
            </w:pPr>
            <w:r w:rsidRPr="00454966">
              <w:rPr>
                <w:sz w:val="20"/>
              </w:rPr>
              <w:t>3,304</w:t>
            </w:r>
          </w:p>
        </w:tc>
        <w:tc>
          <w:tcPr>
            <w:tcW w:w="980" w:type="dxa"/>
            <w:tcBorders>
              <w:top w:val="nil"/>
              <w:left w:val="nil"/>
              <w:bottom w:val="single" w:sz="4" w:space="0" w:color="auto"/>
              <w:right w:val="single" w:sz="4" w:space="0" w:color="auto"/>
            </w:tcBorders>
            <w:shd w:val="clear" w:color="auto" w:fill="auto"/>
            <w:noWrap/>
            <w:vAlign w:val="bottom"/>
            <w:hideMark/>
          </w:tcPr>
          <w:p w14:paraId="20598284" w14:textId="77777777" w:rsidR="00454966" w:rsidRPr="00454966" w:rsidRDefault="00454966" w:rsidP="00454966">
            <w:pPr>
              <w:jc w:val="right"/>
              <w:rPr>
                <w:sz w:val="20"/>
              </w:rPr>
            </w:pPr>
            <w:r w:rsidRPr="00454966">
              <w:rPr>
                <w:sz w:val="20"/>
              </w:rPr>
              <w:t>21,810</w:t>
            </w:r>
          </w:p>
        </w:tc>
      </w:tr>
      <w:tr w:rsidR="00454966" w:rsidRPr="00454966" w14:paraId="3EF1F50F" w14:textId="77777777" w:rsidTr="00BF315B">
        <w:trPr>
          <w:trHeight w:val="1394"/>
        </w:trPr>
        <w:tc>
          <w:tcPr>
            <w:tcW w:w="8980" w:type="dxa"/>
            <w:gridSpan w:val="8"/>
            <w:tcBorders>
              <w:top w:val="single" w:sz="4" w:space="0" w:color="auto"/>
              <w:left w:val="nil"/>
              <w:bottom w:val="nil"/>
              <w:right w:val="nil"/>
            </w:tcBorders>
            <w:shd w:val="clear" w:color="auto" w:fill="auto"/>
            <w:vAlign w:val="bottom"/>
            <w:hideMark/>
          </w:tcPr>
          <w:p w14:paraId="7BC2782D"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r w:rsidRPr="00454966">
              <w:rPr>
                <w:sz w:val="18"/>
                <w:szCs w:val="18"/>
              </w:rPr>
              <w:br/>
            </w:r>
            <w:r w:rsidRPr="00454966">
              <w:rPr>
                <w:b/>
                <w:bCs/>
                <w:sz w:val="18"/>
                <w:szCs w:val="18"/>
              </w:rPr>
              <w:t>**</w:t>
            </w:r>
            <w:r w:rsidRPr="00454966">
              <w:rPr>
                <w:sz w:val="18"/>
                <w:szCs w:val="18"/>
              </w:rPr>
              <w:t xml:space="preserve"> NSDUH did not </w:t>
            </w:r>
            <w:r w:rsidR="00BF315B">
              <w:rPr>
                <w:sz w:val="18"/>
                <w:szCs w:val="18"/>
              </w:rPr>
              <w:t>estimate rates</w:t>
            </w:r>
            <w:r w:rsidRPr="00454966">
              <w:rPr>
                <w:sz w:val="18"/>
                <w:szCs w:val="18"/>
              </w:rPr>
              <w:t xml:space="preserve"> </w:t>
            </w:r>
            <w:r w:rsidR="00BF315B">
              <w:rPr>
                <w:sz w:val="18"/>
                <w:szCs w:val="18"/>
              </w:rPr>
              <w:t xml:space="preserve">for Jefferson </w:t>
            </w:r>
            <w:r w:rsidRPr="00454966">
              <w:rPr>
                <w:sz w:val="18"/>
                <w:szCs w:val="18"/>
              </w:rPr>
              <w:t xml:space="preserve">Parish and the Metropolitan District; therefore, the rate for Greater New Orleans is applied to both Jefferson Parish and the Metropolitan District and its constituent parishes. </w:t>
            </w:r>
          </w:p>
          <w:p w14:paraId="425E83C5" w14:textId="31198076"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0194FED9" w14:textId="4C0183DA" w:rsidR="00454966" w:rsidRDefault="00454966" w:rsidP="001549F4"/>
    <w:p w14:paraId="712C24CD" w14:textId="458CB346" w:rsidR="00454966" w:rsidRDefault="00454966">
      <w:r>
        <w:br w:type="page"/>
      </w:r>
    </w:p>
    <w:p w14:paraId="41C6665C" w14:textId="2E04CB94" w:rsidR="00454966" w:rsidRDefault="00454966" w:rsidP="00130E39">
      <w:pPr>
        <w:pStyle w:val="ListParagraph"/>
        <w:numPr>
          <w:ilvl w:val="0"/>
          <w:numId w:val="7"/>
        </w:numPr>
      </w:pPr>
      <w:r>
        <w:lastRenderedPageBreak/>
        <w:t xml:space="preserve">Needing </w:t>
      </w:r>
      <w:proofErr w:type="gramStart"/>
      <w:r>
        <w:t>But</w:t>
      </w:r>
      <w:proofErr w:type="gramEnd"/>
      <w:r>
        <w:t xml:space="preserve"> Not Receiving Treatment at a Specialty Facility for Alcohol Use in the </w:t>
      </w:r>
      <w:r w:rsidRPr="00130E39">
        <w:rPr>
          <w:i/>
          <w:iCs/>
        </w:rPr>
        <w:t>Past Year</w:t>
      </w:r>
    </w:p>
    <w:p w14:paraId="225D2E3E" w14:textId="6BC3D0EB"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20C9B00A" w14:textId="77777777" w:rsidTr="00454966">
        <w:trPr>
          <w:trHeight w:val="795"/>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5E19D9E9" w14:textId="77777777" w:rsidR="00454966" w:rsidRPr="00454966" w:rsidRDefault="00454966" w:rsidP="00454966">
            <w:pPr>
              <w:jc w:val="center"/>
              <w:rPr>
                <w:b/>
                <w:bCs/>
                <w:sz w:val="20"/>
              </w:rPr>
            </w:pPr>
            <w:bookmarkStart w:id="19" w:name="_Hlk58487516"/>
            <w:r w:rsidRPr="00454966">
              <w:rPr>
                <w:b/>
                <w:bCs/>
                <w:sz w:val="20"/>
              </w:rPr>
              <w:t xml:space="preserve">Needing </w:t>
            </w:r>
            <w:proofErr w:type="gramStart"/>
            <w:r w:rsidRPr="00454966">
              <w:rPr>
                <w:b/>
                <w:bCs/>
                <w:sz w:val="20"/>
              </w:rPr>
              <w:t>But</w:t>
            </w:r>
            <w:proofErr w:type="gramEnd"/>
            <w:r w:rsidRPr="00454966">
              <w:rPr>
                <w:b/>
                <w:bCs/>
                <w:sz w:val="20"/>
              </w:rPr>
              <w:t xml:space="preserve"> Not Receiving Treatment at a Specialty Facility for </w:t>
            </w:r>
            <w:r w:rsidRPr="00454966">
              <w:rPr>
                <w:b/>
                <w:bCs/>
                <w:sz w:val="20"/>
              </w:rPr>
              <w:br/>
            </w:r>
            <w:r w:rsidRPr="00454966">
              <w:rPr>
                <w:b/>
                <w:bCs/>
                <w:sz w:val="20"/>
                <w:u w:val="single"/>
              </w:rPr>
              <w:t>Alcohol Use</w:t>
            </w:r>
            <w:r w:rsidRPr="00454966">
              <w:rPr>
                <w:b/>
                <w:bCs/>
                <w:sz w:val="20"/>
              </w:rPr>
              <w:t xml:space="preserve"> in the </w:t>
            </w:r>
            <w:r w:rsidRPr="00454966">
              <w:rPr>
                <w:b/>
                <w:bCs/>
                <w:i/>
                <w:iCs/>
                <w:sz w:val="20"/>
                <w:u w:val="single"/>
              </w:rPr>
              <w:t>Past Year</w:t>
            </w:r>
            <w:r w:rsidRPr="00454966">
              <w:rPr>
                <w:b/>
                <w:bCs/>
                <w:sz w:val="20"/>
              </w:rPr>
              <w:t xml:space="preserve"> </w:t>
            </w:r>
            <w:bookmarkEnd w:id="19"/>
            <w:r w:rsidRPr="00454966">
              <w:rPr>
                <w:b/>
                <w:bCs/>
                <w:sz w:val="20"/>
              </w:rPr>
              <w:t>by Age Group Among Residents</w:t>
            </w:r>
            <w:r w:rsidRPr="00454966">
              <w:rPr>
                <w:b/>
                <w:bCs/>
                <w:sz w:val="20"/>
              </w:rPr>
              <w:br/>
              <w:t xml:space="preserve"> of Greater New Orleans Parishes and Statewide, 2019*</w:t>
            </w:r>
          </w:p>
        </w:tc>
      </w:tr>
      <w:tr w:rsidR="00454966" w:rsidRPr="00454966" w14:paraId="4784D7A7"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747334CA"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02BD1C54" w14:textId="29817EB8"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2BF46835"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5A4E7ABE"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0FC7B26E"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7B14CC8C"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67F8059A"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30FBD0C5" w14:textId="77777777" w:rsidR="00454966" w:rsidRPr="00454966" w:rsidRDefault="00454966" w:rsidP="00454966">
            <w:pPr>
              <w:jc w:val="center"/>
              <w:rPr>
                <w:sz w:val="20"/>
              </w:rPr>
            </w:pPr>
            <w:r w:rsidRPr="00454966">
              <w:rPr>
                <w:sz w:val="20"/>
              </w:rPr>
              <w:t>Jefferson Parish HSA</w:t>
            </w:r>
          </w:p>
        </w:tc>
      </w:tr>
      <w:tr w:rsidR="00454966" w:rsidRPr="00454966" w14:paraId="2078DEC2"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E520373"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3B5B2E31"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407D85B"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C03EAA2"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D4D1EF2"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2A8F871"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74FC851"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AC486EC" w14:textId="77777777" w:rsidR="00454966" w:rsidRPr="00454966" w:rsidRDefault="00454966" w:rsidP="00454966">
            <w:pPr>
              <w:rPr>
                <w:sz w:val="20"/>
              </w:rPr>
            </w:pPr>
            <w:r w:rsidRPr="00454966">
              <w:rPr>
                <w:sz w:val="20"/>
              </w:rPr>
              <w:t> </w:t>
            </w:r>
          </w:p>
        </w:tc>
      </w:tr>
      <w:tr w:rsidR="00454966" w:rsidRPr="00454966" w14:paraId="58E5063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80675D7"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AE3B03F"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5BED0D05"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30195222"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5670A99B"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3B27958C"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78A0E775"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4FDC7E45" w14:textId="77777777" w:rsidR="00454966" w:rsidRPr="00454966" w:rsidRDefault="00454966" w:rsidP="00454966">
            <w:pPr>
              <w:jc w:val="right"/>
              <w:rPr>
                <w:sz w:val="20"/>
              </w:rPr>
            </w:pPr>
            <w:r w:rsidRPr="00454966">
              <w:rPr>
                <w:sz w:val="20"/>
              </w:rPr>
              <w:t>30,385</w:t>
            </w:r>
          </w:p>
        </w:tc>
      </w:tr>
      <w:tr w:rsidR="00454966" w:rsidRPr="00454966" w14:paraId="14446C50"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52B5992" w14:textId="7AA684B7" w:rsidR="00454966" w:rsidRPr="00454966" w:rsidRDefault="00454966" w:rsidP="00454966">
            <w:pPr>
              <w:rPr>
                <w:sz w:val="20"/>
              </w:rPr>
            </w:pPr>
            <w:r w:rsidRPr="00454966">
              <w:rPr>
                <w:sz w:val="20"/>
              </w:rPr>
              <w:t xml:space="preserve">    </w:t>
            </w:r>
            <w:r w:rsidR="00BD1693">
              <w:rPr>
                <w:sz w:val="20"/>
              </w:rPr>
              <w:t>Rate (%) §</w:t>
            </w:r>
            <w:r w:rsidRPr="00454966">
              <w:rPr>
                <w:sz w:val="20"/>
              </w:rPr>
              <w:t xml:space="preserve"> </w:t>
            </w:r>
            <w:r w:rsidRPr="00454966">
              <w:rPr>
                <w:b/>
                <w:bCs/>
                <w:sz w:val="20"/>
              </w:rPr>
              <w:t>**</w:t>
            </w:r>
          </w:p>
        </w:tc>
        <w:tc>
          <w:tcPr>
            <w:tcW w:w="1140" w:type="dxa"/>
            <w:tcBorders>
              <w:top w:val="nil"/>
              <w:left w:val="single" w:sz="4" w:space="0" w:color="auto"/>
              <w:bottom w:val="nil"/>
              <w:right w:val="single" w:sz="4" w:space="0" w:color="auto"/>
            </w:tcBorders>
            <w:shd w:val="clear" w:color="auto" w:fill="auto"/>
            <w:noWrap/>
            <w:vAlign w:val="bottom"/>
            <w:hideMark/>
          </w:tcPr>
          <w:p w14:paraId="4B1812BA" w14:textId="77777777" w:rsidR="00454966" w:rsidRPr="00454966" w:rsidRDefault="00454966" w:rsidP="00454966">
            <w:pPr>
              <w:jc w:val="right"/>
              <w:rPr>
                <w:sz w:val="20"/>
              </w:rPr>
            </w:pPr>
            <w:r w:rsidRPr="00454966">
              <w:rPr>
                <w:sz w:val="20"/>
              </w:rPr>
              <w:t>2.17%</w:t>
            </w:r>
          </w:p>
        </w:tc>
        <w:tc>
          <w:tcPr>
            <w:tcW w:w="980" w:type="dxa"/>
            <w:tcBorders>
              <w:top w:val="nil"/>
              <w:left w:val="nil"/>
              <w:bottom w:val="nil"/>
              <w:right w:val="single" w:sz="4" w:space="0" w:color="auto"/>
            </w:tcBorders>
            <w:shd w:val="clear" w:color="auto" w:fill="auto"/>
            <w:noWrap/>
            <w:vAlign w:val="bottom"/>
            <w:hideMark/>
          </w:tcPr>
          <w:p w14:paraId="7593377E" w14:textId="77777777" w:rsidR="00454966" w:rsidRPr="00454966" w:rsidRDefault="00454966" w:rsidP="00454966">
            <w:pPr>
              <w:jc w:val="right"/>
              <w:rPr>
                <w:sz w:val="20"/>
              </w:rPr>
            </w:pPr>
            <w:r w:rsidRPr="00454966">
              <w:rPr>
                <w:sz w:val="20"/>
              </w:rPr>
              <w:t>1.87%</w:t>
            </w:r>
          </w:p>
        </w:tc>
        <w:tc>
          <w:tcPr>
            <w:tcW w:w="980" w:type="dxa"/>
            <w:tcBorders>
              <w:top w:val="nil"/>
              <w:left w:val="nil"/>
              <w:bottom w:val="nil"/>
              <w:right w:val="single" w:sz="4" w:space="0" w:color="auto"/>
            </w:tcBorders>
            <w:shd w:val="clear" w:color="000000" w:fill="FFD85B"/>
            <w:noWrap/>
            <w:vAlign w:val="bottom"/>
            <w:hideMark/>
          </w:tcPr>
          <w:p w14:paraId="2BC4D961" w14:textId="77777777" w:rsidR="00454966" w:rsidRPr="00454966" w:rsidRDefault="00454966" w:rsidP="00454966">
            <w:pPr>
              <w:jc w:val="right"/>
              <w:rPr>
                <w:sz w:val="20"/>
              </w:rPr>
            </w:pPr>
            <w:r w:rsidRPr="00454966">
              <w:rPr>
                <w:sz w:val="20"/>
              </w:rPr>
              <w:t>1.87%</w:t>
            </w:r>
          </w:p>
        </w:tc>
        <w:tc>
          <w:tcPr>
            <w:tcW w:w="980" w:type="dxa"/>
            <w:tcBorders>
              <w:top w:val="nil"/>
              <w:left w:val="nil"/>
              <w:bottom w:val="nil"/>
              <w:right w:val="nil"/>
            </w:tcBorders>
            <w:shd w:val="clear" w:color="000000" w:fill="FFD85B"/>
            <w:noWrap/>
            <w:vAlign w:val="bottom"/>
            <w:hideMark/>
          </w:tcPr>
          <w:p w14:paraId="39D43AC7" w14:textId="77777777" w:rsidR="00454966" w:rsidRPr="00454966" w:rsidRDefault="00454966" w:rsidP="00454966">
            <w:pPr>
              <w:jc w:val="right"/>
              <w:rPr>
                <w:sz w:val="20"/>
              </w:rPr>
            </w:pPr>
            <w:r w:rsidRPr="00454966">
              <w:rPr>
                <w:sz w:val="20"/>
              </w:rPr>
              <w:t>1.87%</w:t>
            </w:r>
          </w:p>
        </w:tc>
        <w:tc>
          <w:tcPr>
            <w:tcW w:w="980" w:type="dxa"/>
            <w:tcBorders>
              <w:top w:val="nil"/>
              <w:left w:val="single" w:sz="4" w:space="0" w:color="auto"/>
              <w:bottom w:val="nil"/>
              <w:right w:val="single" w:sz="4" w:space="0" w:color="auto"/>
            </w:tcBorders>
            <w:shd w:val="clear" w:color="000000" w:fill="FFD85B"/>
            <w:noWrap/>
            <w:vAlign w:val="bottom"/>
            <w:hideMark/>
          </w:tcPr>
          <w:p w14:paraId="1DDFA449" w14:textId="77777777" w:rsidR="00454966" w:rsidRPr="00454966" w:rsidRDefault="00454966" w:rsidP="00454966">
            <w:pPr>
              <w:jc w:val="right"/>
              <w:rPr>
                <w:sz w:val="20"/>
              </w:rPr>
            </w:pPr>
            <w:r w:rsidRPr="00454966">
              <w:rPr>
                <w:sz w:val="20"/>
              </w:rPr>
              <w:t>1.87%</w:t>
            </w:r>
          </w:p>
        </w:tc>
        <w:tc>
          <w:tcPr>
            <w:tcW w:w="980" w:type="dxa"/>
            <w:tcBorders>
              <w:top w:val="nil"/>
              <w:left w:val="nil"/>
              <w:bottom w:val="nil"/>
              <w:right w:val="single" w:sz="4" w:space="0" w:color="auto"/>
            </w:tcBorders>
            <w:shd w:val="clear" w:color="000000" w:fill="FFD85B"/>
            <w:noWrap/>
            <w:vAlign w:val="bottom"/>
            <w:hideMark/>
          </w:tcPr>
          <w:p w14:paraId="27AE3CA5" w14:textId="77777777" w:rsidR="00454966" w:rsidRPr="00454966" w:rsidRDefault="00454966" w:rsidP="00454966">
            <w:pPr>
              <w:jc w:val="right"/>
              <w:rPr>
                <w:sz w:val="20"/>
              </w:rPr>
            </w:pPr>
            <w:r w:rsidRPr="00454966">
              <w:rPr>
                <w:sz w:val="20"/>
              </w:rPr>
              <w:t>1.87%</w:t>
            </w:r>
          </w:p>
        </w:tc>
        <w:tc>
          <w:tcPr>
            <w:tcW w:w="980" w:type="dxa"/>
            <w:tcBorders>
              <w:top w:val="nil"/>
              <w:left w:val="nil"/>
              <w:bottom w:val="nil"/>
              <w:right w:val="single" w:sz="4" w:space="0" w:color="auto"/>
            </w:tcBorders>
            <w:shd w:val="clear" w:color="000000" w:fill="FFD85B"/>
            <w:noWrap/>
            <w:vAlign w:val="bottom"/>
            <w:hideMark/>
          </w:tcPr>
          <w:p w14:paraId="62593B4A" w14:textId="77777777" w:rsidR="00454966" w:rsidRPr="00454966" w:rsidRDefault="00454966" w:rsidP="00454966">
            <w:pPr>
              <w:jc w:val="right"/>
              <w:rPr>
                <w:sz w:val="20"/>
              </w:rPr>
            </w:pPr>
            <w:r w:rsidRPr="00454966">
              <w:rPr>
                <w:sz w:val="20"/>
              </w:rPr>
              <w:t>1.87%</w:t>
            </w:r>
          </w:p>
        </w:tc>
      </w:tr>
      <w:tr w:rsidR="00454966" w:rsidRPr="00454966" w14:paraId="4D4819E0"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FFBF828"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06BC7C3" w14:textId="77777777" w:rsidR="00454966" w:rsidRPr="00454966" w:rsidRDefault="00454966" w:rsidP="00454966">
            <w:pPr>
              <w:jc w:val="right"/>
              <w:rPr>
                <w:sz w:val="20"/>
              </w:rPr>
            </w:pPr>
            <w:r w:rsidRPr="00454966">
              <w:rPr>
                <w:sz w:val="20"/>
              </w:rPr>
              <w:t>7,842</w:t>
            </w:r>
          </w:p>
        </w:tc>
        <w:tc>
          <w:tcPr>
            <w:tcW w:w="980" w:type="dxa"/>
            <w:tcBorders>
              <w:top w:val="nil"/>
              <w:left w:val="nil"/>
              <w:bottom w:val="single" w:sz="4" w:space="0" w:color="auto"/>
              <w:right w:val="single" w:sz="4" w:space="0" w:color="auto"/>
            </w:tcBorders>
            <w:shd w:val="clear" w:color="auto" w:fill="auto"/>
            <w:noWrap/>
            <w:vAlign w:val="bottom"/>
            <w:hideMark/>
          </w:tcPr>
          <w:p w14:paraId="61DB4447" w14:textId="77777777" w:rsidR="00454966" w:rsidRPr="00454966" w:rsidRDefault="00454966" w:rsidP="00454966">
            <w:pPr>
              <w:jc w:val="right"/>
              <w:rPr>
                <w:sz w:val="20"/>
              </w:rPr>
            </w:pPr>
            <w:r w:rsidRPr="00454966">
              <w:rPr>
                <w:sz w:val="20"/>
              </w:rPr>
              <w:t>1,145</w:t>
            </w:r>
          </w:p>
        </w:tc>
        <w:tc>
          <w:tcPr>
            <w:tcW w:w="980" w:type="dxa"/>
            <w:tcBorders>
              <w:top w:val="nil"/>
              <w:left w:val="nil"/>
              <w:bottom w:val="single" w:sz="4" w:space="0" w:color="auto"/>
              <w:right w:val="single" w:sz="4" w:space="0" w:color="auto"/>
            </w:tcBorders>
            <w:shd w:val="clear" w:color="000000" w:fill="FFD85B"/>
            <w:noWrap/>
            <w:vAlign w:val="bottom"/>
            <w:hideMark/>
          </w:tcPr>
          <w:p w14:paraId="33D739BA" w14:textId="77777777" w:rsidR="00454966" w:rsidRPr="00454966" w:rsidRDefault="00454966" w:rsidP="00454966">
            <w:pPr>
              <w:jc w:val="right"/>
              <w:rPr>
                <w:sz w:val="20"/>
              </w:rPr>
            </w:pPr>
            <w:r w:rsidRPr="00454966">
              <w:rPr>
                <w:sz w:val="20"/>
              </w:rPr>
              <w:t>576</w:t>
            </w:r>
          </w:p>
        </w:tc>
        <w:tc>
          <w:tcPr>
            <w:tcW w:w="980" w:type="dxa"/>
            <w:tcBorders>
              <w:top w:val="nil"/>
              <w:left w:val="nil"/>
              <w:bottom w:val="single" w:sz="4" w:space="0" w:color="auto"/>
              <w:right w:val="single" w:sz="4" w:space="0" w:color="auto"/>
            </w:tcBorders>
            <w:shd w:val="clear" w:color="000000" w:fill="FFD85B"/>
            <w:noWrap/>
            <w:vAlign w:val="bottom"/>
            <w:hideMark/>
          </w:tcPr>
          <w:p w14:paraId="62CE578E" w14:textId="77777777" w:rsidR="00454966" w:rsidRPr="00454966" w:rsidRDefault="00454966" w:rsidP="00454966">
            <w:pPr>
              <w:jc w:val="right"/>
              <w:rPr>
                <w:sz w:val="20"/>
              </w:rPr>
            </w:pPr>
            <w:r w:rsidRPr="00454966">
              <w:rPr>
                <w:sz w:val="20"/>
              </w:rPr>
              <w:t>462</w:t>
            </w:r>
          </w:p>
        </w:tc>
        <w:tc>
          <w:tcPr>
            <w:tcW w:w="980" w:type="dxa"/>
            <w:tcBorders>
              <w:top w:val="nil"/>
              <w:left w:val="nil"/>
              <w:bottom w:val="single" w:sz="4" w:space="0" w:color="auto"/>
              <w:right w:val="single" w:sz="4" w:space="0" w:color="auto"/>
            </w:tcBorders>
            <w:shd w:val="clear" w:color="000000" w:fill="FFD85B"/>
            <w:noWrap/>
            <w:vAlign w:val="bottom"/>
            <w:hideMark/>
          </w:tcPr>
          <w:p w14:paraId="2101CB43" w14:textId="77777777" w:rsidR="00454966" w:rsidRPr="00454966" w:rsidRDefault="00454966" w:rsidP="00454966">
            <w:pPr>
              <w:jc w:val="right"/>
              <w:rPr>
                <w:sz w:val="20"/>
              </w:rPr>
            </w:pPr>
            <w:r w:rsidRPr="00454966">
              <w:rPr>
                <w:sz w:val="20"/>
              </w:rPr>
              <w:t>39</w:t>
            </w:r>
          </w:p>
        </w:tc>
        <w:tc>
          <w:tcPr>
            <w:tcW w:w="980" w:type="dxa"/>
            <w:tcBorders>
              <w:top w:val="nil"/>
              <w:left w:val="nil"/>
              <w:bottom w:val="single" w:sz="4" w:space="0" w:color="auto"/>
              <w:right w:val="single" w:sz="4" w:space="0" w:color="auto"/>
            </w:tcBorders>
            <w:shd w:val="clear" w:color="000000" w:fill="FFD85B"/>
            <w:noWrap/>
            <w:vAlign w:val="bottom"/>
            <w:hideMark/>
          </w:tcPr>
          <w:p w14:paraId="5CDF99A9" w14:textId="77777777" w:rsidR="00454966" w:rsidRPr="00454966" w:rsidRDefault="00454966" w:rsidP="00454966">
            <w:pPr>
              <w:jc w:val="right"/>
              <w:rPr>
                <w:sz w:val="20"/>
              </w:rPr>
            </w:pPr>
            <w:r w:rsidRPr="00454966">
              <w:rPr>
                <w:sz w:val="20"/>
              </w:rPr>
              <w:t>76</w:t>
            </w:r>
          </w:p>
        </w:tc>
        <w:tc>
          <w:tcPr>
            <w:tcW w:w="980" w:type="dxa"/>
            <w:tcBorders>
              <w:top w:val="nil"/>
              <w:left w:val="nil"/>
              <w:bottom w:val="single" w:sz="4" w:space="0" w:color="auto"/>
              <w:right w:val="single" w:sz="4" w:space="0" w:color="auto"/>
            </w:tcBorders>
            <w:shd w:val="clear" w:color="000000" w:fill="FFD85B"/>
            <w:noWrap/>
            <w:vAlign w:val="bottom"/>
            <w:hideMark/>
          </w:tcPr>
          <w:p w14:paraId="0916DDD0" w14:textId="77777777" w:rsidR="00454966" w:rsidRPr="00454966" w:rsidRDefault="00454966" w:rsidP="00454966">
            <w:pPr>
              <w:jc w:val="right"/>
              <w:rPr>
                <w:sz w:val="20"/>
              </w:rPr>
            </w:pPr>
            <w:r w:rsidRPr="00454966">
              <w:rPr>
                <w:sz w:val="20"/>
              </w:rPr>
              <w:t>568</w:t>
            </w:r>
          </w:p>
        </w:tc>
      </w:tr>
      <w:tr w:rsidR="00454966" w:rsidRPr="00454966" w14:paraId="0B2E1E9E"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21591BF"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70853163"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0C49D79"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1DA0432"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3DFD8D1"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D8D9DEC"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CF031F7"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5B9924C" w14:textId="77777777" w:rsidR="00454966" w:rsidRPr="00454966" w:rsidRDefault="00454966" w:rsidP="00454966">
            <w:pPr>
              <w:rPr>
                <w:sz w:val="20"/>
              </w:rPr>
            </w:pPr>
            <w:r w:rsidRPr="00454966">
              <w:rPr>
                <w:sz w:val="20"/>
              </w:rPr>
              <w:t> </w:t>
            </w:r>
          </w:p>
        </w:tc>
      </w:tr>
      <w:tr w:rsidR="00454966" w:rsidRPr="00454966" w14:paraId="17A7DF7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3593EF0"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1D01EC2"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7838BA56"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3351687C"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55221E9C"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18FD1E0A"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41763788"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6F3D2456" w14:textId="77777777" w:rsidR="00454966" w:rsidRPr="00454966" w:rsidRDefault="00454966" w:rsidP="00454966">
            <w:pPr>
              <w:jc w:val="right"/>
              <w:rPr>
                <w:sz w:val="20"/>
              </w:rPr>
            </w:pPr>
            <w:r w:rsidRPr="00454966">
              <w:rPr>
                <w:sz w:val="20"/>
              </w:rPr>
              <w:t>37,617</w:t>
            </w:r>
          </w:p>
        </w:tc>
      </w:tr>
      <w:tr w:rsidR="00454966" w:rsidRPr="00454966" w14:paraId="5511250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E34CB8C"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6A71823D" w14:textId="77777777" w:rsidR="00454966" w:rsidRPr="00454966" w:rsidRDefault="00454966" w:rsidP="00454966">
            <w:pPr>
              <w:jc w:val="right"/>
              <w:rPr>
                <w:sz w:val="20"/>
              </w:rPr>
            </w:pPr>
            <w:r w:rsidRPr="00454966">
              <w:rPr>
                <w:sz w:val="20"/>
              </w:rPr>
              <w:t>9.15%</w:t>
            </w:r>
          </w:p>
        </w:tc>
        <w:tc>
          <w:tcPr>
            <w:tcW w:w="980" w:type="dxa"/>
            <w:tcBorders>
              <w:top w:val="nil"/>
              <w:left w:val="nil"/>
              <w:bottom w:val="nil"/>
              <w:right w:val="single" w:sz="4" w:space="0" w:color="auto"/>
            </w:tcBorders>
            <w:shd w:val="clear" w:color="auto" w:fill="auto"/>
            <w:noWrap/>
            <w:vAlign w:val="bottom"/>
            <w:hideMark/>
          </w:tcPr>
          <w:p w14:paraId="1F9E49D6" w14:textId="77777777" w:rsidR="00454966" w:rsidRPr="00454966" w:rsidRDefault="00454966" w:rsidP="00454966">
            <w:pPr>
              <w:jc w:val="right"/>
              <w:rPr>
                <w:sz w:val="20"/>
              </w:rPr>
            </w:pPr>
            <w:r w:rsidRPr="00454966">
              <w:rPr>
                <w:sz w:val="20"/>
              </w:rPr>
              <w:t>9.62%</w:t>
            </w:r>
          </w:p>
        </w:tc>
        <w:tc>
          <w:tcPr>
            <w:tcW w:w="980" w:type="dxa"/>
            <w:tcBorders>
              <w:top w:val="nil"/>
              <w:left w:val="nil"/>
              <w:bottom w:val="nil"/>
              <w:right w:val="single" w:sz="4" w:space="0" w:color="auto"/>
            </w:tcBorders>
            <w:shd w:val="clear" w:color="auto" w:fill="auto"/>
            <w:noWrap/>
            <w:vAlign w:val="bottom"/>
            <w:hideMark/>
          </w:tcPr>
          <w:p w14:paraId="16834AE5" w14:textId="77777777" w:rsidR="00454966" w:rsidRPr="00454966" w:rsidRDefault="00454966" w:rsidP="00454966">
            <w:pPr>
              <w:jc w:val="right"/>
              <w:rPr>
                <w:sz w:val="20"/>
              </w:rPr>
            </w:pPr>
            <w:r w:rsidRPr="00454966">
              <w:rPr>
                <w:sz w:val="20"/>
              </w:rPr>
              <w:t>10.54%</w:t>
            </w:r>
          </w:p>
        </w:tc>
        <w:tc>
          <w:tcPr>
            <w:tcW w:w="980" w:type="dxa"/>
            <w:tcBorders>
              <w:top w:val="nil"/>
              <w:left w:val="nil"/>
              <w:bottom w:val="nil"/>
              <w:right w:val="nil"/>
            </w:tcBorders>
            <w:shd w:val="clear" w:color="auto" w:fill="auto"/>
            <w:noWrap/>
            <w:vAlign w:val="bottom"/>
            <w:hideMark/>
          </w:tcPr>
          <w:p w14:paraId="45DCF6DA" w14:textId="77777777" w:rsidR="00454966" w:rsidRPr="00454966" w:rsidRDefault="00454966" w:rsidP="00454966">
            <w:pPr>
              <w:jc w:val="right"/>
              <w:rPr>
                <w:sz w:val="20"/>
              </w:rPr>
            </w:pPr>
            <w:r w:rsidRPr="00454966">
              <w:rPr>
                <w:sz w:val="20"/>
              </w:rPr>
              <w:t>10.54%</w:t>
            </w:r>
          </w:p>
        </w:tc>
        <w:tc>
          <w:tcPr>
            <w:tcW w:w="980" w:type="dxa"/>
            <w:tcBorders>
              <w:top w:val="nil"/>
              <w:left w:val="single" w:sz="4" w:space="0" w:color="auto"/>
              <w:bottom w:val="nil"/>
              <w:right w:val="single" w:sz="4" w:space="0" w:color="auto"/>
            </w:tcBorders>
            <w:shd w:val="clear" w:color="auto" w:fill="auto"/>
            <w:noWrap/>
            <w:vAlign w:val="bottom"/>
            <w:hideMark/>
          </w:tcPr>
          <w:p w14:paraId="48F6E3DC" w14:textId="77777777" w:rsidR="00454966" w:rsidRPr="00454966" w:rsidRDefault="00454966" w:rsidP="00454966">
            <w:pPr>
              <w:jc w:val="right"/>
              <w:rPr>
                <w:sz w:val="20"/>
              </w:rPr>
            </w:pPr>
            <w:r w:rsidRPr="00454966">
              <w:rPr>
                <w:sz w:val="20"/>
              </w:rPr>
              <w:t>10.54%</w:t>
            </w:r>
          </w:p>
        </w:tc>
        <w:tc>
          <w:tcPr>
            <w:tcW w:w="980" w:type="dxa"/>
            <w:tcBorders>
              <w:top w:val="nil"/>
              <w:left w:val="nil"/>
              <w:bottom w:val="nil"/>
              <w:right w:val="single" w:sz="4" w:space="0" w:color="auto"/>
            </w:tcBorders>
            <w:shd w:val="clear" w:color="auto" w:fill="auto"/>
            <w:noWrap/>
            <w:vAlign w:val="bottom"/>
            <w:hideMark/>
          </w:tcPr>
          <w:p w14:paraId="42904085" w14:textId="77777777" w:rsidR="00454966" w:rsidRPr="00454966" w:rsidRDefault="00454966" w:rsidP="00454966">
            <w:pPr>
              <w:jc w:val="right"/>
              <w:rPr>
                <w:sz w:val="20"/>
              </w:rPr>
            </w:pPr>
            <w:r w:rsidRPr="00454966">
              <w:rPr>
                <w:sz w:val="20"/>
              </w:rPr>
              <w:t>10.54%</w:t>
            </w:r>
          </w:p>
        </w:tc>
        <w:tc>
          <w:tcPr>
            <w:tcW w:w="980" w:type="dxa"/>
            <w:tcBorders>
              <w:top w:val="nil"/>
              <w:left w:val="nil"/>
              <w:bottom w:val="nil"/>
              <w:right w:val="single" w:sz="4" w:space="0" w:color="auto"/>
            </w:tcBorders>
            <w:shd w:val="clear" w:color="auto" w:fill="auto"/>
            <w:noWrap/>
            <w:vAlign w:val="bottom"/>
            <w:hideMark/>
          </w:tcPr>
          <w:p w14:paraId="330800BD" w14:textId="77777777" w:rsidR="00454966" w:rsidRPr="00454966" w:rsidRDefault="00454966" w:rsidP="00454966">
            <w:pPr>
              <w:jc w:val="right"/>
              <w:rPr>
                <w:sz w:val="20"/>
              </w:rPr>
            </w:pPr>
            <w:r w:rsidRPr="00454966">
              <w:rPr>
                <w:sz w:val="20"/>
              </w:rPr>
              <w:t>8.33%</w:t>
            </w:r>
          </w:p>
        </w:tc>
      </w:tr>
      <w:tr w:rsidR="00454966" w:rsidRPr="00454966" w14:paraId="31912FA3"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DC5891C"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E29A04E" w14:textId="77777777" w:rsidR="00454966" w:rsidRPr="00454966" w:rsidRDefault="00454966" w:rsidP="00454966">
            <w:pPr>
              <w:jc w:val="right"/>
              <w:rPr>
                <w:sz w:val="20"/>
              </w:rPr>
            </w:pPr>
            <w:r w:rsidRPr="00454966">
              <w:rPr>
                <w:sz w:val="20"/>
              </w:rPr>
              <w:t>44,272</w:t>
            </w:r>
          </w:p>
        </w:tc>
        <w:tc>
          <w:tcPr>
            <w:tcW w:w="980" w:type="dxa"/>
            <w:tcBorders>
              <w:top w:val="nil"/>
              <w:left w:val="nil"/>
              <w:bottom w:val="single" w:sz="4" w:space="0" w:color="auto"/>
              <w:right w:val="single" w:sz="4" w:space="0" w:color="auto"/>
            </w:tcBorders>
            <w:shd w:val="clear" w:color="auto" w:fill="auto"/>
            <w:noWrap/>
            <w:vAlign w:val="bottom"/>
            <w:hideMark/>
          </w:tcPr>
          <w:p w14:paraId="4DF7C5D3" w14:textId="77777777" w:rsidR="00454966" w:rsidRPr="00454966" w:rsidRDefault="00454966" w:rsidP="00454966">
            <w:pPr>
              <w:jc w:val="right"/>
              <w:rPr>
                <w:sz w:val="20"/>
              </w:rPr>
            </w:pPr>
            <w:r w:rsidRPr="00454966">
              <w:rPr>
                <w:sz w:val="20"/>
              </w:rPr>
              <w:t>7,931</w:t>
            </w:r>
          </w:p>
        </w:tc>
        <w:tc>
          <w:tcPr>
            <w:tcW w:w="980" w:type="dxa"/>
            <w:tcBorders>
              <w:top w:val="nil"/>
              <w:left w:val="nil"/>
              <w:bottom w:val="single" w:sz="4" w:space="0" w:color="auto"/>
              <w:right w:val="single" w:sz="4" w:space="0" w:color="auto"/>
            </w:tcBorders>
            <w:shd w:val="clear" w:color="auto" w:fill="auto"/>
            <w:noWrap/>
            <w:vAlign w:val="bottom"/>
            <w:hideMark/>
          </w:tcPr>
          <w:p w14:paraId="356D024D" w14:textId="77777777" w:rsidR="00454966" w:rsidRPr="00454966" w:rsidRDefault="00454966" w:rsidP="00454966">
            <w:pPr>
              <w:jc w:val="right"/>
              <w:rPr>
                <w:sz w:val="20"/>
              </w:rPr>
            </w:pPr>
            <w:r w:rsidRPr="00454966">
              <w:rPr>
                <w:sz w:val="20"/>
              </w:rPr>
              <w:t>4,719</w:t>
            </w:r>
          </w:p>
        </w:tc>
        <w:tc>
          <w:tcPr>
            <w:tcW w:w="980" w:type="dxa"/>
            <w:tcBorders>
              <w:top w:val="nil"/>
              <w:left w:val="nil"/>
              <w:bottom w:val="single" w:sz="4" w:space="0" w:color="auto"/>
              <w:right w:val="single" w:sz="4" w:space="0" w:color="auto"/>
            </w:tcBorders>
            <w:shd w:val="clear" w:color="auto" w:fill="auto"/>
            <w:noWrap/>
            <w:vAlign w:val="bottom"/>
            <w:hideMark/>
          </w:tcPr>
          <w:p w14:paraId="31FE04DD" w14:textId="77777777" w:rsidR="00454966" w:rsidRPr="00454966" w:rsidRDefault="00454966" w:rsidP="00454966">
            <w:pPr>
              <w:jc w:val="right"/>
              <w:rPr>
                <w:sz w:val="20"/>
              </w:rPr>
            </w:pPr>
            <w:r w:rsidRPr="00454966">
              <w:rPr>
                <w:sz w:val="20"/>
              </w:rPr>
              <w:t>4,045</w:t>
            </w:r>
          </w:p>
        </w:tc>
        <w:tc>
          <w:tcPr>
            <w:tcW w:w="980" w:type="dxa"/>
            <w:tcBorders>
              <w:top w:val="nil"/>
              <w:left w:val="nil"/>
              <w:bottom w:val="single" w:sz="4" w:space="0" w:color="auto"/>
              <w:right w:val="single" w:sz="4" w:space="0" w:color="auto"/>
            </w:tcBorders>
            <w:shd w:val="clear" w:color="auto" w:fill="auto"/>
            <w:noWrap/>
            <w:vAlign w:val="bottom"/>
            <w:hideMark/>
          </w:tcPr>
          <w:p w14:paraId="790D514C" w14:textId="77777777" w:rsidR="00454966" w:rsidRPr="00454966" w:rsidRDefault="00454966" w:rsidP="00454966">
            <w:pPr>
              <w:jc w:val="right"/>
              <w:rPr>
                <w:sz w:val="20"/>
              </w:rPr>
            </w:pPr>
            <w:r w:rsidRPr="00454966">
              <w:rPr>
                <w:sz w:val="20"/>
              </w:rPr>
              <w:t>239</w:t>
            </w:r>
          </w:p>
        </w:tc>
        <w:tc>
          <w:tcPr>
            <w:tcW w:w="980" w:type="dxa"/>
            <w:tcBorders>
              <w:top w:val="nil"/>
              <w:left w:val="nil"/>
              <w:bottom w:val="single" w:sz="4" w:space="0" w:color="auto"/>
              <w:right w:val="single" w:sz="4" w:space="0" w:color="auto"/>
            </w:tcBorders>
            <w:shd w:val="clear" w:color="auto" w:fill="auto"/>
            <w:noWrap/>
            <w:vAlign w:val="bottom"/>
            <w:hideMark/>
          </w:tcPr>
          <w:p w14:paraId="0EF4C799" w14:textId="77777777" w:rsidR="00454966" w:rsidRPr="00454966" w:rsidRDefault="00454966" w:rsidP="00454966">
            <w:pPr>
              <w:jc w:val="right"/>
              <w:rPr>
                <w:sz w:val="20"/>
              </w:rPr>
            </w:pPr>
            <w:r w:rsidRPr="00454966">
              <w:rPr>
                <w:sz w:val="20"/>
              </w:rPr>
              <w:t>435</w:t>
            </w:r>
          </w:p>
        </w:tc>
        <w:tc>
          <w:tcPr>
            <w:tcW w:w="980" w:type="dxa"/>
            <w:tcBorders>
              <w:top w:val="nil"/>
              <w:left w:val="nil"/>
              <w:bottom w:val="single" w:sz="4" w:space="0" w:color="auto"/>
              <w:right w:val="single" w:sz="4" w:space="0" w:color="auto"/>
            </w:tcBorders>
            <w:shd w:val="clear" w:color="auto" w:fill="auto"/>
            <w:noWrap/>
            <w:vAlign w:val="bottom"/>
            <w:hideMark/>
          </w:tcPr>
          <w:p w14:paraId="5F99FD24" w14:textId="77777777" w:rsidR="00454966" w:rsidRPr="00454966" w:rsidRDefault="00454966" w:rsidP="00454966">
            <w:pPr>
              <w:jc w:val="right"/>
              <w:rPr>
                <w:sz w:val="20"/>
              </w:rPr>
            </w:pPr>
            <w:r w:rsidRPr="00454966">
              <w:rPr>
                <w:sz w:val="20"/>
              </w:rPr>
              <w:t>3,134</w:t>
            </w:r>
          </w:p>
        </w:tc>
      </w:tr>
      <w:tr w:rsidR="00454966" w:rsidRPr="00454966" w14:paraId="06BF2E00"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29DD46B9" w14:textId="241BA974"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28EEFE20"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7397E012"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47C1990"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7ED6914"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9E4EDD8"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E855F8B"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DAF3CE0" w14:textId="77777777" w:rsidR="00454966" w:rsidRPr="00454966" w:rsidRDefault="00454966" w:rsidP="00454966">
            <w:pPr>
              <w:rPr>
                <w:sz w:val="20"/>
              </w:rPr>
            </w:pPr>
            <w:r w:rsidRPr="00454966">
              <w:rPr>
                <w:sz w:val="20"/>
              </w:rPr>
              <w:t> </w:t>
            </w:r>
          </w:p>
        </w:tc>
      </w:tr>
      <w:tr w:rsidR="00454966" w:rsidRPr="00454966" w14:paraId="4570345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F547A8F"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6EEA182"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5BB6BEE2"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0CC5C8F5"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1ABB2537"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188F6A07"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50E3471D"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3A2C02B2" w14:textId="77777777" w:rsidR="00454966" w:rsidRPr="00454966" w:rsidRDefault="00454966" w:rsidP="00454966">
            <w:pPr>
              <w:jc w:val="right"/>
              <w:rPr>
                <w:sz w:val="20"/>
              </w:rPr>
            </w:pPr>
            <w:r w:rsidRPr="00454966">
              <w:rPr>
                <w:sz w:val="20"/>
              </w:rPr>
              <w:t>299,579</w:t>
            </w:r>
          </w:p>
        </w:tc>
      </w:tr>
      <w:tr w:rsidR="00454966" w:rsidRPr="00454966" w14:paraId="6582C6C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C95BB7C"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17466CE0" w14:textId="77777777" w:rsidR="00454966" w:rsidRPr="00454966" w:rsidRDefault="00454966" w:rsidP="00454966">
            <w:pPr>
              <w:jc w:val="right"/>
              <w:rPr>
                <w:sz w:val="20"/>
              </w:rPr>
            </w:pPr>
            <w:r w:rsidRPr="00454966">
              <w:rPr>
                <w:sz w:val="20"/>
              </w:rPr>
              <w:t>5.87%</w:t>
            </w:r>
          </w:p>
        </w:tc>
        <w:tc>
          <w:tcPr>
            <w:tcW w:w="980" w:type="dxa"/>
            <w:tcBorders>
              <w:top w:val="nil"/>
              <w:left w:val="nil"/>
              <w:bottom w:val="nil"/>
              <w:right w:val="single" w:sz="4" w:space="0" w:color="auto"/>
            </w:tcBorders>
            <w:shd w:val="clear" w:color="auto" w:fill="auto"/>
            <w:noWrap/>
            <w:vAlign w:val="bottom"/>
            <w:hideMark/>
          </w:tcPr>
          <w:p w14:paraId="03CB855A" w14:textId="77777777" w:rsidR="00454966" w:rsidRPr="00454966" w:rsidRDefault="00454966" w:rsidP="00454966">
            <w:pPr>
              <w:jc w:val="right"/>
              <w:rPr>
                <w:sz w:val="20"/>
              </w:rPr>
            </w:pPr>
            <w:r w:rsidRPr="00454966">
              <w:rPr>
                <w:sz w:val="20"/>
              </w:rPr>
              <w:t>6.17%</w:t>
            </w:r>
          </w:p>
        </w:tc>
        <w:tc>
          <w:tcPr>
            <w:tcW w:w="980" w:type="dxa"/>
            <w:tcBorders>
              <w:top w:val="nil"/>
              <w:left w:val="nil"/>
              <w:bottom w:val="nil"/>
              <w:right w:val="single" w:sz="4" w:space="0" w:color="auto"/>
            </w:tcBorders>
            <w:shd w:val="clear" w:color="auto" w:fill="auto"/>
            <w:noWrap/>
            <w:vAlign w:val="bottom"/>
            <w:hideMark/>
          </w:tcPr>
          <w:p w14:paraId="31C7751C" w14:textId="77777777" w:rsidR="00454966" w:rsidRPr="00454966" w:rsidRDefault="00454966" w:rsidP="00454966">
            <w:pPr>
              <w:jc w:val="right"/>
              <w:rPr>
                <w:sz w:val="20"/>
              </w:rPr>
            </w:pPr>
            <w:r w:rsidRPr="00454966">
              <w:rPr>
                <w:sz w:val="20"/>
              </w:rPr>
              <w:t>6.99%</w:t>
            </w:r>
          </w:p>
        </w:tc>
        <w:tc>
          <w:tcPr>
            <w:tcW w:w="980" w:type="dxa"/>
            <w:tcBorders>
              <w:top w:val="nil"/>
              <w:left w:val="nil"/>
              <w:bottom w:val="nil"/>
              <w:right w:val="nil"/>
            </w:tcBorders>
            <w:shd w:val="clear" w:color="auto" w:fill="auto"/>
            <w:noWrap/>
            <w:vAlign w:val="bottom"/>
            <w:hideMark/>
          </w:tcPr>
          <w:p w14:paraId="4BE47B7A" w14:textId="77777777" w:rsidR="00454966" w:rsidRPr="00454966" w:rsidRDefault="00454966" w:rsidP="00454966">
            <w:pPr>
              <w:jc w:val="right"/>
              <w:rPr>
                <w:sz w:val="20"/>
              </w:rPr>
            </w:pPr>
            <w:r w:rsidRPr="00454966">
              <w:rPr>
                <w:sz w:val="20"/>
              </w:rPr>
              <w:t>6.99%</w:t>
            </w:r>
          </w:p>
        </w:tc>
        <w:tc>
          <w:tcPr>
            <w:tcW w:w="980" w:type="dxa"/>
            <w:tcBorders>
              <w:top w:val="nil"/>
              <w:left w:val="single" w:sz="4" w:space="0" w:color="auto"/>
              <w:bottom w:val="nil"/>
              <w:right w:val="single" w:sz="4" w:space="0" w:color="auto"/>
            </w:tcBorders>
            <w:shd w:val="clear" w:color="auto" w:fill="auto"/>
            <w:noWrap/>
            <w:vAlign w:val="bottom"/>
            <w:hideMark/>
          </w:tcPr>
          <w:p w14:paraId="1761DC07" w14:textId="77777777" w:rsidR="00454966" w:rsidRPr="00454966" w:rsidRDefault="00454966" w:rsidP="00454966">
            <w:pPr>
              <w:jc w:val="right"/>
              <w:rPr>
                <w:sz w:val="20"/>
              </w:rPr>
            </w:pPr>
            <w:r w:rsidRPr="00454966">
              <w:rPr>
                <w:sz w:val="20"/>
              </w:rPr>
              <w:t>6.99%</w:t>
            </w:r>
          </w:p>
        </w:tc>
        <w:tc>
          <w:tcPr>
            <w:tcW w:w="980" w:type="dxa"/>
            <w:tcBorders>
              <w:top w:val="nil"/>
              <w:left w:val="nil"/>
              <w:bottom w:val="nil"/>
              <w:right w:val="single" w:sz="4" w:space="0" w:color="auto"/>
            </w:tcBorders>
            <w:shd w:val="clear" w:color="auto" w:fill="auto"/>
            <w:noWrap/>
            <w:vAlign w:val="bottom"/>
            <w:hideMark/>
          </w:tcPr>
          <w:p w14:paraId="2042B0D1" w14:textId="77777777" w:rsidR="00454966" w:rsidRPr="00454966" w:rsidRDefault="00454966" w:rsidP="00454966">
            <w:pPr>
              <w:jc w:val="right"/>
              <w:rPr>
                <w:sz w:val="20"/>
              </w:rPr>
            </w:pPr>
            <w:r w:rsidRPr="00454966">
              <w:rPr>
                <w:sz w:val="20"/>
              </w:rPr>
              <w:t>6.99%</w:t>
            </w:r>
          </w:p>
        </w:tc>
        <w:tc>
          <w:tcPr>
            <w:tcW w:w="980" w:type="dxa"/>
            <w:tcBorders>
              <w:top w:val="nil"/>
              <w:left w:val="nil"/>
              <w:bottom w:val="nil"/>
              <w:right w:val="single" w:sz="4" w:space="0" w:color="auto"/>
            </w:tcBorders>
            <w:shd w:val="clear" w:color="auto" w:fill="auto"/>
            <w:noWrap/>
            <w:vAlign w:val="bottom"/>
            <w:hideMark/>
          </w:tcPr>
          <w:p w14:paraId="39860536" w14:textId="77777777" w:rsidR="00454966" w:rsidRPr="00454966" w:rsidRDefault="00454966" w:rsidP="00454966">
            <w:pPr>
              <w:jc w:val="right"/>
              <w:rPr>
                <w:sz w:val="20"/>
              </w:rPr>
            </w:pPr>
            <w:r w:rsidRPr="00454966">
              <w:rPr>
                <w:sz w:val="20"/>
              </w:rPr>
              <w:t>5.25%</w:t>
            </w:r>
          </w:p>
        </w:tc>
      </w:tr>
      <w:tr w:rsidR="00454966" w:rsidRPr="00454966" w14:paraId="596D708F"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5118CAC"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D4E9965" w14:textId="77777777" w:rsidR="00454966" w:rsidRPr="00454966" w:rsidRDefault="00454966" w:rsidP="00454966">
            <w:pPr>
              <w:jc w:val="right"/>
              <w:rPr>
                <w:sz w:val="20"/>
              </w:rPr>
            </w:pPr>
            <w:r w:rsidRPr="00454966">
              <w:rPr>
                <w:sz w:val="20"/>
              </w:rPr>
              <w:t>180,703</w:t>
            </w:r>
          </w:p>
        </w:tc>
        <w:tc>
          <w:tcPr>
            <w:tcW w:w="980" w:type="dxa"/>
            <w:tcBorders>
              <w:top w:val="nil"/>
              <w:left w:val="nil"/>
              <w:bottom w:val="single" w:sz="4" w:space="0" w:color="auto"/>
              <w:right w:val="single" w:sz="4" w:space="0" w:color="auto"/>
            </w:tcBorders>
            <w:shd w:val="clear" w:color="auto" w:fill="auto"/>
            <w:noWrap/>
            <w:vAlign w:val="bottom"/>
            <w:hideMark/>
          </w:tcPr>
          <w:p w14:paraId="7B5F9BA4" w14:textId="77777777" w:rsidR="00454966" w:rsidRPr="00454966" w:rsidRDefault="00454966" w:rsidP="00454966">
            <w:pPr>
              <w:jc w:val="right"/>
              <w:rPr>
                <w:sz w:val="20"/>
              </w:rPr>
            </w:pPr>
            <w:r w:rsidRPr="00454966">
              <w:rPr>
                <w:sz w:val="20"/>
              </w:rPr>
              <w:t>38,235</w:t>
            </w:r>
          </w:p>
        </w:tc>
        <w:tc>
          <w:tcPr>
            <w:tcW w:w="980" w:type="dxa"/>
            <w:tcBorders>
              <w:top w:val="nil"/>
              <w:left w:val="nil"/>
              <w:bottom w:val="single" w:sz="4" w:space="0" w:color="auto"/>
              <w:right w:val="single" w:sz="4" w:space="0" w:color="auto"/>
            </w:tcBorders>
            <w:shd w:val="clear" w:color="auto" w:fill="auto"/>
            <w:noWrap/>
            <w:vAlign w:val="bottom"/>
            <w:hideMark/>
          </w:tcPr>
          <w:p w14:paraId="1DE2EEC5" w14:textId="77777777" w:rsidR="00454966" w:rsidRPr="00454966" w:rsidRDefault="00454966" w:rsidP="00454966">
            <w:pPr>
              <w:jc w:val="right"/>
              <w:rPr>
                <w:sz w:val="20"/>
              </w:rPr>
            </w:pPr>
            <w:r w:rsidRPr="00454966">
              <w:rPr>
                <w:sz w:val="20"/>
              </w:rPr>
              <w:t>22,387</w:t>
            </w:r>
          </w:p>
        </w:tc>
        <w:tc>
          <w:tcPr>
            <w:tcW w:w="980" w:type="dxa"/>
            <w:tcBorders>
              <w:top w:val="nil"/>
              <w:left w:val="nil"/>
              <w:bottom w:val="single" w:sz="4" w:space="0" w:color="auto"/>
              <w:right w:val="single" w:sz="4" w:space="0" w:color="auto"/>
            </w:tcBorders>
            <w:shd w:val="clear" w:color="auto" w:fill="auto"/>
            <w:noWrap/>
            <w:vAlign w:val="bottom"/>
            <w:hideMark/>
          </w:tcPr>
          <w:p w14:paraId="25EECFB6" w14:textId="77777777" w:rsidR="00454966" w:rsidRPr="00454966" w:rsidRDefault="00454966" w:rsidP="00454966">
            <w:pPr>
              <w:jc w:val="right"/>
              <w:rPr>
                <w:sz w:val="20"/>
              </w:rPr>
            </w:pPr>
            <w:r w:rsidRPr="00454966">
              <w:rPr>
                <w:sz w:val="20"/>
              </w:rPr>
              <w:t>19,199</w:t>
            </w:r>
          </w:p>
        </w:tc>
        <w:tc>
          <w:tcPr>
            <w:tcW w:w="980" w:type="dxa"/>
            <w:tcBorders>
              <w:top w:val="nil"/>
              <w:left w:val="nil"/>
              <w:bottom w:val="single" w:sz="4" w:space="0" w:color="auto"/>
              <w:right w:val="single" w:sz="4" w:space="0" w:color="auto"/>
            </w:tcBorders>
            <w:shd w:val="clear" w:color="auto" w:fill="auto"/>
            <w:noWrap/>
            <w:vAlign w:val="bottom"/>
            <w:hideMark/>
          </w:tcPr>
          <w:p w14:paraId="55A35248" w14:textId="77777777" w:rsidR="00454966" w:rsidRPr="00454966" w:rsidRDefault="00454966" w:rsidP="00454966">
            <w:pPr>
              <w:jc w:val="right"/>
              <w:rPr>
                <w:sz w:val="20"/>
              </w:rPr>
            </w:pPr>
            <w:r w:rsidRPr="00454966">
              <w:rPr>
                <w:sz w:val="20"/>
              </w:rPr>
              <w:t>1,046</w:t>
            </w:r>
          </w:p>
        </w:tc>
        <w:tc>
          <w:tcPr>
            <w:tcW w:w="980" w:type="dxa"/>
            <w:tcBorders>
              <w:top w:val="nil"/>
              <w:left w:val="nil"/>
              <w:bottom w:val="single" w:sz="4" w:space="0" w:color="auto"/>
              <w:right w:val="single" w:sz="4" w:space="0" w:color="auto"/>
            </w:tcBorders>
            <w:shd w:val="clear" w:color="auto" w:fill="auto"/>
            <w:noWrap/>
            <w:vAlign w:val="bottom"/>
            <w:hideMark/>
          </w:tcPr>
          <w:p w14:paraId="759873D6" w14:textId="77777777" w:rsidR="00454966" w:rsidRPr="00454966" w:rsidRDefault="00454966" w:rsidP="00454966">
            <w:pPr>
              <w:jc w:val="right"/>
              <w:rPr>
                <w:sz w:val="20"/>
              </w:rPr>
            </w:pPr>
            <w:r w:rsidRPr="00454966">
              <w:rPr>
                <w:sz w:val="20"/>
              </w:rPr>
              <w:t>2,141</w:t>
            </w:r>
          </w:p>
        </w:tc>
        <w:tc>
          <w:tcPr>
            <w:tcW w:w="980" w:type="dxa"/>
            <w:tcBorders>
              <w:top w:val="nil"/>
              <w:left w:val="nil"/>
              <w:bottom w:val="single" w:sz="4" w:space="0" w:color="auto"/>
              <w:right w:val="single" w:sz="4" w:space="0" w:color="auto"/>
            </w:tcBorders>
            <w:shd w:val="clear" w:color="auto" w:fill="auto"/>
            <w:noWrap/>
            <w:vAlign w:val="bottom"/>
            <w:hideMark/>
          </w:tcPr>
          <w:p w14:paraId="74A0D738" w14:textId="77777777" w:rsidR="00454966" w:rsidRPr="00454966" w:rsidRDefault="00454966" w:rsidP="00454966">
            <w:pPr>
              <w:jc w:val="right"/>
              <w:rPr>
                <w:sz w:val="20"/>
              </w:rPr>
            </w:pPr>
            <w:r w:rsidRPr="00454966">
              <w:rPr>
                <w:sz w:val="20"/>
              </w:rPr>
              <w:t>15,714</w:t>
            </w:r>
          </w:p>
        </w:tc>
      </w:tr>
      <w:tr w:rsidR="00454966" w:rsidRPr="00454966" w14:paraId="40F9E2C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6840978"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226C3389"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C01DAAC"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E2ED266"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54A6BB2"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31260EE"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31D7F6E"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DAE40D5" w14:textId="77777777" w:rsidR="00454966" w:rsidRPr="00454966" w:rsidRDefault="00454966" w:rsidP="00454966">
            <w:pPr>
              <w:rPr>
                <w:sz w:val="20"/>
              </w:rPr>
            </w:pPr>
            <w:r w:rsidRPr="00454966">
              <w:rPr>
                <w:sz w:val="20"/>
              </w:rPr>
              <w:t> </w:t>
            </w:r>
          </w:p>
        </w:tc>
      </w:tr>
      <w:tr w:rsidR="00454966" w:rsidRPr="00454966" w14:paraId="3F284A4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D7CD982"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9B1306F"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2D9BF4DB"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530D49ED"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3FD9F72B"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27EBFFF1"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23C699CB"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1506C10A" w14:textId="77777777" w:rsidR="00454966" w:rsidRPr="00454966" w:rsidRDefault="00454966" w:rsidP="00454966">
            <w:pPr>
              <w:jc w:val="right"/>
              <w:rPr>
                <w:sz w:val="20"/>
              </w:rPr>
            </w:pPr>
            <w:r w:rsidRPr="00454966">
              <w:rPr>
                <w:sz w:val="20"/>
              </w:rPr>
              <w:t>337,196</w:t>
            </w:r>
          </w:p>
        </w:tc>
      </w:tr>
      <w:tr w:rsidR="00454966" w:rsidRPr="00454966" w14:paraId="37E02F2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7B5DDEF"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670FDB62" w14:textId="77777777" w:rsidR="00454966" w:rsidRPr="00454966" w:rsidRDefault="00454966" w:rsidP="00454966">
            <w:pPr>
              <w:jc w:val="right"/>
              <w:rPr>
                <w:sz w:val="20"/>
              </w:rPr>
            </w:pPr>
            <w:r w:rsidRPr="00454966">
              <w:rPr>
                <w:sz w:val="20"/>
              </w:rPr>
              <w:t>6.33%</w:t>
            </w:r>
          </w:p>
        </w:tc>
        <w:tc>
          <w:tcPr>
            <w:tcW w:w="980" w:type="dxa"/>
            <w:tcBorders>
              <w:top w:val="nil"/>
              <w:left w:val="nil"/>
              <w:bottom w:val="nil"/>
              <w:right w:val="single" w:sz="4" w:space="0" w:color="auto"/>
            </w:tcBorders>
            <w:shd w:val="clear" w:color="auto" w:fill="auto"/>
            <w:noWrap/>
            <w:vAlign w:val="bottom"/>
            <w:hideMark/>
          </w:tcPr>
          <w:p w14:paraId="66603C54" w14:textId="77777777" w:rsidR="00454966" w:rsidRPr="00454966" w:rsidRDefault="00454966" w:rsidP="00454966">
            <w:pPr>
              <w:jc w:val="right"/>
              <w:rPr>
                <w:sz w:val="20"/>
              </w:rPr>
            </w:pPr>
            <w:r w:rsidRPr="00454966">
              <w:rPr>
                <w:sz w:val="20"/>
              </w:rPr>
              <w:t>6.61%</w:t>
            </w:r>
          </w:p>
        </w:tc>
        <w:tc>
          <w:tcPr>
            <w:tcW w:w="980" w:type="dxa"/>
            <w:tcBorders>
              <w:top w:val="nil"/>
              <w:left w:val="nil"/>
              <w:bottom w:val="nil"/>
              <w:right w:val="single" w:sz="4" w:space="0" w:color="auto"/>
            </w:tcBorders>
            <w:shd w:val="clear" w:color="auto" w:fill="auto"/>
            <w:noWrap/>
            <w:vAlign w:val="bottom"/>
            <w:hideMark/>
          </w:tcPr>
          <w:p w14:paraId="14F75AC7" w14:textId="77777777" w:rsidR="00454966" w:rsidRPr="00454966" w:rsidRDefault="00454966" w:rsidP="00454966">
            <w:pPr>
              <w:jc w:val="right"/>
              <w:rPr>
                <w:sz w:val="20"/>
              </w:rPr>
            </w:pPr>
            <w:r w:rsidRPr="00454966">
              <w:rPr>
                <w:sz w:val="20"/>
              </w:rPr>
              <w:t>7.49%</w:t>
            </w:r>
          </w:p>
        </w:tc>
        <w:tc>
          <w:tcPr>
            <w:tcW w:w="980" w:type="dxa"/>
            <w:tcBorders>
              <w:top w:val="nil"/>
              <w:left w:val="nil"/>
              <w:bottom w:val="nil"/>
              <w:right w:val="nil"/>
            </w:tcBorders>
            <w:shd w:val="clear" w:color="auto" w:fill="auto"/>
            <w:noWrap/>
            <w:vAlign w:val="bottom"/>
            <w:hideMark/>
          </w:tcPr>
          <w:p w14:paraId="70624C39" w14:textId="77777777" w:rsidR="00454966" w:rsidRPr="00454966" w:rsidRDefault="00454966" w:rsidP="00454966">
            <w:pPr>
              <w:jc w:val="right"/>
              <w:rPr>
                <w:sz w:val="20"/>
              </w:rPr>
            </w:pPr>
            <w:r w:rsidRPr="00454966">
              <w:rPr>
                <w:sz w:val="20"/>
              </w:rPr>
              <w:t>7.49%</w:t>
            </w:r>
          </w:p>
        </w:tc>
        <w:tc>
          <w:tcPr>
            <w:tcW w:w="980" w:type="dxa"/>
            <w:tcBorders>
              <w:top w:val="nil"/>
              <w:left w:val="single" w:sz="4" w:space="0" w:color="auto"/>
              <w:bottom w:val="nil"/>
              <w:right w:val="single" w:sz="4" w:space="0" w:color="auto"/>
            </w:tcBorders>
            <w:shd w:val="clear" w:color="auto" w:fill="auto"/>
            <w:noWrap/>
            <w:vAlign w:val="bottom"/>
            <w:hideMark/>
          </w:tcPr>
          <w:p w14:paraId="06130EF0" w14:textId="77777777" w:rsidR="00454966" w:rsidRPr="00454966" w:rsidRDefault="00454966" w:rsidP="00454966">
            <w:pPr>
              <w:jc w:val="right"/>
              <w:rPr>
                <w:sz w:val="20"/>
              </w:rPr>
            </w:pPr>
            <w:r w:rsidRPr="00454966">
              <w:rPr>
                <w:sz w:val="20"/>
              </w:rPr>
              <w:t>7.49%</w:t>
            </w:r>
          </w:p>
        </w:tc>
        <w:tc>
          <w:tcPr>
            <w:tcW w:w="980" w:type="dxa"/>
            <w:tcBorders>
              <w:top w:val="nil"/>
              <w:left w:val="nil"/>
              <w:bottom w:val="nil"/>
              <w:right w:val="single" w:sz="4" w:space="0" w:color="auto"/>
            </w:tcBorders>
            <w:shd w:val="clear" w:color="auto" w:fill="auto"/>
            <w:noWrap/>
            <w:vAlign w:val="bottom"/>
            <w:hideMark/>
          </w:tcPr>
          <w:p w14:paraId="2430B3C7" w14:textId="77777777" w:rsidR="00454966" w:rsidRPr="00454966" w:rsidRDefault="00454966" w:rsidP="00454966">
            <w:pPr>
              <w:jc w:val="right"/>
              <w:rPr>
                <w:sz w:val="20"/>
              </w:rPr>
            </w:pPr>
            <w:r w:rsidRPr="00454966">
              <w:rPr>
                <w:sz w:val="20"/>
              </w:rPr>
              <w:t>7.49%</w:t>
            </w:r>
          </w:p>
        </w:tc>
        <w:tc>
          <w:tcPr>
            <w:tcW w:w="980" w:type="dxa"/>
            <w:tcBorders>
              <w:top w:val="nil"/>
              <w:left w:val="nil"/>
              <w:bottom w:val="nil"/>
              <w:right w:val="single" w:sz="4" w:space="0" w:color="auto"/>
            </w:tcBorders>
            <w:shd w:val="clear" w:color="auto" w:fill="auto"/>
            <w:noWrap/>
            <w:vAlign w:val="bottom"/>
            <w:hideMark/>
          </w:tcPr>
          <w:p w14:paraId="7B6DA1AC" w14:textId="77777777" w:rsidR="00454966" w:rsidRPr="00454966" w:rsidRDefault="00454966" w:rsidP="00454966">
            <w:pPr>
              <w:jc w:val="right"/>
              <w:rPr>
                <w:sz w:val="20"/>
              </w:rPr>
            </w:pPr>
            <w:r w:rsidRPr="00454966">
              <w:rPr>
                <w:sz w:val="20"/>
              </w:rPr>
              <w:t>5.60%</w:t>
            </w:r>
          </w:p>
        </w:tc>
      </w:tr>
      <w:tr w:rsidR="00454966" w:rsidRPr="00454966" w14:paraId="327BED26"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2E7DEC1F"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FD82BE4" w14:textId="77777777" w:rsidR="00454966" w:rsidRPr="00454966" w:rsidRDefault="00454966" w:rsidP="00454966">
            <w:pPr>
              <w:jc w:val="right"/>
              <w:rPr>
                <w:sz w:val="20"/>
              </w:rPr>
            </w:pPr>
            <w:r w:rsidRPr="00454966">
              <w:rPr>
                <w:sz w:val="20"/>
              </w:rPr>
              <w:t>225,452</w:t>
            </w:r>
          </w:p>
        </w:tc>
        <w:tc>
          <w:tcPr>
            <w:tcW w:w="980" w:type="dxa"/>
            <w:tcBorders>
              <w:top w:val="nil"/>
              <w:left w:val="nil"/>
              <w:bottom w:val="single" w:sz="4" w:space="0" w:color="auto"/>
              <w:right w:val="single" w:sz="4" w:space="0" w:color="auto"/>
            </w:tcBorders>
            <w:shd w:val="clear" w:color="auto" w:fill="auto"/>
            <w:noWrap/>
            <w:vAlign w:val="bottom"/>
            <w:hideMark/>
          </w:tcPr>
          <w:p w14:paraId="1318A060" w14:textId="77777777" w:rsidR="00454966" w:rsidRPr="00454966" w:rsidRDefault="00454966" w:rsidP="00454966">
            <w:pPr>
              <w:jc w:val="right"/>
              <w:rPr>
                <w:sz w:val="20"/>
              </w:rPr>
            </w:pPr>
            <w:r w:rsidRPr="00454966">
              <w:rPr>
                <w:sz w:val="20"/>
              </w:rPr>
              <w:t>46,430</w:t>
            </w:r>
          </w:p>
        </w:tc>
        <w:tc>
          <w:tcPr>
            <w:tcW w:w="980" w:type="dxa"/>
            <w:tcBorders>
              <w:top w:val="nil"/>
              <w:left w:val="nil"/>
              <w:bottom w:val="single" w:sz="4" w:space="0" w:color="auto"/>
              <w:right w:val="single" w:sz="4" w:space="0" w:color="auto"/>
            </w:tcBorders>
            <w:shd w:val="clear" w:color="auto" w:fill="auto"/>
            <w:noWrap/>
            <w:vAlign w:val="bottom"/>
            <w:hideMark/>
          </w:tcPr>
          <w:p w14:paraId="32CD2E7C" w14:textId="77777777" w:rsidR="00454966" w:rsidRPr="00454966" w:rsidRDefault="00454966" w:rsidP="00454966">
            <w:pPr>
              <w:jc w:val="right"/>
              <w:rPr>
                <w:sz w:val="20"/>
              </w:rPr>
            </w:pPr>
            <w:r w:rsidRPr="00454966">
              <w:rPr>
                <w:sz w:val="20"/>
              </w:rPr>
              <w:t>27,328</w:t>
            </w:r>
          </w:p>
        </w:tc>
        <w:tc>
          <w:tcPr>
            <w:tcW w:w="980" w:type="dxa"/>
            <w:tcBorders>
              <w:top w:val="nil"/>
              <w:left w:val="nil"/>
              <w:bottom w:val="single" w:sz="4" w:space="0" w:color="auto"/>
              <w:right w:val="single" w:sz="4" w:space="0" w:color="auto"/>
            </w:tcBorders>
            <w:shd w:val="clear" w:color="auto" w:fill="auto"/>
            <w:noWrap/>
            <w:vAlign w:val="bottom"/>
            <w:hideMark/>
          </w:tcPr>
          <w:p w14:paraId="047D19F3" w14:textId="77777777" w:rsidR="00454966" w:rsidRPr="00454966" w:rsidRDefault="00454966" w:rsidP="00454966">
            <w:pPr>
              <w:jc w:val="right"/>
              <w:rPr>
                <w:sz w:val="20"/>
              </w:rPr>
            </w:pPr>
            <w:r w:rsidRPr="00454966">
              <w:rPr>
                <w:sz w:val="20"/>
              </w:rPr>
              <w:t>23,436</w:t>
            </w:r>
          </w:p>
        </w:tc>
        <w:tc>
          <w:tcPr>
            <w:tcW w:w="980" w:type="dxa"/>
            <w:tcBorders>
              <w:top w:val="nil"/>
              <w:left w:val="nil"/>
              <w:bottom w:val="single" w:sz="4" w:space="0" w:color="auto"/>
              <w:right w:val="single" w:sz="4" w:space="0" w:color="auto"/>
            </w:tcBorders>
            <w:shd w:val="clear" w:color="auto" w:fill="auto"/>
            <w:noWrap/>
            <w:vAlign w:val="bottom"/>
            <w:hideMark/>
          </w:tcPr>
          <w:p w14:paraId="4E593D05" w14:textId="77777777" w:rsidR="00454966" w:rsidRPr="00454966" w:rsidRDefault="00454966" w:rsidP="00454966">
            <w:pPr>
              <w:jc w:val="right"/>
              <w:rPr>
                <w:sz w:val="20"/>
              </w:rPr>
            </w:pPr>
            <w:r w:rsidRPr="00454966">
              <w:rPr>
                <w:sz w:val="20"/>
              </w:rPr>
              <w:t>1,290</w:t>
            </w:r>
          </w:p>
        </w:tc>
        <w:tc>
          <w:tcPr>
            <w:tcW w:w="980" w:type="dxa"/>
            <w:tcBorders>
              <w:top w:val="nil"/>
              <w:left w:val="nil"/>
              <w:bottom w:val="single" w:sz="4" w:space="0" w:color="auto"/>
              <w:right w:val="single" w:sz="4" w:space="0" w:color="auto"/>
            </w:tcBorders>
            <w:shd w:val="clear" w:color="auto" w:fill="auto"/>
            <w:noWrap/>
            <w:vAlign w:val="bottom"/>
            <w:hideMark/>
          </w:tcPr>
          <w:p w14:paraId="5086B611" w14:textId="77777777" w:rsidR="00454966" w:rsidRPr="00454966" w:rsidRDefault="00454966" w:rsidP="00454966">
            <w:pPr>
              <w:jc w:val="right"/>
              <w:rPr>
                <w:sz w:val="20"/>
              </w:rPr>
            </w:pPr>
            <w:r w:rsidRPr="00454966">
              <w:rPr>
                <w:sz w:val="20"/>
              </w:rPr>
              <w:t>2,603</w:t>
            </w:r>
          </w:p>
        </w:tc>
        <w:tc>
          <w:tcPr>
            <w:tcW w:w="980" w:type="dxa"/>
            <w:tcBorders>
              <w:top w:val="nil"/>
              <w:left w:val="nil"/>
              <w:bottom w:val="single" w:sz="4" w:space="0" w:color="auto"/>
              <w:right w:val="single" w:sz="4" w:space="0" w:color="auto"/>
            </w:tcBorders>
            <w:shd w:val="clear" w:color="auto" w:fill="auto"/>
            <w:noWrap/>
            <w:vAlign w:val="bottom"/>
            <w:hideMark/>
          </w:tcPr>
          <w:p w14:paraId="5B038E6E" w14:textId="77777777" w:rsidR="00454966" w:rsidRPr="00454966" w:rsidRDefault="00454966" w:rsidP="00454966">
            <w:pPr>
              <w:jc w:val="right"/>
              <w:rPr>
                <w:sz w:val="20"/>
              </w:rPr>
            </w:pPr>
            <w:r w:rsidRPr="00454966">
              <w:rPr>
                <w:sz w:val="20"/>
              </w:rPr>
              <w:t>18,882</w:t>
            </w:r>
          </w:p>
        </w:tc>
      </w:tr>
      <w:tr w:rsidR="00454966" w:rsidRPr="00454966" w14:paraId="261D7BDD" w14:textId="77777777" w:rsidTr="00BF315B">
        <w:trPr>
          <w:trHeight w:val="1394"/>
        </w:trPr>
        <w:tc>
          <w:tcPr>
            <w:tcW w:w="8980" w:type="dxa"/>
            <w:gridSpan w:val="8"/>
            <w:tcBorders>
              <w:top w:val="single" w:sz="4" w:space="0" w:color="auto"/>
              <w:left w:val="nil"/>
              <w:bottom w:val="nil"/>
              <w:right w:val="nil"/>
            </w:tcBorders>
            <w:shd w:val="clear" w:color="auto" w:fill="auto"/>
            <w:vAlign w:val="bottom"/>
            <w:hideMark/>
          </w:tcPr>
          <w:p w14:paraId="1E6CC958"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r w:rsidRPr="00454966">
              <w:rPr>
                <w:sz w:val="18"/>
                <w:szCs w:val="18"/>
              </w:rPr>
              <w:br/>
            </w:r>
            <w:r w:rsidRPr="00454966">
              <w:rPr>
                <w:b/>
                <w:bCs/>
                <w:sz w:val="18"/>
                <w:szCs w:val="18"/>
              </w:rPr>
              <w:t>**</w:t>
            </w:r>
            <w:r w:rsidRPr="00454966">
              <w:rPr>
                <w:sz w:val="18"/>
                <w:szCs w:val="18"/>
              </w:rPr>
              <w:t xml:space="preserve"> NSDUH did not </w:t>
            </w:r>
            <w:r w:rsidR="00BF315B">
              <w:rPr>
                <w:sz w:val="18"/>
                <w:szCs w:val="18"/>
              </w:rPr>
              <w:t>estimate rates</w:t>
            </w:r>
            <w:r w:rsidRPr="00454966">
              <w:rPr>
                <w:sz w:val="18"/>
                <w:szCs w:val="18"/>
              </w:rPr>
              <w:t xml:space="preserve"> </w:t>
            </w:r>
            <w:r w:rsidR="00BF315B">
              <w:rPr>
                <w:sz w:val="18"/>
                <w:szCs w:val="18"/>
              </w:rPr>
              <w:t xml:space="preserve">for Jefferson </w:t>
            </w:r>
            <w:r w:rsidRPr="00454966">
              <w:rPr>
                <w:sz w:val="18"/>
                <w:szCs w:val="18"/>
              </w:rPr>
              <w:t xml:space="preserve">Parish and the Metropolitan District; therefore, the rate for Greater New Orleans is applied to both Jefferson Parish and the Metropolitan District and its constituent parishes. </w:t>
            </w:r>
          </w:p>
          <w:p w14:paraId="5745A6D1" w14:textId="5C204E81"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5232C3C0" w14:textId="008C8AAD" w:rsidR="00454966" w:rsidRDefault="00454966" w:rsidP="001549F4"/>
    <w:p w14:paraId="2AB0ADDF" w14:textId="570AFF21" w:rsidR="00454966" w:rsidRDefault="00454966">
      <w:r>
        <w:br w:type="page"/>
      </w:r>
    </w:p>
    <w:p w14:paraId="5BEA8664" w14:textId="73C1DFA5" w:rsidR="00454966" w:rsidRDefault="00454966" w:rsidP="00130E39">
      <w:pPr>
        <w:pStyle w:val="ListParagraph"/>
        <w:numPr>
          <w:ilvl w:val="0"/>
          <w:numId w:val="7"/>
        </w:numPr>
      </w:pPr>
      <w:bookmarkStart w:id="20" w:name="_Hlk58489062"/>
      <w:r>
        <w:lastRenderedPageBreak/>
        <w:t xml:space="preserve">Needing </w:t>
      </w:r>
      <w:proofErr w:type="gramStart"/>
      <w:r>
        <w:t>But</w:t>
      </w:r>
      <w:proofErr w:type="gramEnd"/>
      <w:r>
        <w:t xml:space="preserve"> Not Receiving Treatment at a Specialty Facility for Illicit Drug Use</w:t>
      </w:r>
      <w:r w:rsidR="00913DE2">
        <w:t xml:space="preserve"> in the </w:t>
      </w:r>
      <w:r w:rsidR="00913DE2" w:rsidRPr="00130E39">
        <w:rPr>
          <w:i/>
          <w:iCs/>
        </w:rPr>
        <w:t>Past Year</w:t>
      </w:r>
    </w:p>
    <w:bookmarkEnd w:id="20"/>
    <w:p w14:paraId="6263BC01" w14:textId="27305891"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25CC8F5B" w14:textId="77777777" w:rsidTr="00454966">
        <w:trPr>
          <w:trHeight w:val="795"/>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633FE8A3" w14:textId="77777777" w:rsidR="00454966" w:rsidRPr="00454966" w:rsidRDefault="00454966" w:rsidP="00454966">
            <w:pPr>
              <w:jc w:val="center"/>
              <w:rPr>
                <w:b/>
                <w:bCs/>
                <w:sz w:val="20"/>
              </w:rPr>
            </w:pPr>
            <w:r w:rsidRPr="00454966">
              <w:rPr>
                <w:b/>
                <w:bCs/>
                <w:sz w:val="20"/>
              </w:rPr>
              <w:t xml:space="preserve">Needing </w:t>
            </w:r>
            <w:proofErr w:type="gramStart"/>
            <w:r w:rsidRPr="00454966">
              <w:rPr>
                <w:b/>
                <w:bCs/>
                <w:sz w:val="20"/>
              </w:rPr>
              <w:t>But</w:t>
            </w:r>
            <w:proofErr w:type="gramEnd"/>
            <w:r w:rsidRPr="00454966">
              <w:rPr>
                <w:b/>
                <w:bCs/>
                <w:sz w:val="20"/>
              </w:rPr>
              <w:t xml:space="preserve"> Not Receiving Treatment at a Specialty Facility for </w:t>
            </w:r>
            <w:r w:rsidRPr="00454966">
              <w:rPr>
                <w:b/>
                <w:bCs/>
                <w:sz w:val="20"/>
              </w:rPr>
              <w:br/>
            </w:r>
            <w:r w:rsidRPr="00454966">
              <w:rPr>
                <w:b/>
                <w:bCs/>
                <w:sz w:val="20"/>
                <w:u w:val="single"/>
              </w:rPr>
              <w:t>Illicit Drug Use</w:t>
            </w:r>
            <w:r w:rsidRPr="00454966">
              <w:rPr>
                <w:b/>
                <w:bCs/>
                <w:sz w:val="20"/>
              </w:rPr>
              <w:t xml:space="preserve"> in the </w:t>
            </w:r>
            <w:r w:rsidRPr="00454966">
              <w:rPr>
                <w:b/>
                <w:bCs/>
                <w:i/>
                <w:iCs/>
                <w:sz w:val="20"/>
                <w:u w:val="single"/>
              </w:rPr>
              <w:t>Past Year</w:t>
            </w:r>
            <w:r w:rsidRPr="00454966">
              <w:rPr>
                <w:b/>
                <w:bCs/>
                <w:sz w:val="20"/>
              </w:rPr>
              <w:t xml:space="preserve"> by Age Group Among Residents</w:t>
            </w:r>
            <w:r w:rsidRPr="00454966">
              <w:rPr>
                <w:b/>
                <w:bCs/>
                <w:sz w:val="20"/>
              </w:rPr>
              <w:br/>
              <w:t xml:space="preserve"> of Greater New Orleans Parishes and Statewide, 2019*</w:t>
            </w:r>
          </w:p>
        </w:tc>
      </w:tr>
      <w:tr w:rsidR="00454966" w:rsidRPr="00454966" w14:paraId="1528463F"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3A45D3E"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4399DC6E" w14:textId="27D30050"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00AA37B0"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1D27189B"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7FE7B897"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77A16CBB"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06D52B83"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3AF2F185" w14:textId="77777777" w:rsidR="00454966" w:rsidRPr="00454966" w:rsidRDefault="00454966" w:rsidP="00454966">
            <w:pPr>
              <w:jc w:val="center"/>
              <w:rPr>
                <w:sz w:val="20"/>
              </w:rPr>
            </w:pPr>
            <w:r w:rsidRPr="00454966">
              <w:rPr>
                <w:sz w:val="20"/>
              </w:rPr>
              <w:t>Jefferson Parish HSA</w:t>
            </w:r>
          </w:p>
        </w:tc>
      </w:tr>
      <w:tr w:rsidR="00454966" w:rsidRPr="00454966" w14:paraId="078DC68C"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51BAAF0"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5179A10A"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223CD08"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27D81EC"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53EE28A7"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29A7A7D"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B59F5DD"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539DADB" w14:textId="77777777" w:rsidR="00454966" w:rsidRPr="00454966" w:rsidRDefault="00454966" w:rsidP="00454966">
            <w:pPr>
              <w:rPr>
                <w:sz w:val="20"/>
              </w:rPr>
            </w:pPr>
            <w:r w:rsidRPr="00454966">
              <w:rPr>
                <w:sz w:val="20"/>
              </w:rPr>
              <w:t> </w:t>
            </w:r>
          </w:p>
        </w:tc>
      </w:tr>
      <w:tr w:rsidR="00454966" w:rsidRPr="00454966" w14:paraId="26DB627B"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506AB2B"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BE1874F"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2610B0C0"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6959816D"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29C71DF9"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56D59819"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5B38CB3A"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2CD9493D" w14:textId="77777777" w:rsidR="00454966" w:rsidRPr="00454966" w:rsidRDefault="00454966" w:rsidP="00454966">
            <w:pPr>
              <w:jc w:val="right"/>
              <w:rPr>
                <w:sz w:val="20"/>
              </w:rPr>
            </w:pPr>
            <w:r w:rsidRPr="00454966">
              <w:rPr>
                <w:sz w:val="20"/>
              </w:rPr>
              <w:t>30,385</w:t>
            </w:r>
          </w:p>
        </w:tc>
      </w:tr>
      <w:tr w:rsidR="00454966" w:rsidRPr="00454966" w14:paraId="1A157CDF"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95DE0CD" w14:textId="31CDA2C9" w:rsidR="00454966" w:rsidRPr="00454966" w:rsidRDefault="00454966" w:rsidP="00454966">
            <w:pPr>
              <w:rPr>
                <w:sz w:val="20"/>
              </w:rPr>
            </w:pPr>
            <w:r w:rsidRPr="00454966">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3185E354" w14:textId="77777777" w:rsidR="00454966" w:rsidRPr="00454966" w:rsidRDefault="00454966" w:rsidP="00454966">
            <w:pPr>
              <w:jc w:val="right"/>
              <w:rPr>
                <w:sz w:val="20"/>
              </w:rPr>
            </w:pPr>
            <w:r w:rsidRPr="00454966">
              <w:rPr>
                <w:sz w:val="20"/>
              </w:rPr>
              <w:t>2.05%</w:t>
            </w:r>
          </w:p>
        </w:tc>
        <w:tc>
          <w:tcPr>
            <w:tcW w:w="980" w:type="dxa"/>
            <w:tcBorders>
              <w:top w:val="nil"/>
              <w:left w:val="nil"/>
              <w:bottom w:val="nil"/>
              <w:right w:val="single" w:sz="4" w:space="0" w:color="auto"/>
            </w:tcBorders>
            <w:shd w:val="clear" w:color="auto" w:fill="auto"/>
            <w:noWrap/>
            <w:vAlign w:val="bottom"/>
            <w:hideMark/>
          </w:tcPr>
          <w:p w14:paraId="786ED299" w14:textId="77777777" w:rsidR="00454966" w:rsidRPr="00454966" w:rsidRDefault="00454966" w:rsidP="00454966">
            <w:pPr>
              <w:jc w:val="right"/>
              <w:rPr>
                <w:sz w:val="20"/>
              </w:rPr>
            </w:pPr>
            <w:r w:rsidRPr="00454966">
              <w:rPr>
                <w:sz w:val="20"/>
              </w:rPr>
              <w:t>2.26%</w:t>
            </w:r>
          </w:p>
        </w:tc>
        <w:tc>
          <w:tcPr>
            <w:tcW w:w="980" w:type="dxa"/>
            <w:tcBorders>
              <w:top w:val="nil"/>
              <w:left w:val="nil"/>
              <w:bottom w:val="nil"/>
              <w:right w:val="single" w:sz="4" w:space="0" w:color="auto"/>
            </w:tcBorders>
            <w:shd w:val="clear" w:color="auto" w:fill="auto"/>
            <w:noWrap/>
            <w:vAlign w:val="bottom"/>
            <w:hideMark/>
          </w:tcPr>
          <w:p w14:paraId="4E92238E" w14:textId="77777777" w:rsidR="00454966" w:rsidRPr="00454966" w:rsidRDefault="00454966" w:rsidP="00454966">
            <w:pPr>
              <w:jc w:val="right"/>
              <w:rPr>
                <w:sz w:val="20"/>
              </w:rPr>
            </w:pPr>
            <w:r w:rsidRPr="00454966">
              <w:rPr>
                <w:sz w:val="20"/>
              </w:rPr>
              <w:t>2.34%</w:t>
            </w:r>
          </w:p>
        </w:tc>
        <w:tc>
          <w:tcPr>
            <w:tcW w:w="980" w:type="dxa"/>
            <w:tcBorders>
              <w:top w:val="nil"/>
              <w:left w:val="nil"/>
              <w:bottom w:val="nil"/>
              <w:right w:val="nil"/>
            </w:tcBorders>
            <w:shd w:val="clear" w:color="auto" w:fill="auto"/>
            <w:noWrap/>
            <w:vAlign w:val="bottom"/>
            <w:hideMark/>
          </w:tcPr>
          <w:p w14:paraId="576ACEAF" w14:textId="77777777" w:rsidR="00454966" w:rsidRPr="00454966" w:rsidRDefault="00454966" w:rsidP="00454966">
            <w:pPr>
              <w:jc w:val="right"/>
              <w:rPr>
                <w:sz w:val="20"/>
              </w:rPr>
            </w:pPr>
            <w:r w:rsidRPr="00454966">
              <w:rPr>
                <w:sz w:val="20"/>
              </w:rPr>
              <w:t>2.34%</w:t>
            </w:r>
          </w:p>
        </w:tc>
        <w:tc>
          <w:tcPr>
            <w:tcW w:w="980" w:type="dxa"/>
            <w:tcBorders>
              <w:top w:val="nil"/>
              <w:left w:val="single" w:sz="4" w:space="0" w:color="auto"/>
              <w:bottom w:val="nil"/>
              <w:right w:val="single" w:sz="4" w:space="0" w:color="auto"/>
            </w:tcBorders>
            <w:shd w:val="clear" w:color="auto" w:fill="auto"/>
            <w:noWrap/>
            <w:vAlign w:val="bottom"/>
            <w:hideMark/>
          </w:tcPr>
          <w:p w14:paraId="3787F015" w14:textId="77777777" w:rsidR="00454966" w:rsidRPr="00454966" w:rsidRDefault="00454966" w:rsidP="00454966">
            <w:pPr>
              <w:jc w:val="right"/>
              <w:rPr>
                <w:sz w:val="20"/>
              </w:rPr>
            </w:pPr>
            <w:r w:rsidRPr="00454966">
              <w:rPr>
                <w:sz w:val="20"/>
              </w:rPr>
              <w:t>2.34%</w:t>
            </w:r>
          </w:p>
        </w:tc>
        <w:tc>
          <w:tcPr>
            <w:tcW w:w="980" w:type="dxa"/>
            <w:tcBorders>
              <w:top w:val="nil"/>
              <w:left w:val="nil"/>
              <w:bottom w:val="nil"/>
              <w:right w:val="single" w:sz="4" w:space="0" w:color="auto"/>
            </w:tcBorders>
            <w:shd w:val="clear" w:color="auto" w:fill="auto"/>
            <w:noWrap/>
            <w:vAlign w:val="bottom"/>
            <w:hideMark/>
          </w:tcPr>
          <w:p w14:paraId="75122DAB" w14:textId="77777777" w:rsidR="00454966" w:rsidRPr="00454966" w:rsidRDefault="00454966" w:rsidP="00454966">
            <w:pPr>
              <w:jc w:val="right"/>
              <w:rPr>
                <w:sz w:val="20"/>
              </w:rPr>
            </w:pPr>
            <w:r w:rsidRPr="00454966">
              <w:rPr>
                <w:sz w:val="20"/>
              </w:rPr>
              <w:t>2.34%</w:t>
            </w:r>
          </w:p>
        </w:tc>
        <w:tc>
          <w:tcPr>
            <w:tcW w:w="980" w:type="dxa"/>
            <w:tcBorders>
              <w:top w:val="nil"/>
              <w:left w:val="nil"/>
              <w:bottom w:val="nil"/>
              <w:right w:val="single" w:sz="4" w:space="0" w:color="auto"/>
            </w:tcBorders>
            <w:shd w:val="clear" w:color="auto" w:fill="auto"/>
            <w:noWrap/>
            <w:vAlign w:val="bottom"/>
            <w:hideMark/>
          </w:tcPr>
          <w:p w14:paraId="556EE35E" w14:textId="77777777" w:rsidR="00454966" w:rsidRPr="00454966" w:rsidRDefault="00454966" w:rsidP="00454966">
            <w:pPr>
              <w:jc w:val="right"/>
              <w:rPr>
                <w:sz w:val="20"/>
              </w:rPr>
            </w:pPr>
            <w:r w:rsidRPr="00454966">
              <w:rPr>
                <w:sz w:val="20"/>
              </w:rPr>
              <w:t>2.18%</w:t>
            </w:r>
          </w:p>
        </w:tc>
      </w:tr>
      <w:tr w:rsidR="00454966" w:rsidRPr="00454966" w14:paraId="060C1109"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456423D2"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DBEFA98" w14:textId="77777777" w:rsidR="00454966" w:rsidRPr="00454966" w:rsidRDefault="00454966" w:rsidP="00454966">
            <w:pPr>
              <w:jc w:val="right"/>
              <w:rPr>
                <w:sz w:val="20"/>
              </w:rPr>
            </w:pPr>
            <w:r w:rsidRPr="00454966">
              <w:rPr>
                <w:sz w:val="20"/>
              </w:rPr>
              <w:t>7,379</w:t>
            </w:r>
          </w:p>
        </w:tc>
        <w:tc>
          <w:tcPr>
            <w:tcW w:w="980" w:type="dxa"/>
            <w:tcBorders>
              <w:top w:val="nil"/>
              <w:left w:val="nil"/>
              <w:bottom w:val="single" w:sz="4" w:space="0" w:color="auto"/>
              <w:right w:val="single" w:sz="4" w:space="0" w:color="auto"/>
            </w:tcBorders>
            <w:shd w:val="clear" w:color="auto" w:fill="auto"/>
            <w:noWrap/>
            <w:vAlign w:val="bottom"/>
            <w:hideMark/>
          </w:tcPr>
          <w:p w14:paraId="12A061C1" w14:textId="77777777" w:rsidR="00454966" w:rsidRPr="00454966" w:rsidRDefault="00454966" w:rsidP="00454966">
            <w:pPr>
              <w:jc w:val="right"/>
              <w:rPr>
                <w:sz w:val="20"/>
              </w:rPr>
            </w:pPr>
            <w:r w:rsidRPr="00454966">
              <w:rPr>
                <w:sz w:val="20"/>
              </w:rPr>
              <w:t>1,386</w:t>
            </w:r>
          </w:p>
        </w:tc>
        <w:tc>
          <w:tcPr>
            <w:tcW w:w="980" w:type="dxa"/>
            <w:tcBorders>
              <w:top w:val="nil"/>
              <w:left w:val="nil"/>
              <w:bottom w:val="single" w:sz="4" w:space="0" w:color="auto"/>
              <w:right w:val="single" w:sz="4" w:space="0" w:color="auto"/>
            </w:tcBorders>
            <w:shd w:val="clear" w:color="auto" w:fill="auto"/>
            <w:noWrap/>
            <w:vAlign w:val="bottom"/>
            <w:hideMark/>
          </w:tcPr>
          <w:p w14:paraId="2DD2D5FF" w14:textId="77777777" w:rsidR="00454966" w:rsidRPr="00454966" w:rsidRDefault="00454966" w:rsidP="00454966">
            <w:pPr>
              <w:jc w:val="right"/>
              <w:rPr>
                <w:sz w:val="20"/>
              </w:rPr>
            </w:pPr>
            <w:r w:rsidRPr="00454966">
              <w:rPr>
                <w:sz w:val="20"/>
              </w:rPr>
              <w:t>722</w:t>
            </w:r>
          </w:p>
        </w:tc>
        <w:tc>
          <w:tcPr>
            <w:tcW w:w="980" w:type="dxa"/>
            <w:tcBorders>
              <w:top w:val="nil"/>
              <w:left w:val="nil"/>
              <w:bottom w:val="single" w:sz="4" w:space="0" w:color="auto"/>
              <w:right w:val="single" w:sz="4" w:space="0" w:color="auto"/>
            </w:tcBorders>
            <w:shd w:val="clear" w:color="auto" w:fill="auto"/>
            <w:noWrap/>
            <w:vAlign w:val="bottom"/>
            <w:hideMark/>
          </w:tcPr>
          <w:p w14:paraId="0C6869E9" w14:textId="77777777" w:rsidR="00454966" w:rsidRPr="00454966" w:rsidRDefault="00454966" w:rsidP="00454966">
            <w:pPr>
              <w:jc w:val="right"/>
              <w:rPr>
                <w:sz w:val="20"/>
              </w:rPr>
            </w:pPr>
            <w:r w:rsidRPr="00454966">
              <w:rPr>
                <w:sz w:val="20"/>
              </w:rPr>
              <w:t>579</w:t>
            </w:r>
          </w:p>
        </w:tc>
        <w:tc>
          <w:tcPr>
            <w:tcW w:w="980" w:type="dxa"/>
            <w:tcBorders>
              <w:top w:val="nil"/>
              <w:left w:val="nil"/>
              <w:bottom w:val="single" w:sz="4" w:space="0" w:color="auto"/>
              <w:right w:val="single" w:sz="4" w:space="0" w:color="auto"/>
            </w:tcBorders>
            <w:shd w:val="clear" w:color="auto" w:fill="auto"/>
            <w:noWrap/>
            <w:vAlign w:val="bottom"/>
            <w:hideMark/>
          </w:tcPr>
          <w:p w14:paraId="1CB3D40E" w14:textId="77777777" w:rsidR="00454966" w:rsidRPr="00454966" w:rsidRDefault="00454966" w:rsidP="00454966">
            <w:pPr>
              <w:jc w:val="right"/>
              <w:rPr>
                <w:sz w:val="20"/>
              </w:rPr>
            </w:pPr>
            <w:r w:rsidRPr="00454966">
              <w:rPr>
                <w:sz w:val="20"/>
              </w:rPr>
              <w:t>49</w:t>
            </w:r>
          </w:p>
        </w:tc>
        <w:tc>
          <w:tcPr>
            <w:tcW w:w="980" w:type="dxa"/>
            <w:tcBorders>
              <w:top w:val="nil"/>
              <w:left w:val="nil"/>
              <w:bottom w:val="single" w:sz="4" w:space="0" w:color="auto"/>
              <w:right w:val="single" w:sz="4" w:space="0" w:color="auto"/>
            </w:tcBorders>
            <w:shd w:val="clear" w:color="auto" w:fill="auto"/>
            <w:noWrap/>
            <w:vAlign w:val="bottom"/>
            <w:hideMark/>
          </w:tcPr>
          <w:p w14:paraId="39DAF0B5" w14:textId="77777777" w:rsidR="00454966" w:rsidRPr="00454966" w:rsidRDefault="00454966" w:rsidP="00454966">
            <w:pPr>
              <w:jc w:val="right"/>
              <w:rPr>
                <w:sz w:val="20"/>
              </w:rPr>
            </w:pPr>
            <w:r w:rsidRPr="00454966">
              <w:rPr>
                <w:sz w:val="20"/>
              </w:rPr>
              <w:t>95</w:t>
            </w:r>
          </w:p>
        </w:tc>
        <w:tc>
          <w:tcPr>
            <w:tcW w:w="980" w:type="dxa"/>
            <w:tcBorders>
              <w:top w:val="nil"/>
              <w:left w:val="nil"/>
              <w:bottom w:val="single" w:sz="4" w:space="0" w:color="auto"/>
              <w:right w:val="single" w:sz="4" w:space="0" w:color="auto"/>
            </w:tcBorders>
            <w:shd w:val="clear" w:color="auto" w:fill="auto"/>
            <w:noWrap/>
            <w:vAlign w:val="bottom"/>
            <w:hideMark/>
          </w:tcPr>
          <w:p w14:paraId="1F511E82" w14:textId="77777777" w:rsidR="00454966" w:rsidRPr="00454966" w:rsidRDefault="00454966" w:rsidP="00454966">
            <w:pPr>
              <w:jc w:val="right"/>
              <w:rPr>
                <w:sz w:val="20"/>
              </w:rPr>
            </w:pPr>
            <w:r w:rsidRPr="00454966">
              <w:rPr>
                <w:sz w:val="20"/>
              </w:rPr>
              <w:t>662</w:t>
            </w:r>
          </w:p>
        </w:tc>
      </w:tr>
      <w:tr w:rsidR="00454966" w:rsidRPr="00454966" w14:paraId="73457D79"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7F63567"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5B6B6D8F"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356E92E"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83C6891"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084813B"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65E865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635432CF"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02E176D" w14:textId="77777777" w:rsidR="00454966" w:rsidRPr="00454966" w:rsidRDefault="00454966" w:rsidP="00454966">
            <w:pPr>
              <w:rPr>
                <w:sz w:val="20"/>
              </w:rPr>
            </w:pPr>
            <w:r w:rsidRPr="00454966">
              <w:rPr>
                <w:sz w:val="20"/>
              </w:rPr>
              <w:t> </w:t>
            </w:r>
          </w:p>
        </w:tc>
      </w:tr>
      <w:tr w:rsidR="00454966" w:rsidRPr="00454966" w14:paraId="079BEC1E"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BEB72BB"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29D5FCE"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0A711C95"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30624331"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44B87815"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73E389D4"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7B2B7FCD"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4ED2C9FE" w14:textId="77777777" w:rsidR="00454966" w:rsidRPr="00454966" w:rsidRDefault="00454966" w:rsidP="00454966">
            <w:pPr>
              <w:jc w:val="right"/>
              <w:rPr>
                <w:sz w:val="20"/>
              </w:rPr>
            </w:pPr>
            <w:r w:rsidRPr="00454966">
              <w:rPr>
                <w:sz w:val="20"/>
              </w:rPr>
              <w:t>37,617</w:t>
            </w:r>
          </w:p>
        </w:tc>
      </w:tr>
      <w:tr w:rsidR="00454966" w:rsidRPr="00454966" w14:paraId="6028C4B5"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3BE0262"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2B6E2805" w14:textId="77777777" w:rsidR="00454966" w:rsidRPr="00454966" w:rsidRDefault="00454966" w:rsidP="00454966">
            <w:pPr>
              <w:jc w:val="right"/>
              <w:rPr>
                <w:sz w:val="20"/>
              </w:rPr>
            </w:pPr>
            <w:r w:rsidRPr="00454966">
              <w:rPr>
                <w:sz w:val="20"/>
              </w:rPr>
              <w:t>6.21%</w:t>
            </w:r>
          </w:p>
        </w:tc>
        <w:tc>
          <w:tcPr>
            <w:tcW w:w="980" w:type="dxa"/>
            <w:tcBorders>
              <w:top w:val="nil"/>
              <w:left w:val="nil"/>
              <w:bottom w:val="nil"/>
              <w:right w:val="single" w:sz="4" w:space="0" w:color="auto"/>
            </w:tcBorders>
            <w:shd w:val="clear" w:color="auto" w:fill="auto"/>
            <w:noWrap/>
            <w:vAlign w:val="bottom"/>
            <w:hideMark/>
          </w:tcPr>
          <w:p w14:paraId="3C02070E" w14:textId="77777777" w:rsidR="00454966" w:rsidRPr="00454966" w:rsidRDefault="00454966" w:rsidP="00454966">
            <w:pPr>
              <w:jc w:val="right"/>
              <w:rPr>
                <w:sz w:val="20"/>
              </w:rPr>
            </w:pPr>
            <w:r w:rsidRPr="00454966">
              <w:rPr>
                <w:sz w:val="20"/>
              </w:rPr>
              <w:t>6.33%</w:t>
            </w:r>
          </w:p>
        </w:tc>
        <w:tc>
          <w:tcPr>
            <w:tcW w:w="980" w:type="dxa"/>
            <w:tcBorders>
              <w:top w:val="nil"/>
              <w:left w:val="nil"/>
              <w:bottom w:val="nil"/>
              <w:right w:val="single" w:sz="4" w:space="0" w:color="auto"/>
            </w:tcBorders>
            <w:shd w:val="clear" w:color="auto" w:fill="auto"/>
            <w:noWrap/>
            <w:vAlign w:val="bottom"/>
            <w:hideMark/>
          </w:tcPr>
          <w:p w14:paraId="34D5899D" w14:textId="77777777" w:rsidR="00454966" w:rsidRPr="00454966" w:rsidRDefault="00454966" w:rsidP="00454966">
            <w:pPr>
              <w:jc w:val="right"/>
              <w:rPr>
                <w:sz w:val="20"/>
              </w:rPr>
            </w:pPr>
            <w:r w:rsidRPr="00454966">
              <w:rPr>
                <w:sz w:val="20"/>
              </w:rPr>
              <w:t>7.05%</w:t>
            </w:r>
          </w:p>
        </w:tc>
        <w:tc>
          <w:tcPr>
            <w:tcW w:w="980" w:type="dxa"/>
            <w:tcBorders>
              <w:top w:val="nil"/>
              <w:left w:val="nil"/>
              <w:bottom w:val="nil"/>
              <w:right w:val="nil"/>
            </w:tcBorders>
            <w:shd w:val="clear" w:color="auto" w:fill="auto"/>
            <w:noWrap/>
            <w:vAlign w:val="bottom"/>
            <w:hideMark/>
          </w:tcPr>
          <w:p w14:paraId="7F0D2A97" w14:textId="77777777" w:rsidR="00454966" w:rsidRPr="00454966" w:rsidRDefault="00454966" w:rsidP="00454966">
            <w:pPr>
              <w:jc w:val="right"/>
              <w:rPr>
                <w:sz w:val="20"/>
              </w:rPr>
            </w:pPr>
            <w:r w:rsidRPr="00454966">
              <w:rPr>
                <w:sz w:val="20"/>
              </w:rPr>
              <w:t>7.05%</w:t>
            </w:r>
          </w:p>
        </w:tc>
        <w:tc>
          <w:tcPr>
            <w:tcW w:w="980" w:type="dxa"/>
            <w:tcBorders>
              <w:top w:val="nil"/>
              <w:left w:val="single" w:sz="4" w:space="0" w:color="auto"/>
              <w:bottom w:val="nil"/>
              <w:right w:val="single" w:sz="4" w:space="0" w:color="auto"/>
            </w:tcBorders>
            <w:shd w:val="clear" w:color="auto" w:fill="auto"/>
            <w:noWrap/>
            <w:vAlign w:val="bottom"/>
            <w:hideMark/>
          </w:tcPr>
          <w:p w14:paraId="3727EBE6" w14:textId="77777777" w:rsidR="00454966" w:rsidRPr="00454966" w:rsidRDefault="00454966" w:rsidP="00454966">
            <w:pPr>
              <w:jc w:val="right"/>
              <w:rPr>
                <w:sz w:val="20"/>
              </w:rPr>
            </w:pPr>
            <w:r w:rsidRPr="00454966">
              <w:rPr>
                <w:sz w:val="20"/>
              </w:rPr>
              <w:t>7.05%</w:t>
            </w:r>
          </w:p>
        </w:tc>
        <w:tc>
          <w:tcPr>
            <w:tcW w:w="980" w:type="dxa"/>
            <w:tcBorders>
              <w:top w:val="nil"/>
              <w:left w:val="nil"/>
              <w:bottom w:val="nil"/>
              <w:right w:val="single" w:sz="4" w:space="0" w:color="auto"/>
            </w:tcBorders>
            <w:shd w:val="clear" w:color="auto" w:fill="auto"/>
            <w:noWrap/>
            <w:vAlign w:val="bottom"/>
            <w:hideMark/>
          </w:tcPr>
          <w:p w14:paraId="1191B8F0" w14:textId="77777777" w:rsidR="00454966" w:rsidRPr="00454966" w:rsidRDefault="00454966" w:rsidP="00454966">
            <w:pPr>
              <w:jc w:val="right"/>
              <w:rPr>
                <w:sz w:val="20"/>
              </w:rPr>
            </w:pPr>
            <w:r w:rsidRPr="00454966">
              <w:rPr>
                <w:sz w:val="20"/>
              </w:rPr>
              <w:t>7.05%</w:t>
            </w:r>
          </w:p>
        </w:tc>
        <w:tc>
          <w:tcPr>
            <w:tcW w:w="980" w:type="dxa"/>
            <w:tcBorders>
              <w:top w:val="nil"/>
              <w:left w:val="nil"/>
              <w:bottom w:val="nil"/>
              <w:right w:val="single" w:sz="4" w:space="0" w:color="auto"/>
            </w:tcBorders>
            <w:shd w:val="clear" w:color="auto" w:fill="auto"/>
            <w:noWrap/>
            <w:vAlign w:val="bottom"/>
            <w:hideMark/>
          </w:tcPr>
          <w:p w14:paraId="1E70959F" w14:textId="77777777" w:rsidR="00454966" w:rsidRPr="00454966" w:rsidRDefault="00454966" w:rsidP="00454966">
            <w:pPr>
              <w:jc w:val="right"/>
              <w:rPr>
                <w:sz w:val="20"/>
              </w:rPr>
            </w:pPr>
            <w:r w:rsidRPr="00454966">
              <w:rPr>
                <w:sz w:val="20"/>
              </w:rPr>
              <w:t>5.30%</w:t>
            </w:r>
          </w:p>
        </w:tc>
      </w:tr>
      <w:tr w:rsidR="00454966" w:rsidRPr="00454966" w14:paraId="7D7F371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70F4CB1"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FDDC38" w14:textId="77777777" w:rsidR="00454966" w:rsidRPr="00454966" w:rsidRDefault="00454966" w:rsidP="00454966">
            <w:pPr>
              <w:jc w:val="right"/>
              <w:rPr>
                <w:sz w:val="20"/>
              </w:rPr>
            </w:pPr>
            <w:r w:rsidRPr="00454966">
              <w:rPr>
                <w:sz w:val="20"/>
              </w:rPr>
              <w:t>30,021</w:t>
            </w:r>
          </w:p>
        </w:tc>
        <w:tc>
          <w:tcPr>
            <w:tcW w:w="980" w:type="dxa"/>
            <w:tcBorders>
              <w:top w:val="nil"/>
              <w:left w:val="nil"/>
              <w:bottom w:val="single" w:sz="4" w:space="0" w:color="auto"/>
              <w:right w:val="single" w:sz="4" w:space="0" w:color="auto"/>
            </w:tcBorders>
            <w:shd w:val="clear" w:color="auto" w:fill="auto"/>
            <w:noWrap/>
            <w:vAlign w:val="bottom"/>
            <w:hideMark/>
          </w:tcPr>
          <w:p w14:paraId="65F639D7" w14:textId="77777777" w:rsidR="00454966" w:rsidRPr="00454966" w:rsidRDefault="00454966" w:rsidP="00454966">
            <w:pPr>
              <w:jc w:val="right"/>
              <w:rPr>
                <w:sz w:val="20"/>
              </w:rPr>
            </w:pPr>
            <w:r w:rsidRPr="00454966">
              <w:rPr>
                <w:sz w:val="20"/>
              </w:rPr>
              <w:t>5,214</w:t>
            </w:r>
          </w:p>
        </w:tc>
        <w:tc>
          <w:tcPr>
            <w:tcW w:w="980" w:type="dxa"/>
            <w:tcBorders>
              <w:top w:val="nil"/>
              <w:left w:val="nil"/>
              <w:bottom w:val="single" w:sz="4" w:space="0" w:color="auto"/>
              <w:right w:val="single" w:sz="4" w:space="0" w:color="auto"/>
            </w:tcBorders>
            <w:shd w:val="clear" w:color="auto" w:fill="auto"/>
            <w:noWrap/>
            <w:vAlign w:val="bottom"/>
            <w:hideMark/>
          </w:tcPr>
          <w:p w14:paraId="3215E3B8" w14:textId="77777777" w:rsidR="00454966" w:rsidRPr="00454966" w:rsidRDefault="00454966" w:rsidP="00454966">
            <w:pPr>
              <w:jc w:val="right"/>
              <w:rPr>
                <w:sz w:val="20"/>
              </w:rPr>
            </w:pPr>
            <w:r w:rsidRPr="00454966">
              <w:rPr>
                <w:sz w:val="20"/>
              </w:rPr>
              <w:t>3,159</w:t>
            </w:r>
          </w:p>
        </w:tc>
        <w:tc>
          <w:tcPr>
            <w:tcW w:w="980" w:type="dxa"/>
            <w:tcBorders>
              <w:top w:val="nil"/>
              <w:left w:val="nil"/>
              <w:bottom w:val="single" w:sz="4" w:space="0" w:color="auto"/>
              <w:right w:val="single" w:sz="4" w:space="0" w:color="auto"/>
            </w:tcBorders>
            <w:shd w:val="clear" w:color="auto" w:fill="auto"/>
            <w:noWrap/>
            <w:vAlign w:val="bottom"/>
            <w:hideMark/>
          </w:tcPr>
          <w:p w14:paraId="0CCDD1EE" w14:textId="77777777" w:rsidR="00454966" w:rsidRPr="00454966" w:rsidRDefault="00454966" w:rsidP="00454966">
            <w:pPr>
              <w:jc w:val="right"/>
              <w:rPr>
                <w:sz w:val="20"/>
              </w:rPr>
            </w:pPr>
            <w:r w:rsidRPr="00454966">
              <w:rPr>
                <w:sz w:val="20"/>
              </w:rPr>
              <w:t>2,708</w:t>
            </w:r>
          </w:p>
        </w:tc>
        <w:tc>
          <w:tcPr>
            <w:tcW w:w="980" w:type="dxa"/>
            <w:tcBorders>
              <w:top w:val="nil"/>
              <w:left w:val="nil"/>
              <w:bottom w:val="single" w:sz="4" w:space="0" w:color="auto"/>
              <w:right w:val="single" w:sz="4" w:space="0" w:color="auto"/>
            </w:tcBorders>
            <w:shd w:val="clear" w:color="auto" w:fill="auto"/>
            <w:noWrap/>
            <w:vAlign w:val="bottom"/>
            <w:hideMark/>
          </w:tcPr>
          <w:p w14:paraId="4EFB40E5" w14:textId="77777777" w:rsidR="00454966" w:rsidRPr="00454966" w:rsidRDefault="00454966" w:rsidP="00454966">
            <w:pPr>
              <w:jc w:val="right"/>
              <w:rPr>
                <w:sz w:val="20"/>
              </w:rPr>
            </w:pPr>
            <w:r w:rsidRPr="00454966">
              <w:rPr>
                <w:sz w:val="20"/>
              </w:rPr>
              <w:t>160</w:t>
            </w:r>
          </w:p>
        </w:tc>
        <w:tc>
          <w:tcPr>
            <w:tcW w:w="980" w:type="dxa"/>
            <w:tcBorders>
              <w:top w:val="nil"/>
              <w:left w:val="nil"/>
              <w:bottom w:val="single" w:sz="4" w:space="0" w:color="auto"/>
              <w:right w:val="single" w:sz="4" w:space="0" w:color="auto"/>
            </w:tcBorders>
            <w:shd w:val="clear" w:color="auto" w:fill="auto"/>
            <w:noWrap/>
            <w:vAlign w:val="bottom"/>
            <w:hideMark/>
          </w:tcPr>
          <w:p w14:paraId="17F57C31" w14:textId="77777777" w:rsidR="00454966" w:rsidRPr="00454966" w:rsidRDefault="00454966" w:rsidP="00454966">
            <w:pPr>
              <w:jc w:val="right"/>
              <w:rPr>
                <w:sz w:val="20"/>
              </w:rPr>
            </w:pPr>
            <w:r w:rsidRPr="00454966">
              <w:rPr>
                <w:sz w:val="20"/>
              </w:rPr>
              <w:t>292</w:t>
            </w:r>
          </w:p>
        </w:tc>
        <w:tc>
          <w:tcPr>
            <w:tcW w:w="980" w:type="dxa"/>
            <w:tcBorders>
              <w:top w:val="nil"/>
              <w:left w:val="nil"/>
              <w:bottom w:val="single" w:sz="4" w:space="0" w:color="auto"/>
              <w:right w:val="single" w:sz="4" w:space="0" w:color="auto"/>
            </w:tcBorders>
            <w:shd w:val="clear" w:color="auto" w:fill="auto"/>
            <w:noWrap/>
            <w:vAlign w:val="bottom"/>
            <w:hideMark/>
          </w:tcPr>
          <w:p w14:paraId="3FAA25F6" w14:textId="77777777" w:rsidR="00454966" w:rsidRPr="00454966" w:rsidRDefault="00454966" w:rsidP="00454966">
            <w:pPr>
              <w:jc w:val="right"/>
              <w:rPr>
                <w:sz w:val="20"/>
              </w:rPr>
            </w:pPr>
            <w:r w:rsidRPr="00454966">
              <w:rPr>
                <w:sz w:val="20"/>
              </w:rPr>
              <w:t>1,992</w:t>
            </w:r>
          </w:p>
        </w:tc>
      </w:tr>
      <w:tr w:rsidR="00454966" w:rsidRPr="00454966" w14:paraId="4A2D51E4"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14725131" w14:textId="4D9AB84C"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00A18FCF"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5116A4DB"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6CBF4949"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16B7820"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12EC07D2"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3F4AC81"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C8A8C18" w14:textId="77777777" w:rsidR="00454966" w:rsidRPr="00454966" w:rsidRDefault="00454966" w:rsidP="00454966">
            <w:pPr>
              <w:rPr>
                <w:sz w:val="20"/>
              </w:rPr>
            </w:pPr>
            <w:r w:rsidRPr="00454966">
              <w:rPr>
                <w:sz w:val="20"/>
              </w:rPr>
              <w:t> </w:t>
            </w:r>
          </w:p>
        </w:tc>
      </w:tr>
      <w:tr w:rsidR="00454966" w:rsidRPr="00454966" w14:paraId="5ECE30C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7AB7FD4"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953C65A"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3DED3879"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509C4243"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15A6E90C"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3F4729A2"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2814EF24"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4626EFE6" w14:textId="77777777" w:rsidR="00454966" w:rsidRPr="00454966" w:rsidRDefault="00454966" w:rsidP="00454966">
            <w:pPr>
              <w:jc w:val="right"/>
              <w:rPr>
                <w:sz w:val="20"/>
              </w:rPr>
            </w:pPr>
            <w:r w:rsidRPr="00454966">
              <w:rPr>
                <w:sz w:val="20"/>
              </w:rPr>
              <w:t>299,579</w:t>
            </w:r>
          </w:p>
        </w:tc>
      </w:tr>
      <w:tr w:rsidR="00454966" w:rsidRPr="00454966" w14:paraId="57702CB6"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7315307"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2A4AF123" w14:textId="77777777" w:rsidR="00454966" w:rsidRPr="00454966" w:rsidRDefault="00454966" w:rsidP="00454966">
            <w:pPr>
              <w:jc w:val="right"/>
              <w:rPr>
                <w:sz w:val="20"/>
              </w:rPr>
            </w:pPr>
            <w:r w:rsidRPr="00454966">
              <w:rPr>
                <w:sz w:val="20"/>
              </w:rPr>
              <w:t>1.81%</w:t>
            </w:r>
          </w:p>
        </w:tc>
        <w:tc>
          <w:tcPr>
            <w:tcW w:w="980" w:type="dxa"/>
            <w:tcBorders>
              <w:top w:val="nil"/>
              <w:left w:val="nil"/>
              <w:bottom w:val="nil"/>
              <w:right w:val="single" w:sz="4" w:space="0" w:color="auto"/>
            </w:tcBorders>
            <w:shd w:val="clear" w:color="auto" w:fill="auto"/>
            <w:noWrap/>
            <w:vAlign w:val="bottom"/>
            <w:hideMark/>
          </w:tcPr>
          <w:p w14:paraId="18118B08" w14:textId="77777777" w:rsidR="00454966" w:rsidRPr="00454966" w:rsidRDefault="00454966" w:rsidP="00454966">
            <w:pPr>
              <w:jc w:val="right"/>
              <w:rPr>
                <w:sz w:val="20"/>
              </w:rPr>
            </w:pPr>
            <w:r w:rsidRPr="00454966">
              <w:rPr>
                <w:sz w:val="20"/>
              </w:rPr>
              <w:t>2.12%</w:t>
            </w:r>
          </w:p>
        </w:tc>
        <w:tc>
          <w:tcPr>
            <w:tcW w:w="980" w:type="dxa"/>
            <w:tcBorders>
              <w:top w:val="nil"/>
              <w:left w:val="nil"/>
              <w:bottom w:val="nil"/>
              <w:right w:val="single" w:sz="4" w:space="0" w:color="auto"/>
            </w:tcBorders>
            <w:shd w:val="clear" w:color="auto" w:fill="auto"/>
            <w:noWrap/>
            <w:vAlign w:val="bottom"/>
            <w:hideMark/>
          </w:tcPr>
          <w:p w14:paraId="740F7809" w14:textId="77777777" w:rsidR="00454966" w:rsidRPr="00454966" w:rsidRDefault="00454966" w:rsidP="00454966">
            <w:pPr>
              <w:jc w:val="right"/>
              <w:rPr>
                <w:sz w:val="20"/>
              </w:rPr>
            </w:pPr>
            <w:r w:rsidRPr="00454966">
              <w:rPr>
                <w:sz w:val="20"/>
              </w:rPr>
              <w:t>2.48%</w:t>
            </w:r>
          </w:p>
        </w:tc>
        <w:tc>
          <w:tcPr>
            <w:tcW w:w="980" w:type="dxa"/>
            <w:tcBorders>
              <w:top w:val="nil"/>
              <w:left w:val="nil"/>
              <w:bottom w:val="nil"/>
              <w:right w:val="nil"/>
            </w:tcBorders>
            <w:shd w:val="clear" w:color="auto" w:fill="auto"/>
            <w:noWrap/>
            <w:vAlign w:val="bottom"/>
            <w:hideMark/>
          </w:tcPr>
          <w:p w14:paraId="107CF213" w14:textId="77777777" w:rsidR="00454966" w:rsidRPr="00454966" w:rsidRDefault="00454966" w:rsidP="00454966">
            <w:pPr>
              <w:jc w:val="right"/>
              <w:rPr>
                <w:sz w:val="20"/>
              </w:rPr>
            </w:pPr>
            <w:r w:rsidRPr="00454966">
              <w:rPr>
                <w:sz w:val="20"/>
              </w:rPr>
              <w:t>2.48%</w:t>
            </w:r>
          </w:p>
        </w:tc>
        <w:tc>
          <w:tcPr>
            <w:tcW w:w="980" w:type="dxa"/>
            <w:tcBorders>
              <w:top w:val="nil"/>
              <w:left w:val="single" w:sz="4" w:space="0" w:color="auto"/>
              <w:bottom w:val="nil"/>
              <w:right w:val="single" w:sz="4" w:space="0" w:color="auto"/>
            </w:tcBorders>
            <w:shd w:val="clear" w:color="auto" w:fill="auto"/>
            <w:noWrap/>
            <w:vAlign w:val="bottom"/>
            <w:hideMark/>
          </w:tcPr>
          <w:p w14:paraId="245F7FAC" w14:textId="77777777" w:rsidR="00454966" w:rsidRPr="00454966" w:rsidRDefault="00454966" w:rsidP="00454966">
            <w:pPr>
              <w:jc w:val="right"/>
              <w:rPr>
                <w:sz w:val="20"/>
              </w:rPr>
            </w:pPr>
            <w:r w:rsidRPr="00454966">
              <w:rPr>
                <w:sz w:val="20"/>
              </w:rPr>
              <w:t>2.48%</w:t>
            </w:r>
          </w:p>
        </w:tc>
        <w:tc>
          <w:tcPr>
            <w:tcW w:w="980" w:type="dxa"/>
            <w:tcBorders>
              <w:top w:val="nil"/>
              <w:left w:val="nil"/>
              <w:bottom w:val="nil"/>
              <w:right w:val="single" w:sz="4" w:space="0" w:color="auto"/>
            </w:tcBorders>
            <w:shd w:val="clear" w:color="auto" w:fill="auto"/>
            <w:noWrap/>
            <w:vAlign w:val="bottom"/>
            <w:hideMark/>
          </w:tcPr>
          <w:p w14:paraId="7EB1A8DF" w14:textId="77777777" w:rsidR="00454966" w:rsidRPr="00454966" w:rsidRDefault="00454966" w:rsidP="00454966">
            <w:pPr>
              <w:jc w:val="right"/>
              <w:rPr>
                <w:sz w:val="20"/>
              </w:rPr>
            </w:pPr>
            <w:r w:rsidRPr="00454966">
              <w:rPr>
                <w:sz w:val="20"/>
              </w:rPr>
              <w:t>2.48%</w:t>
            </w:r>
          </w:p>
        </w:tc>
        <w:tc>
          <w:tcPr>
            <w:tcW w:w="980" w:type="dxa"/>
            <w:tcBorders>
              <w:top w:val="nil"/>
              <w:left w:val="nil"/>
              <w:bottom w:val="nil"/>
              <w:right w:val="single" w:sz="4" w:space="0" w:color="auto"/>
            </w:tcBorders>
            <w:shd w:val="clear" w:color="auto" w:fill="auto"/>
            <w:noWrap/>
            <w:vAlign w:val="bottom"/>
            <w:hideMark/>
          </w:tcPr>
          <w:p w14:paraId="00A8667B" w14:textId="77777777" w:rsidR="00454966" w:rsidRPr="00454966" w:rsidRDefault="00454966" w:rsidP="00454966">
            <w:pPr>
              <w:jc w:val="right"/>
              <w:rPr>
                <w:sz w:val="20"/>
              </w:rPr>
            </w:pPr>
            <w:r w:rsidRPr="00454966">
              <w:rPr>
                <w:sz w:val="20"/>
              </w:rPr>
              <w:t>1.72%</w:t>
            </w:r>
          </w:p>
        </w:tc>
      </w:tr>
      <w:tr w:rsidR="00454966" w:rsidRPr="00454966" w14:paraId="38E0CC10"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05702C85"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B68A68F" w14:textId="77777777" w:rsidR="00454966" w:rsidRPr="00454966" w:rsidRDefault="00454966" w:rsidP="00454966">
            <w:pPr>
              <w:jc w:val="right"/>
              <w:rPr>
                <w:sz w:val="20"/>
              </w:rPr>
            </w:pPr>
            <w:r w:rsidRPr="00454966">
              <w:rPr>
                <w:sz w:val="20"/>
              </w:rPr>
              <w:t>55,786</w:t>
            </w:r>
          </w:p>
        </w:tc>
        <w:tc>
          <w:tcPr>
            <w:tcW w:w="980" w:type="dxa"/>
            <w:tcBorders>
              <w:top w:val="nil"/>
              <w:left w:val="nil"/>
              <w:bottom w:val="single" w:sz="4" w:space="0" w:color="auto"/>
              <w:right w:val="single" w:sz="4" w:space="0" w:color="auto"/>
            </w:tcBorders>
            <w:shd w:val="clear" w:color="auto" w:fill="auto"/>
            <w:noWrap/>
            <w:vAlign w:val="bottom"/>
            <w:hideMark/>
          </w:tcPr>
          <w:p w14:paraId="38CA974A" w14:textId="77777777" w:rsidR="00454966" w:rsidRPr="00454966" w:rsidRDefault="00454966" w:rsidP="00454966">
            <w:pPr>
              <w:jc w:val="right"/>
              <w:rPr>
                <w:sz w:val="20"/>
              </w:rPr>
            </w:pPr>
            <w:r w:rsidRPr="00454966">
              <w:rPr>
                <w:sz w:val="20"/>
              </w:rPr>
              <w:t>13,146</w:t>
            </w:r>
          </w:p>
        </w:tc>
        <w:tc>
          <w:tcPr>
            <w:tcW w:w="980" w:type="dxa"/>
            <w:tcBorders>
              <w:top w:val="nil"/>
              <w:left w:val="nil"/>
              <w:bottom w:val="single" w:sz="4" w:space="0" w:color="auto"/>
              <w:right w:val="single" w:sz="4" w:space="0" w:color="auto"/>
            </w:tcBorders>
            <w:shd w:val="clear" w:color="auto" w:fill="auto"/>
            <w:noWrap/>
            <w:vAlign w:val="bottom"/>
            <w:hideMark/>
          </w:tcPr>
          <w:p w14:paraId="4F1AB578" w14:textId="77777777" w:rsidR="00454966" w:rsidRPr="00454966" w:rsidRDefault="00454966" w:rsidP="00454966">
            <w:pPr>
              <w:jc w:val="right"/>
              <w:rPr>
                <w:sz w:val="20"/>
              </w:rPr>
            </w:pPr>
            <w:r w:rsidRPr="00454966">
              <w:rPr>
                <w:sz w:val="20"/>
              </w:rPr>
              <w:t>7,938</w:t>
            </w:r>
          </w:p>
        </w:tc>
        <w:tc>
          <w:tcPr>
            <w:tcW w:w="980" w:type="dxa"/>
            <w:tcBorders>
              <w:top w:val="nil"/>
              <w:left w:val="nil"/>
              <w:bottom w:val="single" w:sz="4" w:space="0" w:color="auto"/>
              <w:right w:val="single" w:sz="4" w:space="0" w:color="auto"/>
            </w:tcBorders>
            <w:shd w:val="clear" w:color="auto" w:fill="auto"/>
            <w:noWrap/>
            <w:vAlign w:val="bottom"/>
            <w:hideMark/>
          </w:tcPr>
          <w:p w14:paraId="4EB0904A" w14:textId="77777777" w:rsidR="00454966" w:rsidRPr="00454966" w:rsidRDefault="00454966" w:rsidP="00454966">
            <w:pPr>
              <w:jc w:val="right"/>
              <w:rPr>
                <w:sz w:val="20"/>
              </w:rPr>
            </w:pPr>
            <w:r w:rsidRPr="00454966">
              <w:rPr>
                <w:sz w:val="20"/>
              </w:rPr>
              <w:t>6,808</w:t>
            </w:r>
          </w:p>
        </w:tc>
        <w:tc>
          <w:tcPr>
            <w:tcW w:w="980" w:type="dxa"/>
            <w:tcBorders>
              <w:top w:val="nil"/>
              <w:left w:val="nil"/>
              <w:bottom w:val="single" w:sz="4" w:space="0" w:color="auto"/>
              <w:right w:val="single" w:sz="4" w:space="0" w:color="auto"/>
            </w:tcBorders>
            <w:shd w:val="clear" w:color="auto" w:fill="auto"/>
            <w:noWrap/>
            <w:vAlign w:val="bottom"/>
            <w:hideMark/>
          </w:tcPr>
          <w:p w14:paraId="669C3C99" w14:textId="77777777" w:rsidR="00454966" w:rsidRPr="00454966" w:rsidRDefault="00454966" w:rsidP="00454966">
            <w:pPr>
              <w:jc w:val="right"/>
              <w:rPr>
                <w:sz w:val="20"/>
              </w:rPr>
            </w:pPr>
            <w:r w:rsidRPr="00454966">
              <w:rPr>
                <w:sz w:val="20"/>
              </w:rPr>
              <w:t>371</w:t>
            </w:r>
          </w:p>
        </w:tc>
        <w:tc>
          <w:tcPr>
            <w:tcW w:w="980" w:type="dxa"/>
            <w:tcBorders>
              <w:top w:val="nil"/>
              <w:left w:val="nil"/>
              <w:bottom w:val="single" w:sz="4" w:space="0" w:color="auto"/>
              <w:right w:val="single" w:sz="4" w:space="0" w:color="auto"/>
            </w:tcBorders>
            <w:shd w:val="clear" w:color="auto" w:fill="auto"/>
            <w:noWrap/>
            <w:vAlign w:val="bottom"/>
            <w:hideMark/>
          </w:tcPr>
          <w:p w14:paraId="12CDB1FF" w14:textId="77777777" w:rsidR="00454966" w:rsidRPr="00454966" w:rsidRDefault="00454966" w:rsidP="00454966">
            <w:pPr>
              <w:jc w:val="right"/>
              <w:rPr>
                <w:sz w:val="20"/>
              </w:rPr>
            </w:pPr>
            <w:r w:rsidRPr="00454966">
              <w:rPr>
                <w:sz w:val="20"/>
              </w:rPr>
              <w:t>759</w:t>
            </w:r>
          </w:p>
        </w:tc>
        <w:tc>
          <w:tcPr>
            <w:tcW w:w="980" w:type="dxa"/>
            <w:tcBorders>
              <w:top w:val="nil"/>
              <w:left w:val="nil"/>
              <w:bottom w:val="single" w:sz="4" w:space="0" w:color="auto"/>
              <w:right w:val="single" w:sz="4" w:space="0" w:color="auto"/>
            </w:tcBorders>
            <w:shd w:val="clear" w:color="auto" w:fill="auto"/>
            <w:noWrap/>
            <w:vAlign w:val="bottom"/>
            <w:hideMark/>
          </w:tcPr>
          <w:p w14:paraId="78323323" w14:textId="77777777" w:rsidR="00454966" w:rsidRPr="00454966" w:rsidRDefault="00454966" w:rsidP="00454966">
            <w:pPr>
              <w:jc w:val="right"/>
              <w:rPr>
                <w:sz w:val="20"/>
              </w:rPr>
            </w:pPr>
            <w:r w:rsidRPr="00454966">
              <w:rPr>
                <w:sz w:val="20"/>
              </w:rPr>
              <w:t>5,150</w:t>
            </w:r>
          </w:p>
        </w:tc>
      </w:tr>
      <w:tr w:rsidR="00454966" w:rsidRPr="00454966" w14:paraId="427FE53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3014F84"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04543C4B"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E99CBB5"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D28BD03"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7EE80942"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6B81BC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00E1289"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6E9CD90" w14:textId="77777777" w:rsidR="00454966" w:rsidRPr="00454966" w:rsidRDefault="00454966" w:rsidP="00454966">
            <w:pPr>
              <w:rPr>
                <w:sz w:val="20"/>
              </w:rPr>
            </w:pPr>
            <w:r w:rsidRPr="00454966">
              <w:rPr>
                <w:sz w:val="20"/>
              </w:rPr>
              <w:t> </w:t>
            </w:r>
          </w:p>
        </w:tc>
      </w:tr>
      <w:tr w:rsidR="00454966" w:rsidRPr="00454966" w14:paraId="33593BD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F88E5D7"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1E63CCE"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78B75A30"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2D0BDBDA"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3AFE00B4"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3D6DD04F"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38DD3526"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194CD377" w14:textId="77777777" w:rsidR="00454966" w:rsidRPr="00454966" w:rsidRDefault="00454966" w:rsidP="00454966">
            <w:pPr>
              <w:jc w:val="right"/>
              <w:rPr>
                <w:sz w:val="20"/>
              </w:rPr>
            </w:pPr>
            <w:r w:rsidRPr="00454966">
              <w:rPr>
                <w:sz w:val="20"/>
              </w:rPr>
              <w:t>337,196</w:t>
            </w:r>
          </w:p>
        </w:tc>
      </w:tr>
      <w:tr w:rsidR="00454966" w:rsidRPr="00454966" w14:paraId="4CBD59A0"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159AF7B"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68ADA546" w14:textId="77777777" w:rsidR="00454966" w:rsidRPr="00454966" w:rsidRDefault="00454966" w:rsidP="00454966">
            <w:pPr>
              <w:jc w:val="right"/>
              <w:rPr>
                <w:sz w:val="20"/>
              </w:rPr>
            </w:pPr>
            <w:r w:rsidRPr="00454966">
              <w:rPr>
                <w:sz w:val="20"/>
              </w:rPr>
              <w:t>2.43%</w:t>
            </w:r>
          </w:p>
        </w:tc>
        <w:tc>
          <w:tcPr>
            <w:tcW w:w="980" w:type="dxa"/>
            <w:tcBorders>
              <w:top w:val="nil"/>
              <w:left w:val="nil"/>
              <w:bottom w:val="nil"/>
              <w:right w:val="single" w:sz="4" w:space="0" w:color="auto"/>
            </w:tcBorders>
            <w:shd w:val="clear" w:color="auto" w:fill="auto"/>
            <w:noWrap/>
            <w:vAlign w:val="bottom"/>
            <w:hideMark/>
          </w:tcPr>
          <w:p w14:paraId="68AA52FC" w14:textId="77777777" w:rsidR="00454966" w:rsidRPr="00454966" w:rsidRDefault="00454966" w:rsidP="00454966">
            <w:pPr>
              <w:jc w:val="right"/>
              <w:rPr>
                <w:sz w:val="20"/>
              </w:rPr>
            </w:pPr>
            <w:r w:rsidRPr="00454966">
              <w:rPr>
                <w:sz w:val="20"/>
              </w:rPr>
              <w:t>2.66%</w:t>
            </w:r>
          </w:p>
        </w:tc>
        <w:tc>
          <w:tcPr>
            <w:tcW w:w="980" w:type="dxa"/>
            <w:tcBorders>
              <w:top w:val="nil"/>
              <w:left w:val="nil"/>
              <w:bottom w:val="nil"/>
              <w:right w:val="single" w:sz="4" w:space="0" w:color="auto"/>
            </w:tcBorders>
            <w:shd w:val="clear" w:color="auto" w:fill="auto"/>
            <w:noWrap/>
            <w:vAlign w:val="bottom"/>
            <w:hideMark/>
          </w:tcPr>
          <w:p w14:paraId="693E69B5" w14:textId="77777777" w:rsidR="00454966" w:rsidRPr="00454966" w:rsidRDefault="00454966" w:rsidP="00454966">
            <w:pPr>
              <w:jc w:val="right"/>
              <w:rPr>
                <w:sz w:val="20"/>
              </w:rPr>
            </w:pPr>
            <w:r w:rsidRPr="00454966">
              <w:rPr>
                <w:sz w:val="20"/>
              </w:rPr>
              <w:t>3.12%</w:t>
            </w:r>
          </w:p>
        </w:tc>
        <w:tc>
          <w:tcPr>
            <w:tcW w:w="980" w:type="dxa"/>
            <w:tcBorders>
              <w:top w:val="nil"/>
              <w:left w:val="nil"/>
              <w:bottom w:val="nil"/>
              <w:right w:val="nil"/>
            </w:tcBorders>
            <w:shd w:val="clear" w:color="auto" w:fill="auto"/>
            <w:noWrap/>
            <w:vAlign w:val="bottom"/>
            <w:hideMark/>
          </w:tcPr>
          <w:p w14:paraId="1A6A2EA1" w14:textId="77777777" w:rsidR="00454966" w:rsidRPr="00454966" w:rsidRDefault="00454966" w:rsidP="00454966">
            <w:pPr>
              <w:jc w:val="right"/>
              <w:rPr>
                <w:sz w:val="20"/>
              </w:rPr>
            </w:pPr>
            <w:r w:rsidRPr="00454966">
              <w:rPr>
                <w:sz w:val="20"/>
              </w:rPr>
              <w:t>3.12%</w:t>
            </w:r>
          </w:p>
        </w:tc>
        <w:tc>
          <w:tcPr>
            <w:tcW w:w="980" w:type="dxa"/>
            <w:tcBorders>
              <w:top w:val="nil"/>
              <w:left w:val="single" w:sz="4" w:space="0" w:color="auto"/>
              <w:bottom w:val="nil"/>
              <w:right w:val="single" w:sz="4" w:space="0" w:color="auto"/>
            </w:tcBorders>
            <w:shd w:val="clear" w:color="auto" w:fill="auto"/>
            <w:noWrap/>
            <w:vAlign w:val="bottom"/>
            <w:hideMark/>
          </w:tcPr>
          <w:p w14:paraId="768BA336" w14:textId="77777777" w:rsidR="00454966" w:rsidRPr="00454966" w:rsidRDefault="00454966" w:rsidP="00454966">
            <w:pPr>
              <w:jc w:val="right"/>
              <w:rPr>
                <w:sz w:val="20"/>
              </w:rPr>
            </w:pPr>
            <w:r w:rsidRPr="00454966">
              <w:rPr>
                <w:sz w:val="20"/>
              </w:rPr>
              <w:t>3.12%</w:t>
            </w:r>
          </w:p>
        </w:tc>
        <w:tc>
          <w:tcPr>
            <w:tcW w:w="980" w:type="dxa"/>
            <w:tcBorders>
              <w:top w:val="nil"/>
              <w:left w:val="nil"/>
              <w:bottom w:val="nil"/>
              <w:right w:val="single" w:sz="4" w:space="0" w:color="auto"/>
            </w:tcBorders>
            <w:shd w:val="clear" w:color="auto" w:fill="auto"/>
            <w:noWrap/>
            <w:vAlign w:val="bottom"/>
            <w:hideMark/>
          </w:tcPr>
          <w:p w14:paraId="66014ED1" w14:textId="77777777" w:rsidR="00454966" w:rsidRPr="00454966" w:rsidRDefault="00454966" w:rsidP="00454966">
            <w:pPr>
              <w:jc w:val="right"/>
              <w:rPr>
                <w:sz w:val="20"/>
              </w:rPr>
            </w:pPr>
            <w:r w:rsidRPr="00454966">
              <w:rPr>
                <w:sz w:val="20"/>
              </w:rPr>
              <w:t>3.12%</w:t>
            </w:r>
          </w:p>
        </w:tc>
        <w:tc>
          <w:tcPr>
            <w:tcW w:w="980" w:type="dxa"/>
            <w:tcBorders>
              <w:top w:val="nil"/>
              <w:left w:val="nil"/>
              <w:bottom w:val="nil"/>
              <w:right w:val="single" w:sz="4" w:space="0" w:color="auto"/>
            </w:tcBorders>
            <w:shd w:val="clear" w:color="auto" w:fill="auto"/>
            <w:noWrap/>
            <w:vAlign w:val="bottom"/>
            <w:hideMark/>
          </w:tcPr>
          <w:p w14:paraId="5B39A009" w14:textId="77777777" w:rsidR="00454966" w:rsidRPr="00454966" w:rsidRDefault="00454966" w:rsidP="00454966">
            <w:pPr>
              <w:jc w:val="right"/>
              <w:rPr>
                <w:sz w:val="20"/>
              </w:rPr>
            </w:pPr>
            <w:r w:rsidRPr="00454966">
              <w:rPr>
                <w:sz w:val="20"/>
              </w:rPr>
              <w:t>2.13%</w:t>
            </w:r>
          </w:p>
        </w:tc>
      </w:tr>
      <w:tr w:rsidR="00454966" w:rsidRPr="00454966" w14:paraId="62CF06B5"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7243F98"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4A87658" w14:textId="77777777" w:rsidR="00454966" w:rsidRPr="00454966" w:rsidRDefault="00454966" w:rsidP="00454966">
            <w:pPr>
              <w:jc w:val="right"/>
              <w:rPr>
                <w:sz w:val="20"/>
              </w:rPr>
            </w:pPr>
            <w:r w:rsidRPr="00454966">
              <w:rPr>
                <w:sz w:val="20"/>
              </w:rPr>
              <w:t>86,446</w:t>
            </w:r>
          </w:p>
        </w:tc>
        <w:tc>
          <w:tcPr>
            <w:tcW w:w="980" w:type="dxa"/>
            <w:tcBorders>
              <w:top w:val="nil"/>
              <w:left w:val="nil"/>
              <w:bottom w:val="single" w:sz="4" w:space="0" w:color="auto"/>
              <w:right w:val="single" w:sz="4" w:space="0" w:color="auto"/>
            </w:tcBorders>
            <w:shd w:val="clear" w:color="auto" w:fill="auto"/>
            <w:noWrap/>
            <w:vAlign w:val="bottom"/>
            <w:hideMark/>
          </w:tcPr>
          <w:p w14:paraId="2DD0FCCA" w14:textId="77777777" w:rsidR="00454966" w:rsidRPr="00454966" w:rsidRDefault="00454966" w:rsidP="00454966">
            <w:pPr>
              <w:jc w:val="right"/>
              <w:rPr>
                <w:sz w:val="20"/>
              </w:rPr>
            </w:pPr>
            <w:r w:rsidRPr="00454966">
              <w:rPr>
                <w:sz w:val="20"/>
              </w:rPr>
              <w:t>18,682</w:t>
            </w:r>
          </w:p>
        </w:tc>
        <w:tc>
          <w:tcPr>
            <w:tcW w:w="980" w:type="dxa"/>
            <w:tcBorders>
              <w:top w:val="nil"/>
              <w:left w:val="nil"/>
              <w:bottom w:val="single" w:sz="4" w:space="0" w:color="auto"/>
              <w:right w:val="single" w:sz="4" w:space="0" w:color="auto"/>
            </w:tcBorders>
            <w:shd w:val="clear" w:color="auto" w:fill="auto"/>
            <w:noWrap/>
            <w:vAlign w:val="bottom"/>
            <w:hideMark/>
          </w:tcPr>
          <w:p w14:paraId="457E9DA9" w14:textId="77777777" w:rsidR="00454966" w:rsidRPr="00454966" w:rsidRDefault="00454966" w:rsidP="00454966">
            <w:pPr>
              <w:jc w:val="right"/>
              <w:rPr>
                <w:sz w:val="20"/>
              </w:rPr>
            </w:pPr>
            <w:r w:rsidRPr="00454966">
              <w:rPr>
                <w:sz w:val="20"/>
              </w:rPr>
              <w:t>11,385</w:t>
            </w:r>
          </w:p>
        </w:tc>
        <w:tc>
          <w:tcPr>
            <w:tcW w:w="980" w:type="dxa"/>
            <w:tcBorders>
              <w:top w:val="nil"/>
              <w:left w:val="nil"/>
              <w:bottom w:val="single" w:sz="4" w:space="0" w:color="auto"/>
              <w:right w:val="single" w:sz="4" w:space="0" w:color="auto"/>
            </w:tcBorders>
            <w:shd w:val="clear" w:color="auto" w:fill="auto"/>
            <w:noWrap/>
            <w:vAlign w:val="bottom"/>
            <w:hideMark/>
          </w:tcPr>
          <w:p w14:paraId="257332CA" w14:textId="77777777" w:rsidR="00454966" w:rsidRPr="00454966" w:rsidRDefault="00454966" w:rsidP="00454966">
            <w:pPr>
              <w:jc w:val="right"/>
              <w:rPr>
                <w:sz w:val="20"/>
              </w:rPr>
            </w:pPr>
            <w:r w:rsidRPr="00454966">
              <w:rPr>
                <w:sz w:val="20"/>
              </w:rPr>
              <w:t>9,763</w:t>
            </w:r>
          </w:p>
        </w:tc>
        <w:tc>
          <w:tcPr>
            <w:tcW w:w="980" w:type="dxa"/>
            <w:tcBorders>
              <w:top w:val="nil"/>
              <w:left w:val="nil"/>
              <w:bottom w:val="single" w:sz="4" w:space="0" w:color="auto"/>
              <w:right w:val="single" w:sz="4" w:space="0" w:color="auto"/>
            </w:tcBorders>
            <w:shd w:val="clear" w:color="auto" w:fill="auto"/>
            <w:noWrap/>
            <w:vAlign w:val="bottom"/>
            <w:hideMark/>
          </w:tcPr>
          <w:p w14:paraId="4F70336B" w14:textId="77777777" w:rsidR="00454966" w:rsidRPr="00454966" w:rsidRDefault="00454966" w:rsidP="00454966">
            <w:pPr>
              <w:jc w:val="right"/>
              <w:rPr>
                <w:sz w:val="20"/>
              </w:rPr>
            </w:pPr>
            <w:r w:rsidRPr="00454966">
              <w:rPr>
                <w:sz w:val="20"/>
              </w:rPr>
              <w:t>537</w:t>
            </w:r>
          </w:p>
        </w:tc>
        <w:tc>
          <w:tcPr>
            <w:tcW w:w="980" w:type="dxa"/>
            <w:tcBorders>
              <w:top w:val="nil"/>
              <w:left w:val="nil"/>
              <w:bottom w:val="single" w:sz="4" w:space="0" w:color="auto"/>
              <w:right w:val="single" w:sz="4" w:space="0" w:color="auto"/>
            </w:tcBorders>
            <w:shd w:val="clear" w:color="auto" w:fill="auto"/>
            <w:noWrap/>
            <w:vAlign w:val="bottom"/>
            <w:hideMark/>
          </w:tcPr>
          <w:p w14:paraId="1E716704" w14:textId="77777777" w:rsidR="00454966" w:rsidRPr="00454966" w:rsidRDefault="00454966" w:rsidP="00454966">
            <w:pPr>
              <w:jc w:val="right"/>
              <w:rPr>
                <w:sz w:val="20"/>
              </w:rPr>
            </w:pPr>
            <w:r w:rsidRPr="00454966">
              <w:rPr>
                <w:sz w:val="20"/>
              </w:rPr>
              <w:t>1,084</w:t>
            </w:r>
          </w:p>
        </w:tc>
        <w:tc>
          <w:tcPr>
            <w:tcW w:w="980" w:type="dxa"/>
            <w:tcBorders>
              <w:top w:val="nil"/>
              <w:left w:val="nil"/>
              <w:bottom w:val="single" w:sz="4" w:space="0" w:color="auto"/>
              <w:right w:val="single" w:sz="4" w:space="0" w:color="auto"/>
            </w:tcBorders>
            <w:shd w:val="clear" w:color="auto" w:fill="auto"/>
            <w:noWrap/>
            <w:vAlign w:val="bottom"/>
            <w:hideMark/>
          </w:tcPr>
          <w:p w14:paraId="7F89C171" w14:textId="77777777" w:rsidR="00454966" w:rsidRPr="00454966" w:rsidRDefault="00454966" w:rsidP="00454966">
            <w:pPr>
              <w:jc w:val="right"/>
              <w:rPr>
                <w:sz w:val="20"/>
              </w:rPr>
            </w:pPr>
            <w:r w:rsidRPr="00454966">
              <w:rPr>
                <w:sz w:val="20"/>
              </w:rPr>
              <w:t>7,182</w:t>
            </w:r>
          </w:p>
        </w:tc>
      </w:tr>
      <w:tr w:rsidR="00454966" w:rsidRPr="00454966" w14:paraId="4F986CDF" w14:textId="77777777" w:rsidTr="00BF315B">
        <w:trPr>
          <w:trHeight w:val="944"/>
        </w:trPr>
        <w:tc>
          <w:tcPr>
            <w:tcW w:w="8980" w:type="dxa"/>
            <w:gridSpan w:val="8"/>
            <w:tcBorders>
              <w:top w:val="single" w:sz="4" w:space="0" w:color="auto"/>
              <w:left w:val="nil"/>
              <w:bottom w:val="nil"/>
              <w:right w:val="nil"/>
            </w:tcBorders>
            <w:shd w:val="clear" w:color="auto" w:fill="auto"/>
            <w:vAlign w:val="bottom"/>
            <w:hideMark/>
          </w:tcPr>
          <w:p w14:paraId="7666A698"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p>
          <w:p w14:paraId="3B4134EE" w14:textId="207CBE16"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04C2833A" w14:textId="353105AA" w:rsidR="00454966" w:rsidRDefault="00454966" w:rsidP="001549F4"/>
    <w:p w14:paraId="34B30A13" w14:textId="53964109" w:rsidR="00454966" w:rsidRDefault="00454966">
      <w:r>
        <w:br w:type="page"/>
      </w:r>
    </w:p>
    <w:p w14:paraId="4649D0B5" w14:textId="1ABCDD23" w:rsidR="00454966" w:rsidRDefault="00454966" w:rsidP="00130E39">
      <w:pPr>
        <w:pStyle w:val="ListParagraph"/>
        <w:numPr>
          <w:ilvl w:val="0"/>
          <w:numId w:val="7"/>
        </w:numPr>
      </w:pPr>
      <w:r w:rsidRPr="00454966">
        <w:lastRenderedPageBreak/>
        <w:t xml:space="preserve">Any Mental Illness in the </w:t>
      </w:r>
      <w:r w:rsidRPr="00130E39">
        <w:rPr>
          <w:i/>
          <w:iCs/>
        </w:rPr>
        <w:t>Past Year</w:t>
      </w:r>
    </w:p>
    <w:p w14:paraId="4784EDFC" w14:textId="51AAADC5"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2302E57A" w14:textId="77777777" w:rsidTr="00454966">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D7D8278" w14:textId="77777777" w:rsidR="00454966" w:rsidRPr="00454966" w:rsidRDefault="00454966" w:rsidP="00454966">
            <w:pPr>
              <w:jc w:val="center"/>
              <w:rPr>
                <w:b/>
                <w:bCs/>
                <w:sz w:val="20"/>
              </w:rPr>
            </w:pPr>
            <w:bookmarkStart w:id="21" w:name="_Hlk58487657"/>
            <w:r w:rsidRPr="00454966">
              <w:rPr>
                <w:b/>
                <w:bCs/>
                <w:sz w:val="20"/>
              </w:rPr>
              <w:t xml:space="preserve">Any Mental Illness in the </w:t>
            </w:r>
            <w:r w:rsidRPr="00454966">
              <w:rPr>
                <w:b/>
                <w:bCs/>
                <w:i/>
                <w:iCs/>
                <w:sz w:val="20"/>
                <w:u w:val="single"/>
              </w:rPr>
              <w:t>Past Year</w:t>
            </w:r>
            <w:r w:rsidRPr="00454966">
              <w:rPr>
                <w:b/>
                <w:bCs/>
                <w:sz w:val="20"/>
              </w:rPr>
              <w:t xml:space="preserve"> </w:t>
            </w:r>
            <w:bookmarkEnd w:id="21"/>
            <w:r w:rsidRPr="00454966">
              <w:rPr>
                <w:b/>
                <w:bCs/>
                <w:sz w:val="20"/>
              </w:rPr>
              <w:t>by Age Group Among Residents</w:t>
            </w:r>
            <w:r w:rsidRPr="00454966">
              <w:rPr>
                <w:b/>
                <w:bCs/>
                <w:sz w:val="20"/>
              </w:rPr>
              <w:br/>
              <w:t xml:space="preserve"> of Greater New Orleans Parishes and Statewide, 2019*</w:t>
            </w:r>
          </w:p>
        </w:tc>
      </w:tr>
      <w:tr w:rsidR="00454966" w:rsidRPr="00454966" w14:paraId="21951C21"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12A2F6B"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0A69FB42" w14:textId="2D429D80"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1ED8CF39"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7E9272AE"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53466729"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4EF063BD"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772F2D50"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67EA463A" w14:textId="77777777" w:rsidR="00454966" w:rsidRPr="00454966" w:rsidRDefault="00454966" w:rsidP="00454966">
            <w:pPr>
              <w:jc w:val="center"/>
              <w:rPr>
                <w:sz w:val="20"/>
              </w:rPr>
            </w:pPr>
            <w:r w:rsidRPr="00454966">
              <w:rPr>
                <w:sz w:val="20"/>
              </w:rPr>
              <w:t>Jefferson Parish HSA</w:t>
            </w:r>
          </w:p>
        </w:tc>
      </w:tr>
      <w:tr w:rsidR="00454966" w:rsidRPr="00454966" w14:paraId="0E914C09"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064D788"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67AD696D"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2B25F88"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10078B39"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C74C0A3"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60ED6CC"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253490B"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40260B6E" w14:textId="77777777" w:rsidR="00454966" w:rsidRPr="00454966" w:rsidRDefault="00454966" w:rsidP="00454966">
            <w:pPr>
              <w:rPr>
                <w:sz w:val="20"/>
              </w:rPr>
            </w:pPr>
            <w:r w:rsidRPr="00454966">
              <w:rPr>
                <w:sz w:val="20"/>
              </w:rPr>
              <w:t> </w:t>
            </w:r>
          </w:p>
        </w:tc>
      </w:tr>
      <w:tr w:rsidR="00454966" w:rsidRPr="00454966" w14:paraId="5DEF440E"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71EBD46"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7150159F"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285A63E2"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2EB696F7"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2DCA4E9C"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45367816"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55A9AD6C"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696EE25F" w14:textId="77777777" w:rsidR="00454966" w:rsidRPr="00454966" w:rsidRDefault="00454966" w:rsidP="00454966">
            <w:pPr>
              <w:jc w:val="right"/>
              <w:rPr>
                <w:sz w:val="20"/>
              </w:rPr>
            </w:pPr>
            <w:r w:rsidRPr="00454966">
              <w:rPr>
                <w:sz w:val="20"/>
              </w:rPr>
              <w:t>30,385</w:t>
            </w:r>
          </w:p>
        </w:tc>
      </w:tr>
      <w:tr w:rsidR="00454966" w:rsidRPr="00454966" w14:paraId="56100056"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F12BC5B" w14:textId="241DEE4B" w:rsidR="00454966" w:rsidRPr="00454966" w:rsidRDefault="00454966" w:rsidP="00454966">
            <w:pPr>
              <w:rPr>
                <w:sz w:val="20"/>
              </w:rPr>
            </w:pPr>
            <w:r w:rsidRPr="00454966">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4CD0BEC8"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7F33E2AF"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048C4039"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nil"/>
            </w:tcBorders>
            <w:shd w:val="clear" w:color="auto" w:fill="auto"/>
            <w:noWrap/>
            <w:vAlign w:val="bottom"/>
            <w:hideMark/>
          </w:tcPr>
          <w:p w14:paraId="13888CDF"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single" w:sz="4" w:space="0" w:color="auto"/>
              <w:bottom w:val="nil"/>
              <w:right w:val="single" w:sz="4" w:space="0" w:color="auto"/>
            </w:tcBorders>
            <w:shd w:val="clear" w:color="auto" w:fill="auto"/>
            <w:noWrap/>
            <w:vAlign w:val="bottom"/>
            <w:hideMark/>
          </w:tcPr>
          <w:p w14:paraId="78910965"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6F226558"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1596D257" w14:textId="77777777" w:rsidR="00454966" w:rsidRPr="00454966" w:rsidRDefault="00454966" w:rsidP="00454966">
            <w:pPr>
              <w:jc w:val="center"/>
              <w:rPr>
                <w:sz w:val="20"/>
              </w:rPr>
            </w:pPr>
            <w:proofErr w:type="spellStart"/>
            <w:r w:rsidRPr="00454966">
              <w:rPr>
                <w:sz w:val="20"/>
              </w:rPr>
              <w:t>n.a.</w:t>
            </w:r>
            <w:proofErr w:type="spellEnd"/>
          </w:p>
        </w:tc>
      </w:tr>
      <w:tr w:rsidR="00454966" w:rsidRPr="00454966" w14:paraId="693F2B5B"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EE9CDF1"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A8E6334"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338094C3"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66D7D2A1"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00B869DF"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3DC23B65"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5F6D720C"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04BD324B" w14:textId="77777777" w:rsidR="00454966" w:rsidRPr="00454966" w:rsidRDefault="00454966" w:rsidP="00454966">
            <w:pPr>
              <w:jc w:val="center"/>
              <w:rPr>
                <w:sz w:val="20"/>
              </w:rPr>
            </w:pPr>
            <w:proofErr w:type="spellStart"/>
            <w:r w:rsidRPr="00454966">
              <w:rPr>
                <w:sz w:val="20"/>
              </w:rPr>
              <w:t>n.a.</w:t>
            </w:r>
            <w:proofErr w:type="spellEnd"/>
          </w:p>
        </w:tc>
      </w:tr>
      <w:tr w:rsidR="00454966" w:rsidRPr="00454966" w14:paraId="041A8A8E"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76F202B"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3D31F0DB"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FF1D63A"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BB452A7"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FD39382"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2CE969A"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A746A84"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F26F1E4" w14:textId="77777777" w:rsidR="00454966" w:rsidRPr="00454966" w:rsidRDefault="00454966" w:rsidP="00454966">
            <w:pPr>
              <w:rPr>
                <w:sz w:val="20"/>
              </w:rPr>
            </w:pPr>
            <w:r w:rsidRPr="00454966">
              <w:rPr>
                <w:sz w:val="20"/>
              </w:rPr>
              <w:t> </w:t>
            </w:r>
          </w:p>
        </w:tc>
      </w:tr>
      <w:tr w:rsidR="00454966" w:rsidRPr="00454966" w14:paraId="3C9FFBE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9420B15"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5AFDF86"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071EE8AE"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47D11C40"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3C359034"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6DE9E345"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40C0B9BD"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3CA26240" w14:textId="77777777" w:rsidR="00454966" w:rsidRPr="00454966" w:rsidRDefault="00454966" w:rsidP="00454966">
            <w:pPr>
              <w:jc w:val="right"/>
              <w:rPr>
                <w:sz w:val="20"/>
              </w:rPr>
            </w:pPr>
            <w:r w:rsidRPr="00454966">
              <w:rPr>
                <w:sz w:val="20"/>
              </w:rPr>
              <w:t>37,617</w:t>
            </w:r>
          </w:p>
        </w:tc>
      </w:tr>
      <w:tr w:rsidR="00454966" w:rsidRPr="00454966" w14:paraId="26581655"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08EBD47"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F004520" w14:textId="77777777" w:rsidR="00454966" w:rsidRPr="00454966" w:rsidRDefault="00454966" w:rsidP="00454966">
            <w:pPr>
              <w:jc w:val="right"/>
              <w:rPr>
                <w:sz w:val="20"/>
              </w:rPr>
            </w:pPr>
            <w:r w:rsidRPr="00454966">
              <w:rPr>
                <w:sz w:val="20"/>
              </w:rPr>
              <w:t>21.66%</w:t>
            </w:r>
          </w:p>
        </w:tc>
        <w:tc>
          <w:tcPr>
            <w:tcW w:w="980" w:type="dxa"/>
            <w:tcBorders>
              <w:top w:val="nil"/>
              <w:left w:val="nil"/>
              <w:bottom w:val="nil"/>
              <w:right w:val="single" w:sz="4" w:space="0" w:color="auto"/>
            </w:tcBorders>
            <w:shd w:val="clear" w:color="auto" w:fill="auto"/>
            <w:noWrap/>
            <w:vAlign w:val="bottom"/>
            <w:hideMark/>
          </w:tcPr>
          <w:p w14:paraId="2868D1E4" w14:textId="77777777" w:rsidR="00454966" w:rsidRPr="00454966" w:rsidRDefault="00454966" w:rsidP="00454966">
            <w:pPr>
              <w:jc w:val="right"/>
              <w:rPr>
                <w:sz w:val="20"/>
              </w:rPr>
            </w:pPr>
            <w:r w:rsidRPr="00454966">
              <w:rPr>
                <w:sz w:val="20"/>
              </w:rPr>
              <w:t>22.80%</w:t>
            </w:r>
          </w:p>
        </w:tc>
        <w:tc>
          <w:tcPr>
            <w:tcW w:w="980" w:type="dxa"/>
            <w:tcBorders>
              <w:top w:val="nil"/>
              <w:left w:val="nil"/>
              <w:bottom w:val="nil"/>
              <w:right w:val="single" w:sz="4" w:space="0" w:color="auto"/>
            </w:tcBorders>
            <w:shd w:val="clear" w:color="auto" w:fill="auto"/>
            <w:noWrap/>
            <w:vAlign w:val="bottom"/>
            <w:hideMark/>
          </w:tcPr>
          <w:p w14:paraId="5848D591" w14:textId="77777777" w:rsidR="00454966" w:rsidRPr="00454966" w:rsidRDefault="00454966" w:rsidP="00454966">
            <w:pPr>
              <w:jc w:val="right"/>
              <w:rPr>
                <w:sz w:val="20"/>
              </w:rPr>
            </w:pPr>
            <w:r w:rsidRPr="00454966">
              <w:rPr>
                <w:sz w:val="20"/>
              </w:rPr>
              <w:t>22.15%</w:t>
            </w:r>
          </w:p>
        </w:tc>
        <w:tc>
          <w:tcPr>
            <w:tcW w:w="980" w:type="dxa"/>
            <w:tcBorders>
              <w:top w:val="nil"/>
              <w:left w:val="nil"/>
              <w:bottom w:val="nil"/>
              <w:right w:val="nil"/>
            </w:tcBorders>
            <w:shd w:val="clear" w:color="auto" w:fill="auto"/>
            <w:noWrap/>
            <w:vAlign w:val="bottom"/>
            <w:hideMark/>
          </w:tcPr>
          <w:p w14:paraId="7D360F49" w14:textId="77777777" w:rsidR="00454966" w:rsidRPr="00454966" w:rsidRDefault="00454966" w:rsidP="00454966">
            <w:pPr>
              <w:jc w:val="right"/>
              <w:rPr>
                <w:sz w:val="20"/>
              </w:rPr>
            </w:pPr>
            <w:r w:rsidRPr="00454966">
              <w:rPr>
                <w:sz w:val="20"/>
              </w:rPr>
              <w:t>22.15%</w:t>
            </w:r>
          </w:p>
        </w:tc>
        <w:tc>
          <w:tcPr>
            <w:tcW w:w="980" w:type="dxa"/>
            <w:tcBorders>
              <w:top w:val="nil"/>
              <w:left w:val="single" w:sz="4" w:space="0" w:color="auto"/>
              <w:bottom w:val="nil"/>
              <w:right w:val="single" w:sz="4" w:space="0" w:color="auto"/>
            </w:tcBorders>
            <w:shd w:val="clear" w:color="auto" w:fill="auto"/>
            <w:noWrap/>
            <w:vAlign w:val="bottom"/>
            <w:hideMark/>
          </w:tcPr>
          <w:p w14:paraId="1DF56E24" w14:textId="77777777" w:rsidR="00454966" w:rsidRPr="00454966" w:rsidRDefault="00454966" w:rsidP="00454966">
            <w:pPr>
              <w:jc w:val="right"/>
              <w:rPr>
                <w:sz w:val="20"/>
              </w:rPr>
            </w:pPr>
            <w:r w:rsidRPr="00454966">
              <w:rPr>
                <w:sz w:val="20"/>
              </w:rPr>
              <w:t>22.15%</w:t>
            </w:r>
          </w:p>
        </w:tc>
        <w:tc>
          <w:tcPr>
            <w:tcW w:w="980" w:type="dxa"/>
            <w:tcBorders>
              <w:top w:val="nil"/>
              <w:left w:val="nil"/>
              <w:bottom w:val="nil"/>
              <w:right w:val="single" w:sz="4" w:space="0" w:color="auto"/>
            </w:tcBorders>
            <w:shd w:val="clear" w:color="auto" w:fill="auto"/>
            <w:noWrap/>
            <w:vAlign w:val="bottom"/>
            <w:hideMark/>
          </w:tcPr>
          <w:p w14:paraId="6B8F100D" w14:textId="77777777" w:rsidR="00454966" w:rsidRPr="00454966" w:rsidRDefault="00454966" w:rsidP="00454966">
            <w:pPr>
              <w:jc w:val="right"/>
              <w:rPr>
                <w:sz w:val="20"/>
              </w:rPr>
            </w:pPr>
            <w:r w:rsidRPr="00454966">
              <w:rPr>
                <w:sz w:val="20"/>
              </w:rPr>
              <w:t>22.15%</w:t>
            </w:r>
          </w:p>
        </w:tc>
        <w:tc>
          <w:tcPr>
            <w:tcW w:w="980" w:type="dxa"/>
            <w:tcBorders>
              <w:top w:val="nil"/>
              <w:left w:val="nil"/>
              <w:bottom w:val="nil"/>
              <w:right w:val="single" w:sz="4" w:space="0" w:color="auto"/>
            </w:tcBorders>
            <w:shd w:val="clear" w:color="auto" w:fill="auto"/>
            <w:noWrap/>
            <w:vAlign w:val="bottom"/>
            <w:hideMark/>
          </w:tcPr>
          <w:p w14:paraId="6A67ACAB" w14:textId="77777777" w:rsidR="00454966" w:rsidRPr="00454966" w:rsidRDefault="00454966" w:rsidP="00454966">
            <w:pPr>
              <w:jc w:val="right"/>
              <w:rPr>
                <w:sz w:val="20"/>
              </w:rPr>
            </w:pPr>
            <w:r w:rsidRPr="00454966">
              <w:rPr>
                <w:sz w:val="20"/>
              </w:rPr>
              <w:t>23.72%</w:t>
            </w:r>
          </w:p>
        </w:tc>
      </w:tr>
      <w:tr w:rsidR="00454966" w:rsidRPr="00454966" w14:paraId="74168B2B"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C5D782C"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8D7F9CA" w14:textId="77777777" w:rsidR="00454966" w:rsidRPr="00454966" w:rsidRDefault="00454966" w:rsidP="00454966">
            <w:pPr>
              <w:jc w:val="right"/>
              <w:rPr>
                <w:sz w:val="20"/>
              </w:rPr>
            </w:pPr>
            <w:r w:rsidRPr="00454966">
              <w:rPr>
                <w:sz w:val="20"/>
              </w:rPr>
              <w:t>104,787</w:t>
            </w:r>
          </w:p>
        </w:tc>
        <w:tc>
          <w:tcPr>
            <w:tcW w:w="980" w:type="dxa"/>
            <w:tcBorders>
              <w:top w:val="nil"/>
              <w:left w:val="nil"/>
              <w:bottom w:val="single" w:sz="4" w:space="0" w:color="auto"/>
              <w:right w:val="single" w:sz="4" w:space="0" w:color="auto"/>
            </w:tcBorders>
            <w:shd w:val="clear" w:color="auto" w:fill="auto"/>
            <w:noWrap/>
            <w:vAlign w:val="bottom"/>
            <w:hideMark/>
          </w:tcPr>
          <w:p w14:paraId="20969101" w14:textId="77777777" w:rsidR="00454966" w:rsidRPr="00454966" w:rsidRDefault="00454966" w:rsidP="00454966">
            <w:pPr>
              <w:jc w:val="right"/>
              <w:rPr>
                <w:sz w:val="20"/>
              </w:rPr>
            </w:pPr>
            <w:r w:rsidRPr="00454966">
              <w:rPr>
                <w:sz w:val="20"/>
              </w:rPr>
              <w:t>18,790</w:t>
            </w:r>
          </w:p>
        </w:tc>
        <w:tc>
          <w:tcPr>
            <w:tcW w:w="980" w:type="dxa"/>
            <w:tcBorders>
              <w:top w:val="nil"/>
              <w:left w:val="nil"/>
              <w:bottom w:val="single" w:sz="4" w:space="0" w:color="auto"/>
              <w:right w:val="single" w:sz="4" w:space="0" w:color="auto"/>
            </w:tcBorders>
            <w:shd w:val="clear" w:color="auto" w:fill="auto"/>
            <w:noWrap/>
            <w:vAlign w:val="bottom"/>
            <w:hideMark/>
          </w:tcPr>
          <w:p w14:paraId="4B4585F1" w14:textId="77777777" w:rsidR="00454966" w:rsidRPr="00454966" w:rsidRDefault="00454966" w:rsidP="00454966">
            <w:pPr>
              <w:jc w:val="right"/>
              <w:rPr>
                <w:sz w:val="20"/>
              </w:rPr>
            </w:pPr>
            <w:r w:rsidRPr="00454966">
              <w:rPr>
                <w:sz w:val="20"/>
              </w:rPr>
              <w:t>9,921</w:t>
            </w:r>
          </w:p>
        </w:tc>
        <w:tc>
          <w:tcPr>
            <w:tcW w:w="980" w:type="dxa"/>
            <w:tcBorders>
              <w:top w:val="nil"/>
              <w:left w:val="nil"/>
              <w:bottom w:val="single" w:sz="4" w:space="0" w:color="auto"/>
              <w:right w:val="single" w:sz="4" w:space="0" w:color="auto"/>
            </w:tcBorders>
            <w:shd w:val="clear" w:color="auto" w:fill="auto"/>
            <w:noWrap/>
            <w:vAlign w:val="bottom"/>
            <w:hideMark/>
          </w:tcPr>
          <w:p w14:paraId="45303954" w14:textId="77777777" w:rsidR="00454966" w:rsidRPr="00454966" w:rsidRDefault="00454966" w:rsidP="00454966">
            <w:pPr>
              <w:jc w:val="right"/>
              <w:rPr>
                <w:sz w:val="20"/>
              </w:rPr>
            </w:pPr>
            <w:r w:rsidRPr="00454966">
              <w:rPr>
                <w:sz w:val="20"/>
              </w:rPr>
              <w:t>8,504</w:t>
            </w:r>
          </w:p>
        </w:tc>
        <w:tc>
          <w:tcPr>
            <w:tcW w:w="980" w:type="dxa"/>
            <w:tcBorders>
              <w:top w:val="nil"/>
              <w:left w:val="nil"/>
              <w:bottom w:val="single" w:sz="4" w:space="0" w:color="auto"/>
              <w:right w:val="single" w:sz="4" w:space="0" w:color="auto"/>
            </w:tcBorders>
            <w:shd w:val="clear" w:color="auto" w:fill="auto"/>
            <w:noWrap/>
            <w:vAlign w:val="bottom"/>
            <w:hideMark/>
          </w:tcPr>
          <w:p w14:paraId="66142FFE" w14:textId="77777777" w:rsidR="00454966" w:rsidRPr="00454966" w:rsidRDefault="00454966" w:rsidP="00454966">
            <w:pPr>
              <w:jc w:val="right"/>
              <w:rPr>
                <w:sz w:val="20"/>
              </w:rPr>
            </w:pPr>
            <w:r w:rsidRPr="00454966">
              <w:rPr>
                <w:sz w:val="20"/>
              </w:rPr>
              <w:t>502</w:t>
            </w:r>
          </w:p>
        </w:tc>
        <w:tc>
          <w:tcPr>
            <w:tcW w:w="980" w:type="dxa"/>
            <w:tcBorders>
              <w:top w:val="nil"/>
              <w:left w:val="nil"/>
              <w:bottom w:val="single" w:sz="4" w:space="0" w:color="auto"/>
              <w:right w:val="single" w:sz="4" w:space="0" w:color="auto"/>
            </w:tcBorders>
            <w:shd w:val="clear" w:color="auto" w:fill="auto"/>
            <w:noWrap/>
            <w:vAlign w:val="bottom"/>
            <w:hideMark/>
          </w:tcPr>
          <w:p w14:paraId="2F82135E" w14:textId="77777777" w:rsidR="00454966" w:rsidRPr="00454966" w:rsidRDefault="00454966" w:rsidP="00454966">
            <w:pPr>
              <w:jc w:val="right"/>
              <w:rPr>
                <w:sz w:val="20"/>
              </w:rPr>
            </w:pPr>
            <w:r w:rsidRPr="00454966">
              <w:rPr>
                <w:sz w:val="20"/>
              </w:rPr>
              <w:t>916</w:t>
            </w:r>
          </w:p>
        </w:tc>
        <w:tc>
          <w:tcPr>
            <w:tcW w:w="980" w:type="dxa"/>
            <w:tcBorders>
              <w:top w:val="nil"/>
              <w:left w:val="nil"/>
              <w:bottom w:val="single" w:sz="4" w:space="0" w:color="auto"/>
              <w:right w:val="single" w:sz="4" w:space="0" w:color="auto"/>
            </w:tcBorders>
            <w:shd w:val="clear" w:color="auto" w:fill="auto"/>
            <w:noWrap/>
            <w:vAlign w:val="bottom"/>
            <w:hideMark/>
          </w:tcPr>
          <w:p w14:paraId="2C2DCCCC" w14:textId="77777777" w:rsidR="00454966" w:rsidRPr="00454966" w:rsidRDefault="00454966" w:rsidP="00454966">
            <w:pPr>
              <w:jc w:val="right"/>
              <w:rPr>
                <w:sz w:val="20"/>
              </w:rPr>
            </w:pPr>
            <w:r w:rsidRPr="00454966">
              <w:rPr>
                <w:sz w:val="20"/>
              </w:rPr>
              <w:t>8,924</w:t>
            </w:r>
          </w:p>
        </w:tc>
      </w:tr>
      <w:tr w:rsidR="00454966" w:rsidRPr="00454966" w14:paraId="778303B1"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1FE5E164" w14:textId="7B5299B2"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51047B0A"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3F113F0"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4296A7D8"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8B1D227"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48D7DCFD"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C459FF1"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3615A5B6" w14:textId="77777777" w:rsidR="00454966" w:rsidRPr="00454966" w:rsidRDefault="00454966" w:rsidP="00454966">
            <w:pPr>
              <w:rPr>
                <w:sz w:val="20"/>
              </w:rPr>
            </w:pPr>
            <w:r w:rsidRPr="00454966">
              <w:rPr>
                <w:sz w:val="20"/>
              </w:rPr>
              <w:t> </w:t>
            </w:r>
          </w:p>
        </w:tc>
      </w:tr>
      <w:tr w:rsidR="00454966" w:rsidRPr="00454966" w14:paraId="55A2213C"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8318F90"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05D87AB"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3F2A6471"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585C1B2A"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608B0B79"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51440C67"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3A9CB764"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2934475A" w14:textId="77777777" w:rsidR="00454966" w:rsidRPr="00454966" w:rsidRDefault="00454966" w:rsidP="00454966">
            <w:pPr>
              <w:jc w:val="right"/>
              <w:rPr>
                <w:sz w:val="20"/>
              </w:rPr>
            </w:pPr>
            <w:r w:rsidRPr="00454966">
              <w:rPr>
                <w:sz w:val="20"/>
              </w:rPr>
              <w:t>299,579</w:t>
            </w:r>
          </w:p>
        </w:tc>
      </w:tr>
      <w:tr w:rsidR="00454966" w:rsidRPr="00454966" w14:paraId="52043AE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7E1D6F5"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3E005EE1" w14:textId="77777777" w:rsidR="00454966" w:rsidRPr="00454966" w:rsidRDefault="00454966" w:rsidP="00454966">
            <w:pPr>
              <w:jc w:val="right"/>
              <w:rPr>
                <w:sz w:val="20"/>
              </w:rPr>
            </w:pPr>
            <w:r w:rsidRPr="00454966">
              <w:rPr>
                <w:sz w:val="20"/>
              </w:rPr>
              <w:t>19.37%</w:t>
            </w:r>
          </w:p>
        </w:tc>
        <w:tc>
          <w:tcPr>
            <w:tcW w:w="980" w:type="dxa"/>
            <w:tcBorders>
              <w:top w:val="nil"/>
              <w:left w:val="nil"/>
              <w:bottom w:val="nil"/>
              <w:right w:val="single" w:sz="4" w:space="0" w:color="auto"/>
            </w:tcBorders>
            <w:shd w:val="clear" w:color="auto" w:fill="auto"/>
            <w:noWrap/>
            <w:vAlign w:val="bottom"/>
            <w:hideMark/>
          </w:tcPr>
          <w:p w14:paraId="2F44AA77" w14:textId="77777777" w:rsidR="00454966" w:rsidRPr="00454966" w:rsidRDefault="00454966" w:rsidP="00454966">
            <w:pPr>
              <w:jc w:val="right"/>
              <w:rPr>
                <w:sz w:val="20"/>
              </w:rPr>
            </w:pPr>
            <w:r w:rsidRPr="00454966">
              <w:rPr>
                <w:sz w:val="20"/>
              </w:rPr>
              <w:t>19.41%</w:t>
            </w:r>
          </w:p>
        </w:tc>
        <w:tc>
          <w:tcPr>
            <w:tcW w:w="980" w:type="dxa"/>
            <w:tcBorders>
              <w:top w:val="nil"/>
              <w:left w:val="nil"/>
              <w:bottom w:val="nil"/>
              <w:right w:val="single" w:sz="4" w:space="0" w:color="auto"/>
            </w:tcBorders>
            <w:shd w:val="clear" w:color="auto" w:fill="auto"/>
            <w:noWrap/>
            <w:vAlign w:val="bottom"/>
            <w:hideMark/>
          </w:tcPr>
          <w:p w14:paraId="784C7111" w14:textId="77777777" w:rsidR="00454966" w:rsidRPr="00454966" w:rsidRDefault="00454966" w:rsidP="00454966">
            <w:pPr>
              <w:jc w:val="right"/>
              <w:rPr>
                <w:sz w:val="20"/>
              </w:rPr>
            </w:pPr>
            <w:r w:rsidRPr="00454966">
              <w:rPr>
                <w:sz w:val="20"/>
              </w:rPr>
              <w:t>19.02%</w:t>
            </w:r>
          </w:p>
        </w:tc>
        <w:tc>
          <w:tcPr>
            <w:tcW w:w="980" w:type="dxa"/>
            <w:tcBorders>
              <w:top w:val="nil"/>
              <w:left w:val="nil"/>
              <w:bottom w:val="nil"/>
              <w:right w:val="nil"/>
            </w:tcBorders>
            <w:shd w:val="clear" w:color="auto" w:fill="auto"/>
            <w:noWrap/>
            <w:vAlign w:val="bottom"/>
            <w:hideMark/>
          </w:tcPr>
          <w:p w14:paraId="279A9136" w14:textId="77777777" w:rsidR="00454966" w:rsidRPr="00454966" w:rsidRDefault="00454966" w:rsidP="00454966">
            <w:pPr>
              <w:jc w:val="right"/>
              <w:rPr>
                <w:sz w:val="20"/>
              </w:rPr>
            </w:pPr>
            <w:r w:rsidRPr="00454966">
              <w:rPr>
                <w:sz w:val="20"/>
              </w:rPr>
              <w:t>19.02%</w:t>
            </w:r>
          </w:p>
        </w:tc>
        <w:tc>
          <w:tcPr>
            <w:tcW w:w="980" w:type="dxa"/>
            <w:tcBorders>
              <w:top w:val="nil"/>
              <w:left w:val="single" w:sz="4" w:space="0" w:color="auto"/>
              <w:bottom w:val="nil"/>
              <w:right w:val="single" w:sz="4" w:space="0" w:color="auto"/>
            </w:tcBorders>
            <w:shd w:val="clear" w:color="auto" w:fill="auto"/>
            <w:noWrap/>
            <w:vAlign w:val="bottom"/>
            <w:hideMark/>
          </w:tcPr>
          <w:p w14:paraId="6FC19E27" w14:textId="77777777" w:rsidR="00454966" w:rsidRPr="00454966" w:rsidRDefault="00454966" w:rsidP="00454966">
            <w:pPr>
              <w:jc w:val="right"/>
              <w:rPr>
                <w:sz w:val="20"/>
              </w:rPr>
            </w:pPr>
            <w:r w:rsidRPr="00454966">
              <w:rPr>
                <w:sz w:val="20"/>
              </w:rPr>
              <w:t>19.02%</w:t>
            </w:r>
          </w:p>
        </w:tc>
        <w:tc>
          <w:tcPr>
            <w:tcW w:w="980" w:type="dxa"/>
            <w:tcBorders>
              <w:top w:val="nil"/>
              <w:left w:val="nil"/>
              <w:bottom w:val="nil"/>
              <w:right w:val="single" w:sz="4" w:space="0" w:color="auto"/>
            </w:tcBorders>
            <w:shd w:val="clear" w:color="auto" w:fill="auto"/>
            <w:noWrap/>
            <w:vAlign w:val="bottom"/>
            <w:hideMark/>
          </w:tcPr>
          <w:p w14:paraId="71DD40B1" w14:textId="77777777" w:rsidR="00454966" w:rsidRPr="00454966" w:rsidRDefault="00454966" w:rsidP="00454966">
            <w:pPr>
              <w:jc w:val="right"/>
              <w:rPr>
                <w:sz w:val="20"/>
              </w:rPr>
            </w:pPr>
            <w:r w:rsidRPr="00454966">
              <w:rPr>
                <w:sz w:val="20"/>
              </w:rPr>
              <w:t>19.02%</w:t>
            </w:r>
          </w:p>
        </w:tc>
        <w:tc>
          <w:tcPr>
            <w:tcW w:w="980" w:type="dxa"/>
            <w:tcBorders>
              <w:top w:val="nil"/>
              <w:left w:val="nil"/>
              <w:bottom w:val="nil"/>
              <w:right w:val="single" w:sz="4" w:space="0" w:color="auto"/>
            </w:tcBorders>
            <w:shd w:val="clear" w:color="auto" w:fill="auto"/>
            <w:noWrap/>
            <w:vAlign w:val="bottom"/>
            <w:hideMark/>
          </w:tcPr>
          <w:p w14:paraId="5007B053" w14:textId="77777777" w:rsidR="00454966" w:rsidRPr="00454966" w:rsidRDefault="00454966" w:rsidP="00454966">
            <w:pPr>
              <w:jc w:val="right"/>
              <w:rPr>
                <w:sz w:val="20"/>
              </w:rPr>
            </w:pPr>
            <w:r w:rsidRPr="00454966">
              <w:rPr>
                <w:sz w:val="20"/>
              </w:rPr>
              <w:t>19.84%</w:t>
            </w:r>
          </w:p>
        </w:tc>
      </w:tr>
      <w:tr w:rsidR="00454966" w:rsidRPr="00454966" w14:paraId="75550B67"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07541566"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FC591FE" w14:textId="77777777" w:rsidR="00454966" w:rsidRPr="00454966" w:rsidRDefault="00454966" w:rsidP="00454966">
            <w:pPr>
              <w:jc w:val="right"/>
              <w:rPr>
                <w:sz w:val="20"/>
              </w:rPr>
            </w:pPr>
            <w:r w:rsidRPr="00454966">
              <w:rPr>
                <w:sz w:val="20"/>
              </w:rPr>
              <w:t>596,254</w:t>
            </w:r>
          </w:p>
        </w:tc>
        <w:tc>
          <w:tcPr>
            <w:tcW w:w="980" w:type="dxa"/>
            <w:tcBorders>
              <w:top w:val="nil"/>
              <w:left w:val="nil"/>
              <w:bottom w:val="single" w:sz="4" w:space="0" w:color="auto"/>
              <w:right w:val="single" w:sz="4" w:space="0" w:color="auto"/>
            </w:tcBorders>
            <w:shd w:val="clear" w:color="auto" w:fill="auto"/>
            <w:noWrap/>
            <w:vAlign w:val="bottom"/>
            <w:hideMark/>
          </w:tcPr>
          <w:p w14:paraId="197E8FFF" w14:textId="77777777" w:rsidR="00454966" w:rsidRPr="00454966" w:rsidRDefault="00454966" w:rsidP="00454966">
            <w:pPr>
              <w:jc w:val="right"/>
              <w:rPr>
                <w:sz w:val="20"/>
              </w:rPr>
            </w:pPr>
            <w:r w:rsidRPr="00454966">
              <w:rPr>
                <w:sz w:val="20"/>
              </w:rPr>
              <w:t>120,238</w:t>
            </w:r>
          </w:p>
        </w:tc>
        <w:tc>
          <w:tcPr>
            <w:tcW w:w="980" w:type="dxa"/>
            <w:tcBorders>
              <w:top w:val="nil"/>
              <w:left w:val="nil"/>
              <w:bottom w:val="single" w:sz="4" w:space="0" w:color="auto"/>
              <w:right w:val="single" w:sz="4" w:space="0" w:color="auto"/>
            </w:tcBorders>
            <w:shd w:val="clear" w:color="auto" w:fill="auto"/>
            <w:noWrap/>
            <w:vAlign w:val="bottom"/>
            <w:hideMark/>
          </w:tcPr>
          <w:p w14:paraId="2766F17F" w14:textId="77777777" w:rsidR="00454966" w:rsidRPr="00454966" w:rsidRDefault="00454966" w:rsidP="00454966">
            <w:pPr>
              <w:jc w:val="right"/>
              <w:rPr>
                <w:sz w:val="20"/>
              </w:rPr>
            </w:pPr>
            <w:r w:rsidRPr="00454966">
              <w:rPr>
                <w:sz w:val="20"/>
              </w:rPr>
              <w:t>60,872</w:t>
            </w:r>
          </w:p>
        </w:tc>
        <w:tc>
          <w:tcPr>
            <w:tcW w:w="980" w:type="dxa"/>
            <w:tcBorders>
              <w:top w:val="nil"/>
              <w:left w:val="nil"/>
              <w:bottom w:val="single" w:sz="4" w:space="0" w:color="auto"/>
              <w:right w:val="single" w:sz="4" w:space="0" w:color="auto"/>
            </w:tcBorders>
            <w:shd w:val="clear" w:color="auto" w:fill="auto"/>
            <w:noWrap/>
            <w:vAlign w:val="bottom"/>
            <w:hideMark/>
          </w:tcPr>
          <w:p w14:paraId="334B5008" w14:textId="77777777" w:rsidR="00454966" w:rsidRPr="00454966" w:rsidRDefault="00454966" w:rsidP="00454966">
            <w:pPr>
              <w:jc w:val="right"/>
              <w:rPr>
                <w:sz w:val="20"/>
              </w:rPr>
            </w:pPr>
            <w:r w:rsidRPr="00454966">
              <w:rPr>
                <w:sz w:val="20"/>
              </w:rPr>
              <w:t>52,205</w:t>
            </w:r>
          </w:p>
        </w:tc>
        <w:tc>
          <w:tcPr>
            <w:tcW w:w="980" w:type="dxa"/>
            <w:tcBorders>
              <w:top w:val="nil"/>
              <w:left w:val="nil"/>
              <w:bottom w:val="single" w:sz="4" w:space="0" w:color="auto"/>
              <w:right w:val="single" w:sz="4" w:space="0" w:color="auto"/>
            </w:tcBorders>
            <w:shd w:val="clear" w:color="auto" w:fill="auto"/>
            <w:noWrap/>
            <w:vAlign w:val="bottom"/>
            <w:hideMark/>
          </w:tcPr>
          <w:p w14:paraId="6B4A13E7" w14:textId="77777777" w:rsidR="00454966" w:rsidRPr="00454966" w:rsidRDefault="00454966" w:rsidP="00454966">
            <w:pPr>
              <w:jc w:val="right"/>
              <w:rPr>
                <w:sz w:val="20"/>
              </w:rPr>
            </w:pPr>
            <w:r w:rsidRPr="00454966">
              <w:rPr>
                <w:sz w:val="20"/>
              </w:rPr>
              <w:t>2,845</w:t>
            </w:r>
          </w:p>
        </w:tc>
        <w:tc>
          <w:tcPr>
            <w:tcW w:w="980" w:type="dxa"/>
            <w:tcBorders>
              <w:top w:val="nil"/>
              <w:left w:val="nil"/>
              <w:bottom w:val="single" w:sz="4" w:space="0" w:color="auto"/>
              <w:right w:val="single" w:sz="4" w:space="0" w:color="auto"/>
            </w:tcBorders>
            <w:shd w:val="clear" w:color="auto" w:fill="auto"/>
            <w:noWrap/>
            <w:vAlign w:val="bottom"/>
            <w:hideMark/>
          </w:tcPr>
          <w:p w14:paraId="13EA6C52" w14:textId="77777777" w:rsidR="00454966" w:rsidRPr="00454966" w:rsidRDefault="00454966" w:rsidP="00454966">
            <w:pPr>
              <w:jc w:val="right"/>
              <w:rPr>
                <w:sz w:val="20"/>
              </w:rPr>
            </w:pPr>
            <w:r w:rsidRPr="00454966">
              <w:rPr>
                <w:sz w:val="20"/>
              </w:rPr>
              <w:t>5,822</w:t>
            </w:r>
          </w:p>
        </w:tc>
        <w:tc>
          <w:tcPr>
            <w:tcW w:w="980" w:type="dxa"/>
            <w:tcBorders>
              <w:top w:val="nil"/>
              <w:left w:val="nil"/>
              <w:bottom w:val="single" w:sz="4" w:space="0" w:color="auto"/>
              <w:right w:val="single" w:sz="4" w:space="0" w:color="auto"/>
            </w:tcBorders>
            <w:shd w:val="clear" w:color="auto" w:fill="auto"/>
            <w:noWrap/>
            <w:vAlign w:val="bottom"/>
            <w:hideMark/>
          </w:tcPr>
          <w:p w14:paraId="234A52BE" w14:textId="77777777" w:rsidR="00454966" w:rsidRPr="00454966" w:rsidRDefault="00454966" w:rsidP="00454966">
            <w:pPr>
              <w:jc w:val="right"/>
              <w:rPr>
                <w:sz w:val="20"/>
              </w:rPr>
            </w:pPr>
            <w:r w:rsidRPr="00454966">
              <w:rPr>
                <w:sz w:val="20"/>
              </w:rPr>
              <w:t>59,428</w:t>
            </w:r>
          </w:p>
        </w:tc>
      </w:tr>
      <w:tr w:rsidR="00454966" w:rsidRPr="00454966" w14:paraId="421236B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AA35A17"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47C3FEF2"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518548B"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1702F0A"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57C9649A"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4255D3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8759E5D"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348FCAD" w14:textId="77777777" w:rsidR="00454966" w:rsidRPr="00454966" w:rsidRDefault="00454966" w:rsidP="00454966">
            <w:pPr>
              <w:rPr>
                <w:sz w:val="20"/>
              </w:rPr>
            </w:pPr>
            <w:r w:rsidRPr="00454966">
              <w:rPr>
                <w:sz w:val="20"/>
              </w:rPr>
              <w:t> </w:t>
            </w:r>
          </w:p>
        </w:tc>
      </w:tr>
      <w:tr w:rsidR="00454966" w:rsidRPr="00454966" w14:paraId="57C4977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FCACBD9"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1FB1FD8"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0A017D69"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7634D3BF"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63AC45D7"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630021E5"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17213166"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6F70DC69" w14:textId="77777777" w:rsidR="00454966" w:rsidRPr="00454966" w:rsidRDefault="00454966" w:rsidP="00454966">
            <w:pPr>
              <w:jc w:val="right"/>
              <w:rPr>
                <w:sz w:val="20"/>
              </w:rPr>
            </w:pPr>
            <w:r w:rsidRPr="00454966">
              <w:rPr>
                <w:sz w:val="20"/>
              </w:rPr>
              <w:t>337,196</w:t>
            </w:r>
          </w:p>
        </w:tc>
      </w:tr>
      <w:tr w:rsidR="00454966" w:rsidRPr="00454966" w14:paraId="25C4488B"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BF46D41"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B101E18" w14:textId="77777777" w:rsidR="00454966" w:rsidRPr="00454966" w:rsidRDefault="00454966" w:rsidP="00454966">
            <w:pPr>
              <w:jc w:val="right"/>
              <w:rPr>
                <w:sz w:val="20"/>
              </w:rPr>
            </w:pPr>
            <w:r w:rsidRPr="00454966">
              <w:rPr>
                <w:sz w:val="20"/>
              </w:rPr>
              <w:t>19.70%</w:t>
            </w:r>
          </w:p>
        </w:tc>
        <w:tc>
          <w:tcPr>
            <w:tcW w:w="980" w:type="dxa"/>
            <w:tcBorders>
              <w:top w:val="nil"/>
              <w:left w:val="nil"/>
              <w:bottom w:val="nil"/>
              <w:right w:val="single" w:sz="4" w:space="0" w:color="auto"/>
            </w:tcBorders>
            <w:shd w:val="clear" w:color="auto" w:fill="auto"/>
            <w:noWrap/>
            <w:vAlign w:val="bottom"/>
            <w:hideMark/>
          </w:tcPr>
          <w:p w14:paraId="145F6380" w14:textId="77777777" w:rsidR="00454966" w:rsidRPr="00454966" w:rsidRDefault="00454966" w:rsidP="00454966">
            <w:pPr>
              <w:jc w:val="right"/>
              <w:rPr>
                <w:sz w:val="20"/>
              </w:rPr>
            </w:pPr>
            <w:r w:rsidRPr="00454966">
              <w:rPr>
                <w:sz w:val="20"/>
              </w:rPr>
              <w:t>19.84%</w:t>
            </w:r>
          </w:p>
        </w:tc>
        <w:tc>
          <w:tcPr>
            <w:tcW w:w="980" w:type="dxa"/>
            <w:tcBorders>
              <w:top w:val="nil"/>
              <w:left w:val="nil"/>
              <w:bottom w:val="nil"/>
              <w:right w:val="single" w:sz="4" w:space="0" w:color="auto"/>
            </w:tcBorders>
            <w:shd w:val="clear" w:color="auto" w:fill="auto"/>
            <w:noWrap/>
            <w:vAlign w:val="bottom"/>
            <w:hideMark/>
          </w:tcPr>
          <w:p w14:paraId="2A78E4BE" w14:textId="77777777" w:rsidR="00454966" w:rsidRPr="00454966" w:rsidRDefault="00454966" w:rsidP="00454966">
            <w:pPr>
              <w:jc w:val="right"/>
              <w:rPr>
                <w:sz w:val="20"/>
              </w:rPr>
            </w:pPr>
            <w:r w:rsidRPr="00454966">
              <w:rPr>
                <w:sz w:val="20"/>
              </w:rPr>
              <w:t>19.46%</w:t>
            </w:r>
          </w:p>
        </w:tc>
        <w:tc>
          <w:tcPr>
            <w:tcW w:w="980" w:type="dxa"/>
            <w:tcBorders>
              <w:top w:val="nil"/>
              <w:left w:val="nil"/>
              <w:bottom w:val="nil"/>
              <w:right w:val="nil"/>
            </w:tcBorders>
            <w:shd w:val="clear" w:color="auto" w:fill="auto"/>
            <w:noWrap/>
            <w:vAlign w:val="bottom"/>
            <w:hideMark/>
          </w:tcPr>
          <w:p w14:paraId="7AEC0C2F" w14:textId="77777777" w:rsidR="00454966" w:rsidRPr="00454966" w:rsidRDefault="00454966" w:rsidP="00454966">
            <w:pPr>
              <w:jc w:val="right"/>
              <w:rPr>
                <w:sz w:val="20"/>
              </w:rPr>
            </w:pPr>
            <w:r w:rsidRPr="00454966">
              <w:rPr>
                <w:sz w:val="20"/>
              </w:rPr>
              <w:t>19.46%</w:t>
            </w:r>
          </w:p>
        </w:tc>
        <w:tc>
          <w:tcPr>
            <w:tcW w:w="980" w:type="dxa"/>
            <w:tcBorders>
              <w:top w:val="nil"/>
              <w:left w:val="single" w:sz="4" w:space="0" w:color="auto"/>
              <w:bottom w:val="nil"/>
              <w:right w:val="single" w:sz="4" w:space="0" w:color="auto"/>
            </w:tcBorders>
            <w:shd w:val="clear" w:color="auto" w:fill="auto"/>
            <w:noWrap/>
            <w:vAlign w:val="bottom"/>
            <w:hideMark/>
          </w:tcPr>
          <w:p w14:paraId="4C9C6BFF" w14:textId="77777777" w:rsidR="00454966" w:rsidRPr="00454966" w:rsidRDefault="00454966" w:rsidP="00454966">
            <w:pPr>
              <w:jc w:val="right"/>
              <w:rPr>
                <w:sz w:val="20"/>
              </w:rPr>
            </w:pPr>
            <w:r w:rsidRPr="00454966">
              <w:rPr>
                <w:sz w:val="20"/>
              </w:rPr>
              <w:t>19.46%</w:t>
            </w:r>
          </w:p>
        </w:tc>
        <w:tc>
          <w:tcPr>
            <w:tcW w:w="980" w:type="dxa"/>
            <w:tcBorders>
              <w:top w:val="nil"/>
              <w:left w:val="nil"/>
              <w:bottom w:val="nil"/>
              <w:right w:val="single" w:sz="4" w:space="0" w:color="auto"/>
            </w:tcBorders>
            <w:shd w:val="clear" w:color="auto" w:fill="auto"/>
            <w:noWrap/>
            <w:vAlign w:val="bottom"/>
            <w:hideMark/>
          </w:tcPr>
          <w:p w14:paraId="27E7F878" w14:textId="77777777" w:rsidR="00454966" w:rsidRPr="00454966" w:rsidRDefault="00454966" w:rsidP="00454966">
            <w:pPr>
              <w:jc w:val="right"/>
              <w:rPr>
                <w:sz w:val="20"/>
              </w:rPr>
            </w:pPr>
            <w:r w:rsidRPr="00454966">
              <w:rPr>
                <w:sz w:val="20"/>
              </w:rPr>
              <w:t>19.46%</w:t>
            </w:r>
          </w:p>
        </w:tc>
        <w:tc>
          <w:tcPr>
            <w:tcW w:w="980" w:type="dxa"/>
            <w:tcBorders>
              <w:top w:val="nil"/>
              <w:left w:val="nil"/>
              <w:bottom w:val="nil"/>
              <w:right w:val="single" w:sz="4" w:space="0" w:color="auto"/>
            </w:tcBorders>
            <w:shd w:val="clear" w:color="auto" w:fill="auto"/>
            <w:noWrap/>
            <w:vAlign w:val="bottom"/>
            <w:hideMark/>
          </w:tcPr>
          <w:p w14:paraId="0933DD7A" w14:textId="77777777" w:rsidR="00454966" w:rsidRPr="00454966" w:rsidRDefault="00454966" w:rsidP="00454966">
            <w:pPr>
              <w:jc w:val="right"/>
              <w:rPr>
                <w:sz w:val="20"/>
              </w:rPr>
            </w:pPr>
            <w:r w:rsidRPr="00454966">
              <w:rPr>
                <w:sz w:val="20"/>
              </w:rPr>
              <w:t>20.28%</w:t>
            </w:r>
          </w:p>
        </w:tc>
      </w:tr>
      <w:tr w:rsidR="00454966" w:rsidRPr="00454966" w14:paraId="1D93BC36"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61FD150"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DADDB94" w14:textId="77777777" w:rsidR="00454966" w:rsidRPr="00454966" w:rsidRDefault="00454966" w:rsidP="00454966">
            <w:pPr>
              <w:jc w:val="right"/>
              <w:rPr>
                <w:sz w:val="20"/>
              </w:rPr>
            </w:pPr>
            <w:r w:rsidRPr="00454966">
              <w:rPr>
                <w:sz w:val="20"/>
              </w:rPr>
              <w:t>701,373</w:t>
            </w:r>
          </w:p>
        </w:tc>
        <w:tc>
          <w:tcPr>
            <w:tcW w:w="980" w:type="dxa"/>
            <w:tcBorders>
              <w:top w:val="nil"/>
              <w:left w:val="nil"/>
              <w:bottom w:val="single" w:sz="4" w:space="0" w:color="auto"/>
              <w:right w:val="single" w:sz="4" w:space="0" w:color="auto"/>
            </w:tcBorders>
            <w:shd w:val="clear" w:color="auto" w:fill="auto"/>
            <w:noWrap/>
            <w:vAlign w:val="bottom"/>
            <w:hideMark/>
          </w:tcPr>
          <w:p w14:paraId="51CD9DCC" w14:textId="77777777" w:rsidR="00454966" w:rsidRPr="00454966" w:rsidRDefault="00454966" w:rsidP="00454966">
            <w:pPr>
              <w:jc w:val="right"/>
              <w:rPr>
                <w:sz w:val="20"/>
              </w:rPr>
            </w:pPr>
            <w:r w:rsidRPr="00454966">
              <w:rPr>
                <w:sz w:val="20"/>
              </w:rPr>
              <w:t>139,288</w:t>
            </w:r>
          </w:p>
        </w:tc>
        <w:tc>
          <w:tcPr>
            <w:tcW w:w="980" w:type="dxa"/>
            <w:tcBorders>
              <w:top w:val="nil"/>
              <w:left w:val="nil"/>
              <w:bottom w:val="single" w:sz="4" w:space="0" w:color="auto"/>
              <w:right w:val="single" w:sz="4" w:space="0" w:color="auto"/>
            </w:tcBorders>
            <w:shd w:val="clear" w:color="auto" w:fill="auto"/>
            <w:noWrap/>
            <w:vAlign w:val="bottom"/>
            <w:hideMark/>
          </w:tcPr>
          <w:p w14:paraId="582B7D90" w14:textId="77777777" w:rsidR="00454966" w:rsidRPr="00454966" w:rsidRDefault="00454966" w:rsidP="00454966">
            <w:pPr>
              <w:jc w:val="right"/>
              <w:rPr>
                <w:sz w:val="20"/>
              </w:rPr>
            </w:pPr>
            <w:r w:rsidRPr="00454966">
              <w:rPr>
                <w:sz w:val="20"/>
              </w:rPr>
              <w:t>70,990</w:t>
            </w:r>
          </w:p>
        </w:tc>
        <w:tc>
          <w:tcPr>
            <w:tcW w:w="980" w:type="dxa"/>
            <w:tcBorders>
              <w:top w:val="nil"/>
              <w:left w:val="nil"/>
              <w:bottom w:val="single" w:sz="4" w:space="0" w:color="auto"/>
              <w:right w:val="single" w:sz="4" w:space="0" w:color="auto"/>
            </w:tcBorders>
            <w:shd w:val="clear" w:color="auto" w:fill="auto"/>
            <w:noWrap/>
            <w:vAlign w:val="bottom"/>
            <w:hideMark/>
          </w:tcPr>
          <w:p w14:paraId="177CF114" w14:textId="77777777" w:rsidR="00454966" w:rsidRPr="00454966" w:rsidRDefault="00454966" w:rsidP="00454966">
            <w:pPr>
              <w:jc w:val="right"/>
              <w:rPr>
                <w:sz w:val="20"/>
              </w:rPr>
            </w:pPr>
            <w:r w:rsidRPr="00454966">
              <w:rPr>
                <w:sz w:val="20"/>
              </w:rPr>
              <w:t>60,879</w:t>
            </w:r>
          </w:p>
        </w:tc>
        <w:tc>
          <w:tcPr>
            <w:tcW w:w="980" w:type="dxa"/>
            <w:tcBorders>
              <w:top w:val="nil"/>
              <w:left w:val="nil"/>
              <w:bottom w:val="single" w:sz="4" w:space="0" w:color="auto"/>
              <w:right w:val="single" w:sz="4" w:space="0" w:color="auto"/>
            </w:tcBorders>
            <w:shd w:val="clear" w:color="auto" w:fill="auto"/>
            <w:noWrap/>
            <w:vAlign w:val="bottom"/>
            <w:hideMark/>
          </w:tcPr>
          <w:p w14:paraId="2F395818" w14:textId="77777777" w:rsidR="00454966" w:rsidRPr="00454966" w:rsidRDefault="00454966" w:rsidP="00454966">
            <w:pPr>
              <w:jc w:val="right"/>
              <w:rPr>
                <w:sz w:val="20"/>
              </w:rPr>
            </w:pPr>
            <w:r w:rsidRPr="00454966">
              <w:rPr>
                <w:sz w:val="20"/>
              </w:rPr>
              <w:t>3,351</w:t>
            </w:r>
          </w:p>
        </w:tc>
        <w:tc>
          <w:tcPr>
            <w:tcW w:w="980" w:type="dxa"/>
            <w:tcBorders>
              <w:top w:val="nil"/>
              <w:left w:val="nil"/>
              <w:bottom w:val="single" w:sz="4" w:space="0" w:color="auto"/>
              <w:right w:val="single" w:sz="4" w:space="0" w:color="auto"/>
            </w:tcBorders>
            <w:shd w:val="clear" w:color="auto" w:fill="auto"/>
            <w:noWrap/>
            <w:vAlign w:val="bottom"/>
            <w:hideMark/>
          </w:tcPr>
          <w:p w14:paraId="45F563AA" w14:textId="77777777" w:rsidR="00454966" w:rsidRPr="00454966" w:rsidRDefault="00454966" w:rsidP="00454966">
            <w:pPr>
              <w:jc w:val="right"/>
              <w:rPr>
                <w:sz w:val="20"/>
              </w:rPr>
            </w:pPr>
            <w:r w:rsidRPr="00454966">
              <w:rPr>
                <w:sz w:val="20"/>
              </w:rPr>
              <w:t>6,761</w:t>
            </w:r>
          </w:p>
        </w:tc>
        <w:tc>
          <w:tcPr>
            <w:tcW w:w="980" w:type="dxa"/>
            <w:tcBorders>
              <w:top w:val="nil"/>
              <w:left w:val="nil"/>
              <w:bottom w:val="single" w:sz="4" w:space="0" w:color="auto"/>
              <w:right w:val="single" w:sz="4" w:space="0" w:color="auto"/>
            </w:tcBorders>
            <w:shd w:val="clear" w:color="auto" w:fill="auto"/>
            <w:noWrap/>
            <w:vAlign w:val="bottom"/>
            <w:hideMark/>
          </w:tcPr>
          <w:p w14:paraId="71FD4D84" w14:textId="77777777" w:rsidR="00454966" w:rsidRPr="00454966" w:rsidRDefault="00454966" w:rsidP="00454966">
            <w:pPr>
              <w:jc w:val="right"/>
              <w:rPr>
                <w:sz w:val="20"/>
              </w:rPr>
            </w:pPr>
            <w:r w:rsidRPr="00454966">
              <w:rPr>
                <w:sz w:val="20"/>
              </w:rPr>
              <w:t>68,394</w:t>
            </w:r>
          </w:p>
        </w:tc>
      </w:tr>
      <w:tr w:rsidR="00454966" w:rsidRPr="00454966" w14:paraId="1B25505F" w14:textId="77777777" w:rsidTr="00BF315B">
        <w:trPr>
          <w:trHeight w:val="935"/>
        </w:trPr>
        <w:tc>
          <w:tcPr>
            <w:tcW w:w="8980" w:type="dxa"/>
            <w:gridSpan w:val="8"/>
            <w:tcBorders>
              <w:top w:val="single" w:sz="4" w:space="0" w:color="auto"/>
              <w:left w:val="nil"/>
              <w:bottom w:val="nil"/>
              <w:right w:val="nil"/>
            </w:tcBorders>
            <w:shd w:val="clear" w:color="auto" w:fill="auto"/>
            <w:vAlign w:val="bottom"/>
            <w:hideMark/>
          </w:tcPr>
          <w:p w14:paraId="73471056"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p>
          <w:p w14:paraId="47A835D0" w14:textId="2F6C56D3"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1BD93483" w14:textId="76C0462D" w:rsidR="00454966" w:rsidRDefault="00454966" w:rsidP="001549F4"/>
    <w:p w14:paraId="49511C37" w14:textId="47B44B2A" w:rsidR="00454966" w:rsidRDefault="00454966">
      <w:r>
        <w:br w:type="page"/>
      </w:r>
    </w:p>
    <w:p w14:paraId="6AB45449" w14:textId="4B17D54E" w:rsidR="00454966" w:rsidRDefault="00454966" w:rsidP="00130E39">
      <w:pPr>
        <w:pStyle w:val="ListParagraph"/>
        <w:numPr>
          <w:ilvl w:val="0"/>
          <w:numId w:val="7"/>
        </w:numPr>
      </w:pPr>
      <w:r w:rsidRPr="00454966">
        <w:lastRenderedPageBreak/>
        <w:t xml:space="preserve">Serious Mental Illness in the </w:t>
      </w:r>
      <w:r w:rsidRPr="00130E39">
        <w:rPr>
          <w:i/>
          <w:iCs/>
        </w:rPr>
        <w:t>Past Year</w:t>
      </w:r>
    </w:p>
    <w:p w14:paraId="12FB5293" w14:textId="4E9B9D4E" w:rsidR="00454966" w:rsidRDefault="00454966" w:rsidP="001549F4"/>
    <w:tbl>
      <w:tblPr>
        <w:tblW w:w="8980" w:type="dxa"/>
        <w:tblCellMar>
          <w:left w:w="0" w:type="dxa"/>
          <w:right w:w="0" w:type="dxa"/>
        </w:tblCellMar>
        <w:tblLook w:val="04A0" w:firstRow="1" w:lastRow="0" w:firstColumn="1" w:lastColumn="0" w:noHBand="0" w:noVBand="1"/>
      </w:tblPr>
      <w:tblGrid>
        <w:gridCol w:w="1960"/>
        <w:gridCol w:w="1140"/>
        <w:gridCol w:w="980"/>
        <w:gridCol w:w="980"/>
        <w:gridCol w:w="980"/>
        <w:gridCol w:w="980"/>
        <w:gridCol w:w="980"/>
        <w:gridCol w:w="980"/>
      </w:tblGrid>
      <w:tr w:rsidR="00454966" w14:paraId="5FA550D9" w14:textId="77777777" w:rsidTr="00454966">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451F5FA7" w14:textId="77777777" w:rsidR="00454966" w:rsidRDefault="00454966">
            <w:pPr>
              <w:jc w:val="center"/>
              <w:rPr>
                <w:b/>
                <w:bCs/>
                <w:sz w:val="20"/>
              </w:rPr>
            </w:pPr>
            <w:r>
              <w:rPr>
                <w:b/>
                <w:bCs/>
                <w:sz w:val="20"/>
              </w:rPr>
              <w:t xml:space="preserve">Serious Mental Illness in the </w:t>
            </w:r>
            <w:r>
              <w:rPr>
                <w:b/>
                <w:bCs/>
                <w:i/>
                <w:iCs/>
                <w:sz w:val="20"/>
                <w:u w:val="single"/>
              </w:rPr>
              <w:t>Past Year</w:t>
            </w:r>
            <w:r>
              <w:rPr>
                <w:b/>
                <w:bCs/>
                <w:sz w:val="20"/>
              </w:rPr>
              <w:t xml:space="preserve"> by Age Group Among Residents</w:t>
            </w:r>
            <w:r>
              <w:rPr>
                <w:b/>
                <w:bCs/>
                <w:sz w:val="20"/>
              </w:rPr>
              <w:br/>
              <w:t xml:space="preserve"> of Greater New Orleans Parishes and Statewide, 2019*</w:t>
            </w:r>
          </w:p>
        </w:tc>
      </w:tr>
      <w:tr w:rsidR="00454966" w14:paraId="0E4418A6"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B8419" w14:textId="77777777" w:rsidR="00454966" w:rsidRDefault="00454966">
            <w:pPr>
              <w:jc w:val="center"/>
              <w:rPr>
                <w:sz w:val="20"/>
              </w:rPr>
            </w:pPr>
            <w:r>
              <w:rPr>
                <w:sz w:val="20"/>
              </w:rPr>
              <w:t>Age Groups</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7A92C" w14:textId="0C8B5D2D" w:rsidR="00454966" w:rsidRDefault="00454966">
            <w:pPr>
              <w:jc w:val="center"/>
              <w:rPr>
                <w:sz w:val="20"/>
              </w:rPr>
            </w:pPr>
            <w:r>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1BAA6" w14:textId="77777777" w:rsidR="00454966" w:rsidRDefault="00454966">
            <w:pPr>
              <w:jc w:val="center"/>
              <w:rPr>
                <w:sz w:val="20"/>
              </w:rPr>
            </w:pPr>
            <w:r>
              <w:rPr>
                <w:sz w:val="20"/>
              </w:rPr>
              <w:t>Greater New Orleans</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25EF4" w14:textId="77777777" w:rsidR="00454966" w:rsidRDefault="00454966">
            <w:pPr>
              <w:jc w:val="center"/>
              <w:rPr>
                <w:sz w:val="20"/>
              </w:rPr>
            </w:pPr>
            <w:r>
              <w:rPr>
                <w:sz w:val="20"/>
              </w:rPr>
              <w:t>Metro-</w:t>
            </w:r>
            <w:proofErr w:type="spellStart"/>
            <w:r>
              <w:rPr>
                <w:sz w:val="20"/>
              </w:rPr>
              <w:t>politan</w:t>
            </w:r>
            <w:proofErr w:type="spellEnd"/>
            <w:r>
              <w:rPr>
                <w:sz w:val="20"/>
              </w:rPr>
              <w:t xml:space="preserve"> HSA</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178A8" w14:textId="77777777" w:rsidR="00454966" w:rsidRDefault="00454966">
            <w:pPr>
              <w:jc w:val="center"/>
              <w:rPr>
                <w:sz w:val="20"/>
              </w:rPr>
            </w:pPr>
            <w:r>
              <w:rPr>
                <w:sz w:val="20"/>
              </w:rPr>
              <w:t>Orleans Parish</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E797A" w14:textId="77777777" w:rsidR="00454966" w:rsidRDefault="00454966">
            <w:pPr>
              <w:jc w:val="center"/>
              <w:rPr>
                <w:sz w:val="20"/>
              </w:rPr>
            </w:pPr>
            <w:r>
              <w:rPr>
                <w:sz w:val="20"/>
              </w:rPr>
              <w:t>Plaque-mines Parish</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74337" w14:textId="77777777" w:rsidR="00454966" w:rsidRDefault="00454966">
            <w:pPr>
              <w:jc w:val="center"/>
              <w:rPr>
                <w:sz w:val="20"/>
              </w:rPr>
            </w:pPr>
            <w:r>
              <w:rPr>
                <w:sz w:val="20"/>
              </w:rPr>
              <w:t>St. Bernard Parish</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A8599" w14:textId="77777777" w:rsidR="00454966" w:rsidRDefault="00454966">
            <w:pPr>
              <w:jc w:val="center"/>
              <w:rPr>
                <w:sz w:val="20"/>
              </w:rPr>
            </w:pPr>
            <w:r>
              <w:rPr>
                <w:sz w:val="20"/>
              </w:rPr>
              <w:t>Jefferson Parish HSA</w:t>
            </w:r>
          </w:p>
        </w:tc>
      </w:tr>
      <w:tr w:rsidR="00454966" w14:paraId="1FC273A3"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5725884" w14:textId="77777777" w:rsidR="00454966" w:rsidRDefault="00454966">
            <w:pPr>
              <w:rPr>
                <w:sz w:val="20"/>
              </w:rPr>
            </w:pPr>
            <w:r>
              <w:rPr>
                <w:sz w:val="20"/>
              </w:rPr>
              <w:t xml:space="preserve">Adolescents 12-17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EBAB357"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7F0652" w14:textId="77777777" w:rsidR="00454966" w:rsidRDefault="00454966">
            <w:pPr>
              <w:rPr>
                <w:sz w:val="20"/>
              </w:rPr>
            </w:pPr>
            <w:r>
              <w:rPr>
                <w:sz w:val="20"/>
              </w:rPr>
              <w:t>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322390E"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F38994" w14:textId="77777777" w:rsidR="00454966" w:rsidRDefault="00454966">
            <w:pPr>
              <w:rPr>
                <w:sz w:val="20"/>
              </w:rPr>
            </w:pPr>
            <w:r>
              <w:rPr>
                <w:sz w:val="20"/>
              </w:rPr>
              <w:t>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03F1D527"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F8AD94F"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CBFA8FB" w14:textId="77777777" w:rsidR="00454966" w:rsidRDefault="00454966">
            <w:pPr>
              <w:rPr>
                <w:sz w:val="20"/>
              </w:rPr>
            </w:pPr>
            <w:r>
              <w:rPr>
                <w:sz w:val="20"/>
              </w:rPr>
              <w:t> </w:t>
            </w:r>
          </w:p>
        </w:tc>
      </w:tr>
      <w:tr w:rsidR="00454966" w14:paraId="2D334124"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01DAEE83" w14:textId="77777777" w:rsidR="00454966" w:rsidRDefault="00454966">
            <w:pPr>
              <w:rPr>
                <w:sz w:val="20"/>
              </w:rPr>
            </w:pPr>
            <w:r>
              <w:rPr>
                <w:sz w:val="20"/>
              </w:rPr>
              <w:t xml:space="preserve">    Population</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6FCD734" w14:textId="77777777" w:rsidR="00454966" w:rsidRDefault="00454966">
            <w:pPr>
              <w:jc w:val="right"/>
              <w:rPr>
                <w:sz w:val="20"/>
              </w:rPr>
            </w:pPr>
            <w:r>
              <w:rPr>
                <w:sz w:val="20"/>
              </w:rPr>
              <w:t>360,774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D8C7E6" w14:textId="77777777" w:rsidR="00454966" w:rsidRDefault="00454966">
            <w:pPr>
              <w:jc w:val="right"/>
              <w:rPr>
                <w:sz w:val="20"/>
              </w:rPr>
            </w:pPr>
            <w:r>
              <w:rPr>
                <w:sz w:val="20"/>
              </w:rPr>
              <w:t>61,207</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379A383" w14:textId="77777777" w:rsidR="00454966" w:rsidRDefault="00454966">
            <w:pPr>
              <w:jc w:val="right"/>
              <w:rPr>
                <w:sz w:val="20"/>
              </w:rPr>
            </w:pPr>
            <w:r>
              <w:rPr>
                <w:sz w:val="20"/>
              </w:rPr>
              <w:t>30,822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82B439" w14:textId="77777777" w:rsidR="00454966" w:rsidRDefault="00454966">
            <w:pPr>
              <w:jc w:val="right"/>
              <w:rPr>
                <w:sz w:val="20"/>
              </w:rPr>
            </w:pPr>
            <w:r>
              <w:rPr>
                <w:sz w:val="20"/>
              </w:rPr>
              <w:t>24,697</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3D48F488" w14:textId="77777777" w:rsidR="00454966" w:rsidRDefault="00454966">
            <w:pPr>
              <w:jc w:val="right"/>
              <w:rPr>
                <w:sz w:val="20"/>
              </w:rPr>
            </w:pPr>
            <w:r>
              <w:rPr>
                <w:sz w:val="20"/>
              </w:rPr>
              <w:t>2,081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2D9C8C5" w14:textId="77777777" w:rsidR="00454966" w:rsidRDefault="00454966">
            <w:pPr>
              <w:jc w:val="right"/>
              <w:rPr>
                <w:sz w:val="20"/>
              </w:rPr>
            </w:pPr>
            <w:r>
              <w:rPr>
                <w:sz w:val="20"/>
              </w:rPr>
              <w:t>4,044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7F7EC5B" w14:textId="77777777" w:rsidR="00454966" w:rsidRDefault="00454966">
            <w:pPr>
              <w:jc w:val="right"/>
              <w:rPr>
                <w:sz w:val="20"/>
              </w:rPr>
            </w:pPr>
            <w:r>
              <w:rPr>
                <w:sz w:val="20"/>
              </w:rPr>
              <w:t>30,385</w:t>
            </w:r>
          </w:p>
        </w:tc>
      </w:tr>
      <w:tr w:rsidR="00454966" w14:paraId="7AFC8788"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256D301" w14:textId="0A0C1237" w:rsidR="00454966" w:rsidRDefault="00454966">
            <w:pPr>
              <w:rPr>
                <w:sz w:val="20"/>
              </w:rPr>
            </w:pPr>
            <w:r>
              <w:rPr>
                <w:sz w:val="20"/>
              </w:rPr>
              <w:t xml:space="preserve">    </w:t>
            </w:r>
            <w:r w:rsidR="00BD1693">
              <w:rPr>
                <w:sz w:val="20"/>
              </w:rPr>
              <w:t>Rate (%)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77E9876E" w14:textId="77777777" w:rsidR="00454966" w:rsidRDefault="00454966">
            <w:pPr>
              <w:jc w:val="center"/>
              <w:rPr>
                <w:sz w:val="20"/>
              </w:rPr>
            </w:pPr>
            <w:proofErr w:type="spellStart"/>
            <w:r>
              <w:rPr>
                <w:sz w:val="20"/>
              </w:rPr>
              <w:t>n.a.</w:t>
            </w:r>
            <w:proofErr w:type="spellEnd"/>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4FD7E65" w14:textId="77777777" w:rsidR="00454966" w:rsidRDefault="00454966">
            <w:pPr>
              <w:jc w:val="center"/>
              <w:rPr>
                <w:sz w:val="20"/>
              </w:rPr>
            </w:pPr>
            <w:proofErr w:type="spellStart"/>
            <w:r>
              <w:rPr>
                <w:sz w:val="20"/>
              </w:rPr>
              <w:t>n.a.</w:t>
            </w:r>
            <w:proofErr w:type="spellEnd"/>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BE6D737" w14:textId="77777777" w:rsidR="00454966" w:rsidRDefault="00454966">
            <w:pPr>
              <w:jc w:val="center"/>
              <w:rPr>
                <w:sz w:val="20"/>
              </w:rPr>
            </w:pPr>
            <w:proofErr w:type="spellStart"/>
            <w:r>
              <w:rPr>
                <w:sz w:val="20"/>
              </w:rPr>
              <w:t>n.a.</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B0963" w14:textId="77777777" w:rsidR="00454966" w:rsidRDefault="00454966">
            <w:pPr>
              <w:jc w:val="center"/>
              <w:rPr>
                <w:sz w:val="20"/>
              </w:rPr>
            </w:pPr>
            <w:proofErr w:type="spellStart"/>
            <w:r>
              <w:rPr>
                <w:sz w:val="20"/>
              </w:rPr>
              <w:t>n.a.</w:t>
            </w:r>
            <w:proofErr w:type="spellEnd"/>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B03DB7A" w14:textId="77777777" w:rsidR="00454966" w:rsidRDefault="00454966">
            <w:pPr>
              <w:jc w:val="center"/>
              <w:rPr>
                <w:sz w:val="20"/>
              </w:rPr>
            </w:pPr>
            <w:proofErr w:type="spellStart"/>
            <w:r>
              <w:rPr>
                <w:sz w:val="20"/>
              </w:rPr>
              <w:t>n.a.</w:t>
            </w:r>
            <w:proofErr w:type="spellEnd"/>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E07C038" w14:textId="77777777" w:rsidR="00454966" w:rsidRDefault="00454966">
            <w:pPr>
              <w:jc w:val="center"/>
              <w:rPr>
                <w:sz w:val="20"/>
              </w:rPr>
            </w:pPr>
            <w:proofErr w:type="spellStart"/>
            <w:r>
              <w:rPr>
                <w:sz w:val="20"/>
              </w:rPr>
              <w:t>n.a.</w:t>
            </w:r>
            <w:proofErr w:type="spellEnd"/>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A662093" w14:textId="77777777" w:rsidR="00454966" w:rsidRDefault="00454966">
            <w:pPr>
              <w:jc w:val="center"/>
              <w:rPr>
                <w:sz w:val="20"/>
              </w:rPr>
            </w:pPr>
            <w:proofErr w:type="spellStart"/>
            <w:r>
              <w:rPr>
                <w:sz w:val="20"/>
              </w:rPr>
              <w:t>n.a.</w:t>
            </w:r>
            <w:proofErr w:type="spellEnd"/>
          </w:p>
        </w:tc>
      </w:tr>
      <w:tr w:rsidR="00454966" w14:paraId="4C8EB1BB" w14:textId="77777777" w:rsidTr="00454966">
        <w:trPr>
          <w:trHeight w:val="25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44E86E55" w14:textId="77777777" w:rsidR="00454966" w:rsidRDefault="00454966">
            <w:pPr>
              <w:rPr>
                <w:sz w:val="20"/>
              </w:rPr>
            </w:pPr>
            <w:r>
              <w:rPr>
                <w:sz w:val="20"/>
              </w:rPr>
              <w:t xml:space="preserve">    Number Prevalent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D8B85" w14:textId="77777777" w:rsidR="00454966" w:rsidRDefault="00454966">
            <w:pPr>
              <w:jc w:val="center"/>
              <w:rPr>
                <w:sz w:val="20"/>
              </w:rPr>
            </w:pPr>
            <w:proofErr w:type="spellStart"/>
            <w:r>
              <w:rPr>
                <w:sz w:val="20"/>
              </w:rPr>
              <w:t>n.a.</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E4297" w14:textId="77777777" w:rsidR="00454966" w:rsidRDefault="00454966">
            <w:pPr>
              <w:jc w:val="center"/>
              <w:rPr>
                <w:sz w:val="20"/>
              </w:rPr>
            </w:pPr>
            <w:proofErr w:type="spellStart"/>
            <w:r>
              <w:rPr>
                <w:sz w:val="20"/>
              </w:rPr>
              <w:t>n.a.</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D4318" w14:textId="77777777" w:rsidR="00454966" w:rsidRDefault="00454966">
            <w:pPr>
              <w:jc w:val="center"/>
              <w:rPr>
                <w:sz w:val="20"/>
              </w:rPr>
            </w:pPr>
            <w:proofErr w:type="spellStart"/>
            <w:r>
              <w:rPr>
                <w:sz w:val="20"/>
              </w:rPr>
              <w:t>n.a.</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3B7F4" w14:textId="77777777" w:rsidR="00454966" w:rsidRDefault="00454966">
            <w:pPr>
              <w:jc w:val="center"/>
              <w:rPr>
                <w:sz w:val="20"/>
              </w:rPr>
            </w:pPr>
            <w:proofErr w:type="spellStart"/>
            <w:r>
              <w:rPr>
                <w:sz w:val="20"/>
              </w:rPr>
              <w:t>n.a.</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4C303" w14:textId="77777777" w:rsidR="00454966" w:rsidRDefault="00454966">
            <w:pPr>
              <w:jc w:val="center"/>
              <w:rPr>
                <w:sz w:val="20"/>
              </w:rPr>
            </w:pPr>
            <w:proofErr w:type="spellStart"/>
            <w:r>
              <w:rPr>
                <w:sz w:val="20"/>
              </w:rPr>
              <w:t>n.a.</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A2CD9" w14:textId="77777777" w:rsidR="00454966" w:rsidRDefault="00454966">
            <w:pPr>
              <w:jc w:val="center"/>
              <w:rPr>
                <w:sz w:val="20"/>
              </w:rPr>
            </w:pPr>
            <w:proofErr w:type="spellStart"/>
            <w:r>
              <w:rPr>
                <w:sz w:val="20"/>
              </w:rPr>
              <w:t>n.a.</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743BE" w14:textId="77777777" w:rsidR="00454966" w:rsidRDefault="00454966">
            <w:pPr>
              <w:jc w:val="center"/>
              <w:rPr>
                <w:sz w:val="20"/>
              </w:rPr>
            </w:pPr>
            <w:proofErr w:type="spellStart"/>
            <w:r>
              <w:rPr>
                <w:sz w:val="20"/>
              </w:rPr>
              <w:t>n.a.</w:t>
            </w:r>
            <w:proofErr w:type="spellEnd"/>
          </w:p>
        </w:tc>
      </w:tr>
      <w:tr w:rsidR="00454966" w14:paraId="64273DAE"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9452761" w14:textId="77777777" w:rsidR="00454966" w:rsidRDefault="00454966">
            <w:pPr>
              <w:rPr>
                <w:sz w:val="20"/>
              </w:rPr>
            </w:pPr>
            <w:r>
              <w:rPr>
                <w:sz w:val="20"/>
              </w:rPr>
              <w:t xml:space="preserve">Young Adults 18-25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0D0482EB"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1F1A36" w14:textId="77777777" w:rsidR="00454966" w:rsidRDefault="00454966">
            <w:pPr>
              <w:rPr>
                <w:sz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13D3CDF"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54F3C8" w14:textId="77777777" w:rsidR="00454966" w:rsidRDefault="00454966">
            <w:pPr>
              <w:rPr>
                <w:sz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7190A8C"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6B67892"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13C5F77" w14:textId="77777777" w:rsidR="00454966" w:rsidRDefault="00454966">
            <w:pPr>
              <w:rPr>
                <w:sz w:val="20"/>
              </w:rPr>
            </w:pPr>
            <w:r>
              <w:rPr>
                <w:sz w:val="20"/>
              </w:rPr>
              <w:t> </w:t>
            </w:r>
          </w:p>
        </w:tc>
      </w:tr>
      <w:tr w:rsidR="00454966" w14:paraId="47574527"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0763A2A" w14:textId="77777777" w:rsidR="00454966" w:rsidRDefault="00454966">
            <w:pPr>
              <w:rPr>
                <w:sz w:val="20"/>
              </w:rPr>
            </w:pPr>
            <w:r>
              <w:rPr>
                <w:sz w:val="20"/>
              </w:rPr>
              <w:t xml:space="preserve">    Population</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2A2440F" w14:textId="77777777" w:rsidR="00454966" w:rsidRDefault="00454966">
            <w:pPr>
              <w:jc w:val="right"/>
              <w:rPr>
                <w:sz w:val="20"/>
              </w:rPr>
            </w:pPr>
            <w:r>
              <w:rPr>
                <w:sz w:val="20"/>
              </w:rPr>
              <w:t>483,697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19D562" w14:textId="77777777" w:rsidR="00454966" w:rsidRDefault="00454966">
            <w:pPr>
              <w:jc w:val="right"/>
              <w:rPr>
                <w:sz w:val="20"/>
              </w:rPr>
            </w:pPr>
            <w:r>
              <w:rPr>
                <w:sz w:val="20"/>
              </w:rPr>
              <w:t>82,407</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81BD397" w14:textId="77777777" w:rsidR="00454966" w:rsidRDefault="00454966">
            <w:pPr>
              <w:jc w:val="right"/>
              <w:rPr>
                <w:sz w:val="20"/>
              </w:rPr>
            </w:pPr>
            <w:r>
              <w:rPr>
                <w:sz w:val="20"/>
              </w:rPr>
              <w:t>44,790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910A2B" w14:textId="77777777" w:rsidR="00454966" w:rsidRDefault="00454966">
            <w:pPr>
              <w:jc w:val="right"/>
              <w:rPr>
                <w:sz w:val="20"/>
              </w:rPr>
            </w:pPr>
            <w:r>
              <w:rPr>
                <w:sz w:val="20"/>
              </w:rPr>
              <w:t>38,392</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D3FE3F2" w14:textId="77777777" w:rsidR="00454966" w:rsidRDefault="00454966">
            <w:pPr>
              <w:jc w:val="right"/>
              <w:rPr>
                <w:sz w:val="20"/>
              </w:rPr>
            </w:pPr>
            <w:r>
              <w:rPr>
                <w:sz w:val="20"/>
              </w:rPr>
              <w:t>2,265</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71889F8" w14:textId="77777777" w:rsidR="00454966" w:rsidRDefault="00454966">
            <w:pPr>
              <w:jc w:val="right"/>
              <w:rPr>
                <w:sz w:val="20"/>
              </w:rPr>
            </w:pPr>
            <w:r>
              <w:rPr>
                <w:sz w:val="20"/>
              </w:rPr>
              <w:t>4,133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3719468" w14:textId="77777777" w:rsidR="00454966" w:rsidRDefault="00454966">
            <w:pPr>
              <w:jc w:val="right"/>
              <w:rPr>
                <w:sz w:val="20"/>
              </w:rPr>
            </w:pPr>
            <w:r>
              <w:rPr>
                <w:sz w:val="20"/>
              </w:rPr>
              <w:t>37,617</w:t>
            </w:r>
          </w:p>
        </w:tc>
      </w:tr>
      <w:tr w:rsidR="00454966" w14:paraId="626B98B6"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A04CE2B" w14:textId="77777777" w:rsidR="00454966" w:rsidRDefault="00454966">
            <w:pPr>
              <w:rPr>
                <w:sz w:val="20"/>
              </w:rPr>
            </w:pPr>
            <w:r>
              <w:rPr>
                <w:sz w:val="20"/>
              </w:rPr>
              <w:t xml:space="preserve">    Rate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5664221" w14:textId="77777777" w:rsidR="00454966" w:rsidRDefault="00454966">
            <w:pPr>
              <w:jc w:val="right"/>
              <w:rPr>
                <w:sz w:val="20"/>
              </w:rPr>
            </w:pPr>
            <w:r>
              <w:rPr>
                <w:sz w:val="20"/>
              </w:rPr>
              <w:t>6.04%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F03C53A" w14:textId="77777777" w:rsidR="00454966" w:rsidRDefault="00454966">
            <w:pPr>
              <w:jc w:val="right"/>
              <w:rPr>
                <w:sz w:val="20"/>
              </w:rPr>
            </w:pPr>
            <w:r>
              <w:rPr>
                <w:sz w:val="20"/>
              </w:rPr>
              <w:t>6.15%</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EB228B9" w14:textId="77777777" w:rsidR="00454966" w:rsidRDefault="00454966">
            <w:pPr>
              <w:jc w:val="right"/>
              <w:rPr>
                <w:sz w:val="20"/>
              </w:rPr>
            </w:pPr>
            <w:r>
              <w:rPr>
                <w:sz w:val="20"/>
              </w:rPr>
              <w:t>6.04%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11535" w14:textId="77777777" w:rsidR="00454966" w:rsidRDefault="00454966">
            <w:pPr>
              <w:jc w:val="right"/>
              <w:rPr>
                <w:sz w:val="20"/>
              </w:rPr>
            </w:pPr>
            <w:r>
              <w:rPr>
                <w:sz w:val="20"/>
              </w:rPr>
              <w:t>6.04%</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0727371F" w14:textId="77777777" w:rsidR="00454966" w:rsidRDefault="00454966">
            <w:pPr>
              <w:jc w:val="right"/>
              <w:rPr>
                <w:sz w:val="20"/>
              </w:rPr>
            </w:pPr>
            <w:r>
              <w:rPr>
                <w:sz w:val="20"/>
              </w:rPr>
              <w:t>6.04%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67A61D4" w14:textId="77777777" w:rsidR="00454966" w:rsidRDefault="00454966">
            <w:pPr>
              <w:jc w:val="right"/>
              <w:rPr>
                <w:sz w:val="20"/>
              </w:rPr>
            </w:pPr>
            <w:r>
              <w:rPr>
                <w:sz w:val="20"/>
              </w:rPr>
              <w:t>6.04%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007B305" w14:textId="77777777" w:rsidR="00454966" w:rsidRDefault="00454966">
            <w:pPr>
              <w:jc w:val="right"/>
              <w:rPr>
                <w:sz w:val="20"/>
              </w:rPr>
            </w:pPr>
            <w:r>
              <w:rPr>
                <w:sz w:val="20"/>
              </w:rPr>
              <w:t>6.30%</w:t>
            </w:r>
          </w:p>
        </w:tc>
      </w:tr>
      <w:tr w:rsidR="00454966" w14:paraId="1844DC51"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4CE6C69" w14:textId="77777777" w:rsidR="00454966" w:rsidRDefault="00454966">
            <w:pPr>
              <w:rPr>
                <w:sz w:val="20"/>
              </w:rPr>
            </w:pPr>
            <w:r>
              <w:rPr>
                <w:sz w:val="20"/>
              </w:rPr>
              <w:t xml:space="preserve">    Number Prevalent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1E060" w14:textId="77777777" w:rsidR="00454966" w:rsidRDefault="00454966">
            <w:pPr>
              <w:jc w:val="right"/>
              <w:rPr>
                <w:sz w:val="20"/>
              </w:rPr>
            </w:pPr>
            <w:r>
              <w:rPr>
                <w:sz w:val="20"/>
              </w:rPr>
              <w:t>29,193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96963" w14:textId="77777777" w:rsidR="00454966" w:rsidRDefault="00454966">
            <w:pPr>
              <w:jc w:val="right"/>
              <w:rPr>
                <w:sz w:val="20"/>
              </w:rPr>
            </w:pPr>
            <w:r>
              <w:rPr>
                <w:sz w:val="20"/>
              </w:rPr>
              <w:t>5,064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CE2BE" w14:textId="77777777" w:rsidR="00454966" w:rsidRDefault="00454966">
            <w:pPr>
              <w:jc w:val="right"/>
              <w:rPr>
                <w:sz w:val="20"/>
              </w:rPr>
            </w:pPr>
            <w:r>
              <w:rPr>
                <w:sz w:val="20"/>
              </w:rPr>
              <w:t>2,704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35C74" w14:textId="77777777" w:rsidR="00454966" w:rsidRDefault="00454966">
            <w:pPr>
              <w:jc w:val="right"/>
              <w:rPr>
                <w:sz w:val="20"/>
              </w:rPr>
            </w:pPr>
            <w:r>
              <w:rPr>
                <w:sz w:val="20"/>
              </w:rPr>
              <w:t>2,318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EA848" w14:textId="77777777" w:rsidR="00454966" w:rsidRDefault="00454966">
            <w:pPr>
              <w:jc w:val="right"/>
              <w:rPr>
                <w:sz w:val="20"/>
              </w:rPr>
            </w:pPr>
            <w:r>
              <w:rPr>
                <w:sz w:val="20"/>
              </w:rPr>
              <w:t>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A9956" w14:textId="77777777" w:rsidR="00454966" w:rsidRDefault="00454966">
            <w:pPr>
              <w:jc w:val="right"/>
              <w:rPr>
                <w:sz w:val="20"/>
              </w:rPr>
            </w:pPr>
            <w:r>
              <w:rPr>
                <w:sz w:val="20"/>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96783" w14:textId="77777777" w:rsidR="00454966" w:rsidRDefault="00454966">
            <w:pPr>
              <w:jc w:val="right"/>
              <w:rPr>
                <w:sz w:val="20"/>
              </w:rPr>
            </w:pPr>
            <w:r>
              <w:rPr>
                <w:sz w:val="20"/>
              </w:rPr>
              <w:t>2,369</w:t>
            </w:r>
          </w:p>
        </w:tc>
      </w:tr>
      <w:tr w:rsidR="00454966" w14:paraId="42376427" w14:textId="77777777" w:rsidTr="00454966">
        <w:trPr>
          <w:trHeight w:val="255"/>
        </w:trPr>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24C4CD18" w14:textId="53DA3D5B" w:rsidR="00454966" w:rsidRDefault="00454966">
            <w:pPr>
              <w:rPr>
                <w:sz w:val="20"/>
              </w:rPr>
            </w:pPr>
            <w:r>
              <w:rPr>
                <w:sz w:val="20"/>
              </w:rPr>
              <w:t xml:space="preserve">Older Adults </w:t>
            </w:r>
            <w:r w:rsidR="00240C80">
              <w:rPr>
                <w:sz w:val="20"/>
              </w:rPr>
              <w:t>26+</w:t>
            </w:r>
            <w:r>
              <w:rPr>
                <w:sz w:val="20"/>
              </w:rPr>
              <w:t xml:space="preserve">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CFCD801"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7605F" w14:textId="77777777" w:rsidR="00454966" w:rsidRDefault="00454966">
            <w:pPr>
              <w:rPr>
                <w:sz w:val="20"/>
              </w:rPr>
            </w:pPr>
            <w:r>
              <w:rPr>
                <w:sz w:val="20"/>
              </w:rPr>
              <w:t>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7F391DAF"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34C878" w14:textId="77777777" w:rsidR="00454966" w:rsidRDefault="00454966">
            <w:pPr>
              <w:rPr>
                <w:sz w:val="20"/>
              </w:rPr>
            </w:pPr>
            <w:r>
              <w:rPr>
                <w:sz w:val="20"/>
              </w:rPr>
              <w:t>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7CFB9435"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A71B5AE"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753BAF0" w14:textId="77777777" w:rsidR="00454966" w:rsidRDefault="00454966">
            <w:pPr>
              <w:rPr>
                <w:sz w:val="20"/>
              </w:rPr>
            </w:pPr>
            <w:r>
              <w:rPr>
                <w:sz w:val="20"/>
              </w:rPr>
              <w:t> </w:t>
            </w:r>
          </w:p>
        </w:tc>
      </w:tr>
      <w:tr w:rsidR="00454966" w14:paraId="1563D23A"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209F346" w14:textId="77777777" w:rsidR="00454966" w:rsidRDefault="00454966">
            <w:pPr>
              <w:rPr>
                <w:sz w:val="20"/>
              </w:rPr>
            </w:pPr>
            <w:r>
              <w:rPr>
                <w:sz w:val="20"/>
              </w:rPr>
              <w:t xml:space="preserve">    Population</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32C6ACBB" w14:textId="77777777" w:rsidR="00454966" w:rsidRDefault="00454966">
            <w:pPr>
              <w:jc w:val="right"/>
              <w:rPr>
                <w:sz w:val="20"/>
              </w:rPr>
            </w:pPr>
            <w:r>
              <w:rPr>
                <w:sz w:val="20"/>
              </w:rPr>
              <w:t>3,077,467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DD55C8" w14:textId="77777777" w:rsidR="00454966" w:rsidRDefault="00454966">
            <w:pPr>
              <w:jc w:val="right"/>
              <w:rPr>
                <w:sz w:val="20"/>
              </w:rPr>
            </w:pPr>
            <w:r>
              <w:rPr>
                <w:sz w:val="20"/>
              </w:rPr>
              <w:t>619,618</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83096F2" w14:textId="77777777" w:rsidR="00454966" w:rsidRDefault="00454966">
            <w:pPr>
              <w:jc w:val="right"/>
              <w:rPr>
                <w:sz w:val="20"/>
              </w:rPr>
            </w:pPr>
            <w:r>
              <w:rPr>
                <w:sz w:val="20"/>
              </w:rPr>
              <w:t>320,039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1BB215" w14:textId="77777777" w:rsidR="00454966" w:rsidRDefault="00454966">
            <w:pPr>
              <w:jc w:val="right"/>
              <w:rPr>
                <w:sz w:val="20"/>
              </w:rPr>
            </w:pPr>
            <w:r>
              <w:rPr>
                <w:sz w:val="20"/>
              </w:rPr>
              <w:t>274,472</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08BA63F" w14:textId="77777777" w:rsidR="00454966" w:rsidRDefault="00454966">
            <w:pPr>
              <w:jc w:val="right"/>
              <w:rPr>
                <w:sz w:val="20"/>
              </w:rPr>
            </w:pPr>
            <w:r>
              <w:rPr>
                <w:sz w:val="20"/>
              </w:rPr>
              <w:t>14,956</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87597D3" w14:textId="77777777" w:rsidR="00454966" w:rsidRDefault="00454966">
            <w:pPr>
              <w:jc w:val="right"/>
              <w:rPr>
                <w:sz w:val="20"/>
              </w:rPr>
            </w:pPr>
            <w:r>
              <w:rPr>
                <w:sz w:val="20"/>
              </w:rPr>
              <w:t>30,611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24E6ACC" w14:textId="77777777" w:rsidR="00454966" w:rsidRDefault="00454966">
            <w:pPr>
              <w:jc w:val="right"/>
              <w:rPr>
                <w:sz w:val="20"/>
              </w:rPr>
            </w:pPr>
            <w:r>
              <w:rPr>
                <w:sz w:val="20"/>
              </w:rPr>
              <w:t>299,579</w:t>
            </w:r>
          </w:p>
        </w:tc>
      </w:tr>
      <w:tr w:rsidR="00454966" w14:paraId="734DF405"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184C4CE" w14:textId="77777777" w:rsidR="00454966" w:rsidRDefault="00454966">
            <w:pPr>
              <w:rPr>
                <w:sz w:val="20"/>
              </w:rPr>
            </w:pPr>
            <w:r>
              <w:rPr>
                <w:sz w:val="20"/>
              </w:rPr>
              <w:t xml:space="preserve">    Rate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D7ED320" w14:textId="77777777" w:rsidR="00454966" w:rsidRDefault="00454966">
            <w:pPr>
              <w:jc w:val="right"/>
              <w:rPr>
                <w:sz w:val="20"/>
              </w:rPr>
            </w:pPr>
            <w:r>
              <w:rPr>
                <w:sz w:val="20"/>
              </w:rPr>
              <w:t>4.71%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576469F" w14:textId="77777777" w:rsidR="00454966" w:rsidRDefault="00454966">
            <w:pPr>
              <w:jc w:val="right"/>
              <w:rPr>
                <w:sz w:val="20"/>
              </w:rPr>
            </w:pPr>
            <w:r>
              <w:rPr>
                <w:sz w:val="20"/>
              </w:rPr>
              <w:t>4.43%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5800CFD" w14:textId="77777777" w:rsidR="00454966" w:rsidRDefault="00454966">
            <w:pPr>
              <w:jc w:val="right"/>
              <w:rPr>
                <w:sz w:val="20"/>
              </w:rPr>
            </w:pPr>
            <w:r>
              <w:rPr>
                <w:sz w:val="20"/>
              </w:rPr>
              <w:t>4.49%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F2DD6" w14:textId="77777777" w:rsidR="00454966" w:rsidRDefault="00454966">
            <w:pPr>
              <w:jc w:val="right"/>
              <w:rPr>
                <w:sz w:val="20"/>
              </w:rPr>
            </w:pPr>
            <w:r>
              <w:rPr>
                <w:sz w:val="20"/>
              </w:rPr>
              <w:t>4.49%</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60E422F" w14:textId="77777777" w:rsidR="00454966" w:rsidRDefault="00454966">
            <w:pPr>
              <w:jc w:val="right"/>
              <w:rPr>
                <w:sz w:val="20"/>
              </w:rPr>
            </w:pPr>
            <w:r>
              <w:rPr>
                <w:sz w:val="20"/>
              </w:rPr>
              <w:t>4.49%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C0DDDF1" w14:textId="77777777" w:rsidR="00454966" w:rsidRDefault="00454966">
            <w:pPr>
              <w:jc w:val="right"/>
              <w:rPr>
                <w:sz w:val="20"/>
              </w:rPr>
            </w:pPr>
            <w:r>
              <w:rPr>
                <w:sz w:val="20"/>
              </w:rPr>
              <w:t>4.49%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B082A5D" w14:textId="77777777" w:rsidR="00454966" w:rsidRDefault="00454966">
            <w:pPr>
              <w:jc w:val="right"/>
              <w:rPr>
                <w:sz w:val="20"/>
              </w:rPr>
            </w:pPr>
            <w:r>
              <w:rPr>
                <w:sz w:val="20"/>
              </w:rPr>
              <w:t>4.36%</w:t>
            </w:r>
          </w:p>
        </w:tc>
      </w:tr>
      <w:tr w:rsidR="00454966" w14:paraId="55A1D4B6" w14:textId="77777777" w:rsidTr="00454966">
        <w:trPr>
          <w:trHeight w:val="25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097538A" w14:textId="77777777" w:rsidR="00454966" w:rsidRDefault="00454966">
            <w:pPr>
              <w:rPr>
                <w:sz w:val="20"/>
              </w:rPr>
            </w:pPr>
            <w:r>
              <w:rPr>
                <w:sz w:val="20"/>
              </w:rPr>
              <w:t xml:space="preserve">    Number Prevalent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C8205" w14:textId="77777777" w:rsidR="00454966" w:rsidRDefault="00454966">
            <w:pPr>
              <w:jc w:val="right"/>
              <w:rPr>
                <w:sz w:val="20"/>
              </w:rPr>
            </w:pPr>
            <w:r>
              <w:rPr>
                <w:sz w:val="20"/>
              </w:rPr>
              <w:t>144,813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4A5BA" w14:textId="77777777" w:rsidR="00454966" w:rsidRDefault="00454966">
            <w:pPr>
              <w:jc w:val="right"/>
              <w:rPr>
                <w:sz w:val="20"/>
              </w:rPr>
            </w:pPr>
            <w:r>
              <w:rPr>
                <w:sz w:val="20"/>
              </w:rPr>
              <w:t>27,457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694FB" w14:textId="77777777" w:rsidR="00454966" w:rsidRDefault="00454966">
            <w:pPr>
              <w:jc w:val="right"/>
              <w:rPr>
                <w:sz w:val="20"/>
              </w:rPr>
            </w:pPr>
            <w:r>
              <w:rPr>
                <w:sz w:val="20"/>
              </w:rPr>
              <w:t>14,377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E34CD" w14:textId="77777777" w:rsidR="00454966" w:rsidRDefault="00454966">
            <w:pPr>
              <w:jc w:val="right"/>
              <w:rPr>
                <w:sz w:val="20"/>
              </w:rPr>
            </w:pPr>
            <w:r>
              <w:rPr>
                <w:sz w:val="20"/>
              </w:rPr>
              <w:t>12,330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C9195" w14:textId="77777777" w:rsidR="00454966" w:rsidRDefault="00454966">
            <w:pPr>
              <w:jc w:val="right"/>
              <w:rPr>
                <w:sz w:val="20"/>
              </w:rPr>
            </w:pPr>
            <w:r>
              <w:rPr>
                <w:sz w:val="20"/>
              </w:rPr>
              <w:t>672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9FDA9" w14:textId="77777777" w:rsidR="00454966" w:rsidRDefault="00454966">
            <w:pPr>
              <w:jc w:val="right"/>
              <w:rPr>
                <w:sz w:val="20"/>
              </w:rPr>
            </w:pPr>
            <w:r>
              <w:rPr>
                <w:sz w:val="20"/>
              </w:rPr>
              <w:t>1,375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5120A" w14:textId="77777777" w:rsidR="00454966" w:rsidRDefault="00454966">
            <w:pPr>
              <w:jc w:val="right"/>
              <w:rPr>
                <w:sz w:val="20"/>
              </w:rPr>
            </w:pPr>
            <w:r>
              <w:rPr>
                <w:sz w:val="20"/>
              </w:rPr>
              <w:t>13,070</w:t>
            </w:r>
          </w:p>
        </w:tc>
      </w:tr>
      <w:tr w:rsidR="00454966" w14:paraId="570BC4F9"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C6A241B" w14:textId="77777777" w:rsidR="00454966" w:rsidRDefault="00454966">
            <w:pPr>
              <w:rPr>
                <w:sz w:val="20"/>
              </w:rPr>
            </w:pPr>
            <w:r>
              <w:rPr>
                <w:sz w:val="20"/>
              </w:rPr>
              <w:t xml:space="preserve">All Adults 18+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EF7FF6B"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0E7D05" w14:textId="77777777" w:rsidR="00454966" w:rsidRDefault="00454966">
            <w:pPr>
              <w:rPr>
                <w:sz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5DEF7CB" w14:textId="77777777" w:rsidR="00454966" w:rsidRDefault="00454966">
            <w:pPr>
              <w:rPr>
                <w:sz w:val="20"/>
              </w:rPr>
            </w:pPr>
            <w:r>
              <w:rPr>
                <w:sz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D4EB75" w14:textId="77777777" w:rsidR="00454966" w:rsidRDefault="00454966">
            <w:pPr>
              <w:rPr>
                <w:sz w:val="20"/>
              </w:rPr>
            </w:pP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7459B0A2"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FDA1B7B" w14:textId="77777777" w:rsidR="00454966" w:rsidRDefault="00454966">
            <w:pPr>
              <w:rPr>
                <w:sz w:val="20"/>
              </w:rPr>
            </w:pPr>
            <w:r>
              <w:rPr>
                <w:sz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D5D156C" w14:textId="77777777" w:rsidR="00454966" w:rsidRDefault="00454966">
            <w:pPr>
              <w:rPr>
                <w:sz w:val="20"/>
              </w:rPr>
            </w:pPr>
            <w:r>
              <w:rPr>
                <w:sz w:val="20"/>
              </w:rPr>
              <w:t> </w:t>
            </w:r>
          </w:p>
        </w:tc>
      </w:tr>
      <w:tr w:rsidR="00454966" w14:paraId="7D1866C6"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9905E25" w14:textId="77777777" w:rsidR="00454966" w:rsidRDefault="00454966">
            <w:pPr>
              <w:rPr>
                <w:sz w:val="20"/>
              </w:rPr>
            </w:pPr>
            <w:r>
              <w:rPr>
                <w:sz w:val="20"/>
              </w:rPr>
              <w:t xml:space="preserve">    Population</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32789B8B" w14:textId="77777777" w:rsidR="00454966" w:rsidRDefault="00454966">
            <w:pPr>
              <w:jc w:val="right"/>
              <w:rPr>
                <w:sz w:val="20"/>
              </w:rPr>
            </w:pPr>
            <w:r>
              <w:rPr>
                <w:sz w:val="20"/>
              </w:rPr>
              <w:t>3,561,164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F3DEC3" w14:textId="77777777" w:rsidR="00454966" w:rsidRDefault="00454966">
            <w:pPr>
              <w:jc w:val="right"/>
              <w:rPr>
                <w:sz w:val="20"/>
              </w:rPr>
            </w:pPr>
            <w:r>
              <w:rPr>
                <w:sz w:val="20"/>
              </w:rPr>
              <w:t>702,025</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1B5D2AE" w14:textId="77777777" w:rsidR="00454966" w:rsidRDefault="00454966">
            <w:pPr>
              <w:jc w:val="right"/>
              <w:rPr>
                <w:sz w:val="20"/>
              </w:rPr>
            </w:pPr>
            <w:r>
              <w:rPr>
                <w:sz w:val="20"/>
              </w:rPr>
              <w:t>364,829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603001" w14:textId="77777777" w:rsidR="00454966" w:rsidRDefault="00454966">
            <w:pPr>
              <w:jc w:val="right"/>
              <w:rPr>
                <w:sz w:val="20"/>
              </w:rPr>
            </w:pPr>
            <w:r>
              <w:rPr>
                <w:sz w:val="20"/>
              </w:rPr>
              <w:t>312,864</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01E8B8D" w14:textId="77777777" w:rsidR="00454966" w:rsidRDefault="00454966">
            <w:pPr>
              <w:jc w:val="right"/>
              <w:rPr>
                <w:sz w:val="20"/>
              </w:rPr>
            </w:pPr>
            <w:r>
              <w:rPr>
                <w:sz w:val="20"/>
              </w:rPr>
              <w:t>17,221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EDC7D5B" w14:textId="77777777" w:rsidR="00454966" w:rsidRDefault="00454966">
            <w:pPr>
              <w:jc w:val="right"/>
              <w:rPr>
                <w:sz w:val="20"/>
              </w:rPr>
            </w:pPr>
            <w:r>
              <w:rPr>
                <w:sz w:val="20"/>
              </w:rPr>
              <w:t>34,744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BC203CC" w14:textId="77777777" w:rsidR="00454966" w:rsidRDefault="00454966">
            <w:pPr>
              <w:jc w:val="right"/>
              <w:rPr>
                <w:sz w:val="20"/>
              </w:rPr>
            </w:pPr>
            <w:r>
              <w:rPr>
                <w:sz w:val="20"/>
              </w:rPr>
              <w:t>337,196</w:t>
            </w:r>
          </w:p>
        </w:tc>
      </w:tr>
      <w:tr w:rsidR="00454966" w14:paraId="2DD2946C" w14:textId="77777777" w:rsidTr="00454966">
        <w:trPr>
          <w:trHeight w:val="25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C2BA694" w14:textId="77777777" w:rsidR="00454966" w:rsidRDefault="00454966">
            <w:pPr>
              <w:rPr>
                <w:sz w:val="20"/>
              </w:rPr>
            </w:pPr>
            <w:r>
              <w:rPr>
                <w:sz w:val="20"/>
              </w:rPr>
              <w:t xml:space="preserve">    Rate (%)</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1A23DEE" w14:textId="77777777" w:rsidR="00454966" w:rsidRDefault="00454966">
            <w:pPr>
              <w:jc w:val="right"/>
              <w:rPr>
                <w:sz w:val="20"/>
              </w:rPr>
            </w:pPr>
            <w:r>
              <w:rPr>
                <w:sz w:val="20"/>
              </w:rPr>
              <w:t>4.89%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82E95D8" w14:textId="77777777" w:rsidR="00454966" w:rsidRDefault="00454966">
            <w:pPr>
              <w:jc w:val="right"/>
              <w:rPr>
                <w:sz w:val="20"/>
              </w:rPr>
            </w:pPr>
            <w:r>
              <w:rPr>
                <w:sz w:val="20"/>
              </w:rPr>
              <w:t>4.65%</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E377D1F" w14:textId="77777777" w:rsidR="00454966" w:rsidRDefault="00454966">
            <w:pPr>
              <w:jc w:val="right"/>
              <w:rPr>
                <w:sz w:val="20"/>
              </w:rPr>
            </w:pPr>
            <w:r>
              <w:rPr>
                <w:sz w:val="20"/>
              </w:rPr>
              <w:t>4.71%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C7FF8E" w14:textId="77777777" w:rsidR="00454966" w:rsidRDefault="00454966">
            <w:pPr>
              <w:jc w:val="right"/>
              <w:rPr>
                <w:sz w:val="20"/>
              </w:rPr>
            </w:pPr>
            <w:r>
              <w:rPr>
                <w:sz w:val="20"/>
              </w:rPr>
              <w:t>4.71%</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0A3B6A3" w14:textId="77777777" w:rsidR="00454966" w:rsidRDefault="00454966">
            <w:pPr>
              <w:jc w:val="right"/>
              <w:rPr>
                <w:sz w:val="20"/>
              </w:rPr>
            </w:pPr>
            <w:r>
              <w:rPr>
                <w:sz w:val="20"/>
              </w:rPr>
              <w:t>4.71%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3A27310" w14:textId="77777777" w:rsidR="00454966" w:rsidRDefault="00454966">
            <w:pPr>
              <w:jc w:val="right"/>
              <w:rPr>
                <w:sz w:val="20"/>
              </w:rPr>
            </w:pPr>
            <w:r>
              <w:rPr>
                <w:sz w:val="20"/>
              </w:rPr>
              <w:t>4.71%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A252392" w14:textId="77777777" w:rsidR="00454966" w:rsidRDefault="00454966">
            <w:pPr>
              <w:jc w:val="right"/>
              <w:rPr>
                <w:sz w:val="20"/>
              </w:rPr>
            </w:pPr>
            <w:r>
              <w:rPr>
                <w:sz w:val="20"/>
              </w:rPr>
              <w:t>4.58%</w:t>
            </w:r>
          </w:p>
        </w:tc>
      </w:tr>
      <w:tr w:rsidR="00454966" w14:paraId="53FDB238" w14:textId="77777777" w:rsidTr="00454966">
        <w:trPr>
          <w:trHeight w:val="25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0294BACC" w14:textId="77777777" w:rsidR="00454966" w:rsidRDefault="00454966">
            <w:pPr>
              <w:rPr>
                <w:sz w:val="20"/>
              </w:rPr>
            </w:pPr>
            <w:r>
              <w:rPr>
                <w:sz w:val="20"/>
              </w:rPr>
              <w:t xml:space="preserve">    Number Prevalent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EC322" w14:textId="77777777" w:rsidR="00454966" w:rsidRDefault="00454966">
            <w:pPr>
              <w:jc w:val="right"/>
              <w:rPr>
                <w:sz w:val="20"/>
              </w:rPr>
            </w:pPr>
            <w:r>
              <w:rPr>
                <w:sz w:val="20"/>
              </w:rPr>
              <w:t>174,200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0AA78" w14:textId="77777777" w:rsidR="00454966" w:rsidRDefault="00454966">
            <w:pPr>
              <w:jc w:val="right"/>
              <w:rPr>
                <w:sz w:val="20"/>
              </w:rPr>
            </w:pPr>
            <w:r>
              <w:rPr>
                <w:sz w:val="20"/>
              </w:rPr>
              <w:t>32,652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8BA7F" w14:textId="77777777" w:rsidR="00454966" w:rsidRDefault="00454966">
            <w:pPr>
              <w:jc w:val="right"/>
              <w:rPr>
                <w:sz w:val="20"/>
              </w:rPr>
            </w:pPr>
            <w:r>
              <w:rPr>
                <w:sz w:val="20"/>
              </w:rPr>
              <w:t>17,178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7928C" w14:textId="77777777" w:rsidR="00454966" w:rsidRDefault="00454966">
            <w:pPr>
              <w:jc w:val="right"/>
              <w:rPr>
                <w:sz w:val="20"/>
              </w:rPr>
            </w:pPr>
            <w:r>
              <w:rPr>
                <w:sz w:val="20"/>
              </w:rPr>
              <w:t>14,732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DDAB9" w14:textId="77777777" w:rsidR="00454966" w:rsidRDefault="00454966">
            <w:pPr>
              <w:jc w:val="right"/>
              <w:rPr>
                <w:sz w:val="20"/>
              </w:rPr>
            </w:pPr>
            <w:r>
              <w:rPr>
                <w:sz w:val="20"/>
              </w:rPr>
              <w:t>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CF18E" w14:textId="77777777" w:rsidR="00454966" w:rsidRDefault="00454966">
            <w:pPr>
              <w:jc w:val="right"/>
              <w:rPr>
                <w:sz w:val="20"/>
              </w:rPr>
            </w:pPr>
            <w:r>
              <w:rPr>
                <w:sz w:val="20"/>
              </w:rPr>
              <w:t>1,636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BA249" w14:textId="77777777" w:rsidR="00454966" w:rsidRDefault="00454966">
            <w:pPr>
              <w:jc w:val="right"/>
              <w:rPr>
                <w:sz w:val="20"/>
              </w:rPr>
            </w:pPr>
            <w:r>
              <w:rPr>
                <w:sz w:val="20"/>
              </w:rPr>
              <w:t>15,459</w:t>
            </w:r>
          </w:p>
        </w:tc>
      </w:tr>
      <w:tr w:rsidR="00454966" w14:paraId="27D90AE2" w14:textId="77777777" w:rsidTr="00BF315B">
        <w:trPr>
          <w:trHeight w:val="1136"/>
        </w:trPr>
        <w:tc>
          <w:tcPr>
            <w:tcW w:w="8980" w:type="dxa"/>
            <w:gridSpan w:val="8"/>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066E30A9" w14:textId="77777777" w:rsidR="00BF315B" w:rsidRDefault="00454966" w:rsidP="00BF315B">
            <w:pPr>
              <w:rPr>
                <w:sz w:val="18"/>
                <w:szCs w:val="18"/>
              </w:rPr>
            </w:pPr>
            <w:r>
              <w:rPr>
                <w:b/>
                <w:bCs/>
                <w:sz w:val="18"/>
                <w:szCs w:val="18"/>
              </w:rPr>
              <w:t xml:space="preserve">Notes: * </w:t>
            </w:r>
            <w:r>
              <w:rPr>
                <w:sz w:val="18"/>
                <w:szCs w:val="18"/>
              </w:rPr>
              <w:t>Prevalence rates are estimated by the National Survey of Drug Use and Health, 2016-2018. Parish population sizes are estimated by U.S. Census for July 1, 2019.</w:t>
            </w:r>
            <w:r>
              <w:rPr>
                <w:sz w:val="18"/>
                <w:szCs w:val="18"/>
              </w:rPr>
              <w:br/>
            </w:r>
            <w:proofErr w:type="spellStart"/>
            <w:r>
              <w:rPr>
                <w:sz w:val="18"/>
                <w:szCs w:val="18"/>
              </w:rPr>
              <w:t>n.a.</w:t>
            </w:r>
            <w:proofErr w:type="spellEnd"/>
            <w:r>
              <w:rPr>
                <w:sz w:val="18"/>
                <w:szCs w:val="18"/>
              </w:rPr>
              <w:t xml:space="preserve"> NSDUH does not estimate this indicator for adolescents.</w:t>
            </w:r>
          </w:p>
          <w:p w14:paraId="46AAF72B" w14:textId="713284A8" w:rsid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2BCB03BA" w14:textId="265AD2E2" w:rsidR="00454966" w:rsidRDefault="00454966"/>
    <w:p w14:paraId="23A7BE19" w14:textId="1AEDB1CF" w:rsidR="00454966" w:rsidRDefault="00454966">
      <w:r>
        <w:br w:type="page"/>
      </w:r>
    </w:p>
    <w:p w14:paraId="7D1268CD" w14:textId="6EE1870F" w:rsidR="00454966" w:rsidRDefault="00454966" w:rsidP="00CE532F">
      <w:pPr>
        <w:pStyle w:val="ListParagraph"/>
        <w:numPr>
          <w:ilvl w:val="0"/>
          <w:numId w:val="7"/>
        </w:numPr>
      </w:pPr>
      <w:bookmarkStart w:id="22" w:name="_Hlk58489172"/>
      <w:r w:rsidRPr="00454966">
        <w:lastRenderedPageBreak/>
        <w:t xml:space="preserve">Received Mental Health Services in the </w:t>
      </w:r>
      <w:r w:rsidRPr="00CE532F">
        <w:rPr>
          <w:i/>
          <w:iCs/>
        </w:rPr>
        <w:t>Past Year</w:t>
      </w:r>
    </w:p>
    <w:bookmarkEnd w:id="22"/>
    <w:p w14:paraId="5A29B7DE" w14:textId="0D7FAFE5"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3D4B78EF" w14:textId="77777777" w:rsidTr="00454966">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18CB011" w14:textId="77777777" w:rsidR="00454966" w:rsidRPr="00454966" w:rsidRDefault="00454966" w:rsidP="00454966">
            <w:pPr>
              <w:jc w:val="center"/>
              <w:rPr>
                <w:b/>
                <w:bCs/>
                <w:sz w:val="20"/>
              </w:rPr>
            </w:pPr>
            <w:r w:rsidRPr="00454966">
              <w:rPr>
                <w:b/>
                <w:bCs/>
                <w:sz w:val="20"/>
              </w:rPr>
              <w:t xml:space="preserve">Received Mental Health Services in the </w:t>
            </w:r>
            <w:r w:rsidRPr="00454966">
              <w:rPr>
                <w:b/>
                <w:bCs/>
                <w:i/>
                <w:iCs/>
                <w:sz w:val="20"/>
                <w:u w:val="single"/>
              </w:rPr>
              <w:t>Past Year</w:t>
            </w:r>
            <w:r w:rsidRPr="00454966">
              <w:rPr>
                <w:b/>
                <w:bCs/>
                <w:sz w:val="20"/>
              </w:rPr>
              <w:t xml:space="preserve"> by Age Group Among Residents</w:t>
            </w:r>
            <w:r w:rsidRPr="00454966">
              <w:rPr>
                <w:b/>
                <w:bCs/>
                <w:sz w:val="20"/>
              </w:rPr>
              <w:br/>
              <w:t xml:space="preserve"> of Greater New Orleans Parishes and Statewide, 2019*</w:t>
            </w:r>
          </w:p>
        </w:tc>
      </w:tr>
      <w:tr w:rsidR="00454966" w:rsidRPr="00454966" w14:paraId="4E9CCFF8"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36B2CF0"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11A7AAF0" w14:textId="73AA473C"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6855720E"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31057E1F"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3AC4287B"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1251B986"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6446FE0D"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128D37A7" w14:textId="77777777" w:rsidR="00454966" w:rsidRPr="00454966" w:rsidRDefault="00454966" w:rsidP="00454966">
            <w:pPr>
              <w:jc w:val="center"/>
              <w:rPr>
                <w:sz w:val="20"/>
              </w:rPr>
            </w:pPr>
            <w:r w:rsidRPr="00454966">
              <w:rPr>
                <w:sz w:val="20"/>
              </w:rPr>
              <w:t>Jefferson Parish HSA</w:t>
            </w:r>
          </w:p>
        </w:tc>
      </w:tr>
      <w:tr w:rsidR="00454966" w:rsidRPr="00454966" w14:paraId="07CAF49E"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0E32FD0"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56AE2CC8"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72F8D5FC"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4F3622E0"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AE4CECD"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66DE9019"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34AF237"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6D3AE75E" w14:textId="77777777" w:rsidR="00454966" w:rsidRPr="00454966" w:rsidRDefault="00454966" w:rsidP="00454966">
            <w:pPr>
              <w:rPr>
                <w:sz w:val="20"/>
              </w:rPr>
            </w:pPr>
            <w:r w:rsidRPr="00454966">
              <w:rPr>
                <w:sz w:val="20"/>
              </w:rPr>
              <w:t> </w:t>
            </w:r>
          </w:p>
        </w:tc>
      </w:tr>
      <w:tr w:rsidR="00454966" w:rsidRPr="00454966" w14:paraId="70F0821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017185C"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610E356C"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79244C51"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0090C8B3"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4D702583"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625BEC0E"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7B7BB5BD"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53F82000" w14:textId="77777777" w:rsidR="00454966" w:rsidRPr="00454966" w:rsidRDefault="00454966" w:rsidP="00454966">
            <w:pPr>
              <w:jc w:val="right"/>
              <w:rPr>
                <w:sz w:val="20"/>
              </w:rPr>
            </w:pPr>
            <w:r w:rsidRPr="00454966">
              <w:rPr>
                <w:sz w:val="20"/>
              </w:rPr>
              <w:t>30,385</w:t>
            </w:r>
          </w:p>
        </w:tc>
      </w:tr>
      <w:tr w:rsidR="00454966" w:rsidRPr="00454966" w14:paraId="00D0570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5BB308D" w14:textId="478371D7" w:rsidR="00454966" w:rsidRPr="00454966" w:rsidRDefault="00454966" w:rsidP="00454966">
            <w:pPr>
              <w:rPr>
                <w:sz w:val="20"/>
              </w:rPr>
            </w:pPr>
            <w:r w:rsidRPr="00454966">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094271A9"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550F0B1A"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3D29D2D1"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nil"/>
            </w:tcBorders>
            <w:shd w:val="clear" w:color="auto" w:fill="auto"/>
            <w:noWrap/>
            <w:vAlign w:val="bottom"/>
            <w:hideMark/>
          </w:tcPr>
          <w:p w14:paraId="088964C3"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single" w:sz="4" w:space="0" w:color="auto"/>
              <w:bottom w:val="nil"/>
              <w:right w:val="single" w:sz="4" w:space="0" w:color="auto"/>
            </w:tcBorders>
            <w:shd w:val="clear" w:color="auto" w:fill="auto"/>
            <w:noWrap/>
            <w:vAlign w:val="bottom"/>
            <w:hideMark/>
          </w:tcPr>
          <w:p w14:paraId="19EB2F3C"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6E7FD295"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38BE8A67" w14:textId="77777777" w:rsidR="00454966" w:rsidRPr="00454966" w:rsidRDefault="00454966" w:rsidP="00454966">
            <w:pPr>
              <w:jc w:val="center"/>
              <w:rPr>
                <w:sz w:val="20"/>
              </w:rPr>
            </w:pPr>
            <w:proofErr w:type="spellStart"/>
            <w:r w:rsidRPr="00454966">
              <w:rPr>
                <w:sz w:val="20"/>
              </w:rPr>
              <w:t>n.a.</w:t>
            </w:r>
            <w:proofErr w:type="spellEnd"/>
          </w:p>
        </w:tc>
      </w:tr>
      <w:tr w:rsidR="00454966" w:rsidRPr="00454966" w14:paraId="507D132C"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53A77791"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AA2CF37"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32F4589B"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62F8142A"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622A71A3"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11566704"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3ABAAE0A"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26B38835" w14:textId="77777777" w:rsidR="00454966" w:rsidRPr="00454966" w:rsidRDefault="00454966" w:rsidP="00454966">
            <w:pPr>
              <w:jc w:val="center"/>
              <w:rPr>
                <w:sz w:val="20"/>
              </w:rPr>
            </w:pPr>
            <w:proofErr w:type="spellStart"/>
            <w:r w:rsidRPr="00454966">
              <w:rPr>
                <w:sz w:val="20"/>
              </w:rPr>
              <w:t>n.a.</w:t>
            </w:r>
            <w:proofErr w:type="spellEnd"/>
          </w:p>
        </w:tc>
      </w:tr>
      <w:tr w:rsidR="00454966" w:rsidRPr="00454966" w14:paraId="087D1C3E"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955687B"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0C962D4C"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785484B0"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5D734A19"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AEE8C28"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C83A3AA"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12A6F07"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3F210D8" w14:textId="77777777" w:rsidR="00454966" w:rsidRPr="00454966" w:rsidRDefault="00454966" w:rsidP="00454966">
            <w:pPr>
              <w:rPr>
                <w:sz w:val="20"/>
              </w:rPr>
            </w:pPr>
            <w:r w:rsidRPr="00454966">
              <w:rPr>
                <w:sz w:val="20"/>
              </w:rPr>
              <w:t> </w:t>
            </w:r>
          </w:p>
        </w:tc>
      </w:tr>
      <w:tr w:rsidR="00454966" w:rsidRPr="00454966" w14:paraId="0FA718EE"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2B1396F"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3F53908"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1199BC5B"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51DB975F"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704AE6B5"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0481ADBC"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7DF2C20F"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650BC590" w14:textId="77777777" w:rsidR="00454966" w:rsidRPr="00454966" w:rsidRDefault="00454966" w:rsidP="00454966">
            <w:pPr>
              <w:jc w:val="right"/>
              <w:rPr>
                <w:sz w:val="20"/>
              </w:rPr>
            </w:pPr>
            <w:r w:rsidRPr="00454966">
              <w:rPr>
                <w:sz w:val="20"/>
              </w:rPr>
              <w:t>37,617</w:t>
            </w:r>
          </w:p>
        </w:tc>
      </w:tr>
      <w:tr w:rsidR="00454966" w:rsidRPr="00454966" w14:paraId="2C6FD643"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874205B"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3A09F7E2" w14:textId="77777777" w:rsidR="00454966" w:rsidRPr="00454966" w:rsidRDefault="00454966" w:rsidP="00454966">
            <w:pPr>
              <w:jc w:val="right"/>
              <w:rPr>
                <w:sz w:val="20"/>
              </w:rPr>
            </w:pPr>
            <w:r w:rsidRPr="00454966">
              <w:rPr>
                <w:sz w:val="20"/>
              </w:rPr>
              <w:t>12.47%</w:t>
            </w:r>
          </w:p>
        </w:tc>
        <w:tc>
          <w:tcPr>
            <w:tcW w:w="980" w:type="dxa"/>
            <w:tcBorders>
              <w:top w:val="nil"/>
              <w:left w:val="nil"/>
              <w:bottom w:val="nil"/>
              <w:right w:val="single" w:sz="4" w:space="0" w:color="auto"/>
            </w:tcBorders>
            <w:shd w:val="clear" w:color="auto" w:fill="auto"/>
            <w:noWrap/>
            <w:vAlign w:val="bottom"/>
            <w:hideMark/>
          </w:tcPr>
          <w:p w14:paraId="2B77751D" w14:textId="77777777" w:rsidR="00454966" w:rsidRPr="00454966" w:rsidRDefault="00454966" w:rsidP="00454966">
            <w:pPr>
              <w:jc w:val="right"/>
              <w:rPr>
                <w:sz w:val="20"/>
              </w:rPr>
            </w:pPr>
            <w:r w:rsidRPr="00454966">
              <w:rPr>
                <w:sz w:val="20"/>
              </w:rPr>
              <w:t>11.32%</w:t>
            </w:r>
          </w:p>
        </w:tc>
        <w:tc>
          <w:tcPr>
            <w:tcW w:w="980" w:type="dxa"/>
            <w:tcBorders>
              <w:top w:val="nil"/>
              <w:left w:val="nil"/>
              <w:bottom w:val="nil"/>
              <w:right w:val="single" w:sz="4" w:space="0" w:color="auto"/>
            </w:tcBorders>
            <w:shd w:val="clear" w:color="auto" w:fill="auto"/>
            <w:noWrap/>
            <w:vAlign w:val="bottom"/>
            <w:hideMark/>
          </w:tcPr>
          <w:p w14:paraId="20D4B579" w14:textId="77777777" w:rsidR="00454966" w:rsidRPr="00454966" w:rsidRDefault="00454966" w:rsidP="00454966">
            <w:pPr>
              <w:jc w:val="right"/>
              <w:rPr>
                <w:sz w:val="20"/>
              </w:rPr>
            </w:pPr>
            <w:r w:rsidRPr="00454966">
              <w:rPr>
                <w:sz w:val="20"/>
              </w:rPr>
              <w:t>10.70%</w:t>
            </w:r>
          </w:p>
        </w:tc>
        <w:tc>
          <w:tcPr>
            <w:tcW w:w="980" w:type="dxa"/>
            <w:tcBorders>
              <w:top w:val="nil"/>
              <w:left w:val="nil"/>
              <w:bottom w:val="nil"/>
              <w:right w:val="nil"/>
            </w:tcBorders>
            <w:shd w:val="clear" w:color="auto" w:fill="auto"/>
            <w:noWrap/>
            <w:vAlign w:val="bottom"/>
            <w:hideMark/>
          </w:tcPr>
          <w:p w14:paraId="1B42B7EE" w14:textId="77777777" w:rsidR="00454966" w:rsidRPr="00454966" w:rsidRDefault="00454966" w:rsidP="00454966">
            <w:pPr>
              <w:jc w:val="right"/>
              <w:rPr>
                <w:sz w:val="20"/>
              </w:rPr>
            </w:pPr>
            <w:r w:rsidRPr="00454966">
              <w:rPr>
                <w:sz w:val="20"/>
              </w:rPr>
              <w:t>10.70%</w:t>
            </w:r>
          </w:p>
        </w:tc>
        <w:tc>
          <w:tcPr>
            <w:tcW w:w="980" w:type="dxa"/>
            <w:tcBorders>
              <w:top w:val="nil"/>
              <w:left w:val="single" w:sz="4" w:space="0" w:color="auto"/>
              <w:bottom w:val="nil"/>
              <w:right w:val="single" w:sz="4" w:space="0" w:color="auto"/>
            </w:tcBorders>
            <w:shd w:val="clear" w:color="auto" w:fill="auto"/>
            <w:noWrap/>
            <w:vAlign w:val="bottom"/>
            <w:hideMark/>
          </w:tcPr>
          <w:p w14:paraId="6996D82F" w14:textId="77777777" w:rsidR="00454966" w:rsidRPr="00454966" w:rsidRDefault="00454966" w:rsidP="00454966">
            <w:pPr>
              <w:jc w:val="right"/>
              <w:rPr>
                <w:sz w:val="20"/>
              </w:rPr>
            </w:pPr>
            <w:r w:rsidRPr="00454966">
              <w:rPr>
                <w:sz w:val="20"/>
              </w:rPr>
              <w:t>10.70%</w:t>
            </w:r>
          </w:p>
        </w:tc>
        <w:tc>
          <w:tcPr>
            <w:tcW w:w="980" w:type="dxa"/>
            <w:tcBorders>
              <w:top w:val="nil"/>
              <w:left w:val="nil"/>
              <w:bottom w:val="nil"/>
              <w:right w:val="single" w:sz="4" w:space="0" w:color="auto"/>
            </w:tcBorders>
            <w:shd w:val="clear" w:color="auto" w:fill="auto"/>
            <w:noWrap/>
            <w:vAlign w:val="bottom"/>
            <w:hideMark/>
          </w:tcPr>
          <w:p w14:paraId="5AF08227" w14:textId="77777777" w:rsidR="00454966" w:rsidRPr="00454966" w:rsidRDefault="00454966" w:rsidP="00454966">
            <w:pPr>
              <w:jc w:val="right"/>
              <w:rPr>
                <w:sz w:val="20"/>
              </w:rPr>
            </w:pPr>
            <w:r w:rsidRPr="00454966">
              <w:rPr>
                <w:sz w:val="20"/>
              </w:rPr>
              <w:t>10.70%</w:t>
            </w:r>
          </w:p>
        </w:tc>
        <w:tc>
          <w:tcPr>
            <w:tcW w:w="980" w:type="dxa"/>
            <w:tcBorders>
              <w:top w:val="nil"/>
              <w:left w:val="nil"/>
              <w:bottom w:val="nil"/>
              <w:right w:val="single" w:sz="4" w:space="0" w:color="auto"/>
            </w:tcBorders>
            <w:shd w:val="clear" w:color="auto" w:fill="auto"/>
            <w:noWrap/>
            <w:vAlign w:val="bottom"/>
            <w:hideMark/>
          </w:tcPr>
          <w:p w14:paraId="57BDEE67" w14:textId="77777777" w:rsidR="00454966" w:rsidRPr="00454966" w:rsidRDefault="00454966" w:rsidP="00454966">
            <w:pPr>
              <w:jc w:val="right"/>
              <w:rPr>
                <w:sz w:val="20"/>
              </w:rPr>
            </w:pPr>
            <w:r w:rsidRPr="00454966">
              <w:rPr>
                <w:sz w:val="20"/>
              </w:rPr>
              <w:t>12.22%</w:t>
            </w:r>
          </w:p>
        </w:tc>
      </w:tr>
      <w:tr w:rsidR="00454966" w:rsidRPr="00454966" w14:paraId="5E9060C2"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97B90F2"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4746E20" w14:textId="77777777" w:rsidR="00454966" w:rsidRPr="00454966" w:rsidRDefault="00454966" w:rsidP="00454966">
            <w:pPr>
              <w:jc w:val="right"/>
              <w:rPr>
                <w:sz w:val="20"/>
              </w:rPr>
            </w:pPr>
            <w:r w:rsidRPr="00454966">
              <w:rPr>
                <w:sz w:val="20"/>
              </w:rPr>
              <w:t>60,324</w:t>
            </w:r>
          </w:p>
        </w:tc>
        <w:tc>
          <w:tcPr>
            <w:tcW w:w="980" w:type="dxa"/>
            <w:tcBorders>
              <w:top w:val="nil"/>
              <w:left w:val="nil"/>
              <w:bottom w:val="single" w:sz="4" w:space="0" w:color="auto"/>
              <w:right w:val="single" w:sz="4" w:space="0" w:color="auto"/>
            </w:tcBorders>
            <w:shd w:val="clear" w:color="auto" w:fill="auto"/>
            <w:noWrap/>
            <w:vAlign w:val="bottom"/>
            <w:hideMark/>
          </w:tcPr>
          <w:p w14:paraId="31B1B624" w14:textId="77777777" w:rsidR="00454966" w:rsidRPr="00454966" w:rsidRDefault="00454966" w:rsidP="00454966">
            <w:pPr>
              <w:jc w:val="right"/>
              <w:rPr>
                <w:sz w:val="20"/>
              </w:rPr>
            </w:pPr>
            <w:r w:rsidRPr="00454966">
              <w:rPr>
                <w:sz w:val="20"/>
              </w:rPr>
              <w:t>9,332</w:t>
            </w:r>
          </w:p>
        </w:tc>
        <w:tc>
          <w:tcPr>
            <w:tcW w:w="980" w:type="dxa"/>
            <w:tcBorders>
              <w:top w:val="nil"/>
              <w:left w:val="nil"/>
              <w:bottom w:val="single" w:sz="4" w:space="0" w:color="auto"/>
              <w:right w:val="single" w:sz="4" w:space="0" w:color="auto"/>
            </w:tcBorders>
            <w:shd w:val="clear" w:color="auto" w:fill="auto"/>
            <w:noWrap/>
            <w:vAlign w:val="bottom"/>
            <w:hideMark/>
          </w:tcPr>
          <w:p w14:paraId="09A547F1" w14:textId="77777777" w:rsidR="00454966" w:rsidRPr="00454966" w:rsidRDefault="00454966" w:rsidP="00454966">
            <w:pPr>
              <w:jc w:val="right"/>
              <w:rPr>
                <w:sz w:val="20"/>
              </w:rPr>
            </w:pPr>
            <w:r w:rsidRPr="00454966">
              <w:rPr>
                <w:sz w:val="20"/>
              </w:rPr>
              <w:t>4,791</w:t>
            </w:r>
          </w:p>
        </w:tc>
        <w:tc>
          <w:tcPr>
            <w:tcW w:w="980" w:type="dxa"/>
            <w:tcBorders>
              <w:top w:val="nil"/>
              <w:left w:val="nil"/>
              <w:bottom w:val="single" w:sz="4" w:space="0" w:color="auto"/>
              <w:right w:val="single" w:sz="4" w:space="0" w:color="auto"/>
            </w:tcBorders>
            <w:shd w:val="clear" w:color="auto" w:fill="auto"/>
            <w:noWrap/>
            <w:vAlign w:val="bottom"/>
            <w:hideMark/>
          </w:tcPr>
          <w:p w14:paraId="24C59942" w14:textId="77777777" w:rsidR="00454966" w:rsidRPr="00454966" w:rsidRDefault="00454966" w:rsidP="00454966">
            <w:pPr>
              <w:jc w:val="right"/>
              <w:rPr>
                <w:sz w:val="20"/>
              </w:rPr>
            </w:pPr>
            <w:r w:rsidRPr="00454966">
              <w:rPr>
                <w:sz w:val="20"/>
              </w:rPr>
              <w:t>4,107</w:t>
            </w:r>
          </w:p>
        </w:tc>
        <w:tc>
          <w:tcPr>
            <w:tcW w:w="980" w:type="dxa"/>
            <w:tcBorders>
              <w:top w:val="nil"/>
              <w:left w:val="nil"/>
              <w:bottom w:val="single" w:sz="4" w:space="0" w:color="auto"/>
              <w:right w:val="single" w:sz="4" w:space="0" w:color="auto"/>
            </w:tcBorders>
            <w:shd w:val="clear" w:color="auto" w:fill="auto"/>
            <w:noWrap/>
            <w:vAlign w:val="bottom"/>
            <w:hideMark/>
          </w:tcPr>
          <w:p w14:paraId="4B952F00" w14:textId="77777777" w:rsidR="00454966" w:rsidRPr="00454966" w:rsidRDefault="00454966" w:rsidP="00454966">
            <w:pPr>
              <w:jc w:val="right"/>
              <w:rPr>
                <w:sz w:val="20"/>
              </w:rPr>
            </w:pPr>
            <w:r w:rsidRPr="00454966">
              <w:rPr>
                <w:sz w:val="20"/>
              </w:rPr>
              <w:t>242</w:t>
            </w:r>
          </w:p>
        </w:tc>
        <w:tc>
          <w:tcPr>
            <w:tcW w:w="980" w:type="dxa"/>
            <w:tcBorders>
              <w:top w:val="nil"/>
              <w:left w:val="nil"/>
              <w:bottom w:val="single" w:sz="4" w:space="0" w:color="auto"/>
              <w:right w:val="single" w:sz="4" w:space="0" w:color="auto"/>
            </w:tcBorders>
            <w:shd w:val="clear" w:color="auto" w:fill="auto"/>
            <w:noWrap/>
            <w:vAlign w:val="bottom"/>
            <w:hideMark/>
          </w:tcPr>
          <w:p w14:paraId="3538EB6B" w14:textId="77777777" w:rsidR="00454966" w:rsidRPr="00454966" w:rsidRDefault="00454966" w:rsidP="00454966">
            <w:pPr>
              <w:jc w:val="right"/>
              <w:rPr>
                <w:sz w:val="20"/>
              </w:rPr>
            </w:pPr>
            <w:r w:rsidRPr="00454966">
              <w:rPr>
                <w:sz w:val="20"/>
              </w:rPr>
              <w:t>442</w:t>
            </w:r>
          </w:p>
        </w:tc>
        <w:tc>
          <w:tcPr>
            <w:tcW w:w="980" w:type="dxa"/>
            <w:tcBorders>
              <w:top w:val="nil"/>
              <w:left w:val="nil"/>
              <w:bottom w:val="single" w:sz="4" w:space="0" w:color="auto"/>
              <w:right w:val="single" w:sz="4" w:space="0" w:color="auto"/>
            </w:tcBorders>
            <w:shd w:val="clear" w:color="auto" w:fill="auto"/>
            <w:noWrap/>
            <w:vAlign w:val="bottom"/>
            <w:hideMark/>
          </w:tcPr>
          <w:p w14:paraId="63AC283C" w14:textId="77777777" w:rsidR="00454966" w:rsidRPr="00454966" w:rsidRDefault="00454966" w:rsidP="00454966">
            <w:pPr>
              <w:jc w:val="right"/>
              <w:rPr>
                <w:sz w:val="20"/>
              </w:rPr>
            </w:pPr>
            <w:r w:rsidRPr="00454966">
              <w:rPr>
                <w:sz w:val="20"/>
              </w:rPr>
              <w:t>4,595</w:t>
            </w:r>
          </w:p>
        </w:tc>
      </w:tr>
      <w:tr w:rsidR="00454966" w:rsidRPr="00454966" w14:paraId="4E8AAA58"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63DCDFF2" w14:textId="5A7F5B64"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2B882F37"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28824D4"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5BF9964E"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11081E82"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F87117A"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7BB6749F"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1A4E8FB" w14:textId="77777777" w:rsidR="00454966" w:rsidRPr="00454966" w:rsidRDefault="00454966" w:rsidP="00454966">
            <w:pPr>
              <w:rPr>
                <w:sz w:val="20"/>
              </w:rPr>
            </w:pPr>
            <w:r w:rsidRPr="00454966">
              <w:rPr>
                <w:sz w:val="20"/>
              </w:rPr>
              <w:t> </w:t>
            </w:r>
          </w:p>
        </w:tc>
      </w:tr>
      <w:tr w:rsidR="00454966" w:rsidRPr="00454966" w14:paraId="16B38EC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8B5BE8C"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F5BCCC3"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6FCB2EC0"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60CD7AC0"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45EB1375"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66564512"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16A4AE04"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46B48733" w14:textId="77777777" w:rsidR="00454966" w:rsidRPr="00454966" w:rsidRDefault="00454966" w:rsidP="00454966">
            <w:pPr>
              <w:jc w:val="right"/>
              <w:rPr>
                <w:sz w:val="20"/>
              </w:rPr>
            </w:pPr>
            <w:r w:rsidRPr="00454966">
              <w:rPr>
                <w:sz w:val="20"/>
              </w:rPr>
              <w:t>299,579</w:t>
            </w:r>
          </w:p>
        </w:tc>
      </w:tr>
      <w:tr w:rsidR="00454966" w:rsidRPr="00454966" w14:paraId="79AB000A"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178A383"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0C2595CF" w14:textId="77777777" w:rsidR="00454966" w:rsidRPr="00454966" w:rsidRDefault="00454966" w:rsidP="00454966">
            <w:pPr>
              <w:jc w:val="right"/>
              <w:rPr>
                <w:sz w:val="20"/>
              </w:rPr>
            </w:pPr>
            <w:r w:rsidRPr="00454966">
              <w:rPr>
                <w:sz w:val="20"/>
              </w:rPr>
              <w:t>14.32%</w:t>
            </w:r>
          </w:p>
        </w:tc>
        <w:tc>
          <w:tcPr>
            <w:tcW w:w="980" w:type="dxa"/>
            <w:tcBorders>
              <w:top w:val="nil"/>
              <w:left w:val="nil"/>
              <w:bottom w:val="nil"/>
              <w:right w:val="single" w:sz="4" w:space="0" w:color="auto"/>
            </w:tcBorders>
            <w:shd w:val="clear" w:color="auto" w:fill="auto"/>
            <w:noWrap/>
            <w:vAlign w:val="bottom"/>
            <w:hideMark/>
          </w:tcPr>
          <w:p w14:paraId="18F0E90A" w14:textId="77777777" w:rsidR="00454966" w:rsidRPr="00454966" w:rsidRDefault="00454966" w:rsidP="00454966">
            <w:pPr>
              <w:jc w:val="right"/>
              <w:rPr>
                <w:sz w:val="20"/>
              </w:rPr>
            </w:pPr>
            <w:r w:rsidRPr="00454966">
              <w:rPr>
                <w:sz w:val="20"/>
              </w:rPr>
              <w:t>14.63%</w:t>
            </w:r>
          </w:p>
        </w:tc>
        <w:tc>
          <w:tcPr>
            <w:tcW w:w="980" w:type="dxa"/>
            <w:tcBorders>
              <w:top w:val="nil"/>
              <w:left w:val="nil"/>
              <w:bottom w:val="nil"/>
              <w:right w:val="single" w:sz="4" w:space="0" w:color="auto"/>
            </w:tcBorders>
            <w:shd w:val="clear" w:color="auto" w:fill="auto"/>
            <w:noWrap/>
            <w:vAlign w:val="bottom"/>
            <w:hideMark/>
          </w:tcPr>
          <w:p w14:paraId="6D28E482" w14:textId="77777777" w:rsidR="00454966" w:rsidRPr="00454966" w:rsidRDefault="00454966" w:rsidP="00454966">
            <w:pPr>
              <w:jc w:val="right"/>
              <w:rPr>
                <w:sz w:val="20"/>
              </w:rPr>
            </w:pPr>
            <w:r w:rsidRPr="00454966">
              <w:rPr>
                <w:sz w:val="20"/>
              </w:rPr>
              <w:t>14.59%</w:t>
            </w:r>
          </w:p>
        </w:tc>
        <w:tc>
          <w:tcPr>
            <w:tcW w:w="980" w:type="dxa"/>
            <w:tcBorders>
              <w:top w:val="nil"/>
              <w:left w:val="nil"/>
              <w:bottom w:val="nil"/>
              <w:right w:val="nil"/>
            </w:tcBorders>
            <w:shd w:val="clear" w:color="auto" w:fill="auto"/>
            <w:noWrap/>
            <w:vAlign w:val="bottom"/>
            <w:hideMark/>
          </w:tcPr>
          <w:p w14:paraId="54D33670" w14:textId="77777777" w:rsidR="00454966" w:rsidRPr="00454966" w:rsidRDefault="00454966" w:rsidP="00454966">
            <w:pPr>
              <w:jc w:val="right"/>
              <w:rPr>
                <w:sz w:val="20"/>
              </w:rPr>
            </w:pPr>
            <w:r w:rsidRPr="00454966">
              <w:rPr>
                <w:sz w:val="20"/>
              </w:rPr>
              <w:t>14.59%</w:t>
            </w:r>
          </w:p>
        </w:tc>
        <w:tc>
          <w:tcPr>
            <w:tcW w:w="980" w:type="dxa"/>
            <w:tcBorders>
              <w:top w:val="nil"/>
              <w:left w:val="single" w:sz="4" w:space="0" w:color="auto"/>
              <w:bottom w:val="nil"/>
              <w:right w:val="single" w:sz="4" w:space="0" w:color="auto"/>
            </w:tcBorders>
            <w:shd w:val="clear" w:color="auto" w:fill="auto"/>
            <w:noWrap/>
            <w:vAlign w:val="bottom"/>
            <w:hideMark/>
          </w:tcPr>
          <w:p w14:paraId="45DC5BCD" w14:textId="77777777" w:rsidR="00454966" w:rsidRPr="00454966" w:rsidRDefault="00454966" w:rsidP="00454966">
            <w:pPr>
              <w:jc w:val="right"/>
              <w:rPr>
                <w:sz w:val="20"/>
              </w:rPr>
            </w:pPr>
            <w:r w:rsidRPr="00454966">
              <w:rPr>
                <w:sz w:val="20"/>
              </w:rPr>
              <w:t>14.59%</w:t>
            </w:r>
          </w:p>
        </w:tc>
        <w:tc>
          <w:tcPr>
            <w:tcW w:w="980" w:type="dxa"/>
            <w:tcBorders>
              <w:top w:val="nil"/>
              <w:left w:val="nil"/>
              <w:bottom w:val="nil"/>
              <w:right w:val="single" w:sz="4" w:space="0" w:color="auto"/>
            </w:tcBorders>
            <w:shd w:val="clear" w:color="auto" w:fill="auto"/>
            <w:noWrap/>
            <w:vAlign w:val="bottom"/>
            <w:hideMark/>
          </w:tcPr>
          <w:p w14:paraId="31BA9DA4" w14:textId="77777777" w:rsidR="00454966" w:rsidRPr="00454966" w:rsidRDefault="00454966" w:rsidP="00454966">
            <w:pPr>
              <w:jc w:val="right"/>
              <w:rPr>
                <w:sz w:val="20"/>
              </w:rPr>
            </w:pPr>
            <w:r w:rsidRPr="00454966">
              <w:rPr>
                <w:sz w:val="20"/>
              </w:rPr>
              <w:t>14.59%</w:t>
            </w:r>
          </w:p>
        </w:tc>
        <w:tc>
          <w:tcPr>
            <w:tcW w:w="980" w:type="dxa"/>
            <w:tcBorders>
              <w:top w:val="nil"/>
              <w:left w:val="nil"/>
              <w:bottom w:val="nil"/>
              <w:right w:val="single" w:sz="4" w:space="0" w:color="auto"/>
            </w:tcBorders>
            <w:shd w:val="clear" w:color="auto" w:fill="auto"/>
            <w:noWrap/>
            <w:vAlign w:val="bottom"/>
            <w:hideMark/>
          </w:tcPr>
          <w:p w14:paraId="5F3E7212" w14:textId="77777777" w:rsidR="00454966" w:rsidRPr="00454966" w:rsidRDefault="00454966" w:rsidP="00454966">
            <w:pPr>
              <w:jc w:val="right"/>
              <w:rPr>
                <w:sz w:val="20"/>
              </w:rPr>
            </w:pPr>
            <w:r w:rsidRPr="00454966">
              <w:rPr>
                <w:sz w:val="20"/>
              </w:rPr>
              <w:t>14.67%</w:t>
            </w:r>
          </w:p>
        </w:tc>
      </w:tr>
      <w:tr w:rsidR="00454966" w:rsidRPr="00454966" w14:paraId="6D9EF05D"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02D883A"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DCFF801" w14:textId="77777777" w:rsidR="00454966" w:rsidRPr="00454966" w:rsidRDefault="00454966" w:rsidP="00454966">
            <w:pPr>
              <w:jc w:val="right"/>
              <w:rPr>
                <w:sz w:val="20"/>
              </w:rPr>
            </w:pPr>
            <w:r w:rsidRPr="00454966">
              <w:rPr>
                <w:sz w:val="20"/>
              </w:rPr>
              <w:t>440,589</w:t>
            </w:r>
          </w:p>
        </w:tc>
        <w:tc>
          <w:tcPr>
            <w:tcW w:w="980" w:type="dxa"/>
            <w:tcBorders>
              <w:top w:val="nil"/>
              <w:left w:val="nil"/>
              <w:bottom w:val="single" w:sz="4" w:space="0" w:color="auto"/>
              <w:right w:val="single" w:sz="4" w:space="0" w:color="auto"/>
            </w:tcBorders>
            <w:shd w:val="clear" w:color="auto" w:fill="auto"/>
            <w:noWrap/>
            <w:vAlign w:val="bottom"/>
            <w:hideMark/>
          </w:tcPr>
          <w:p w14:paraId="0E6A1D87" w14:textId="77777777" w:rsidR="00454966" w:rsidRPr="00454966" w:rsidRDefault="00454966" w:rsidP="00454966">
            <w:pPr>
              <w:jc w:val="right"/>
              <w:rPr>
                <w:sz w:val="20"/>
              </w:rPr>
            </w:pPr>
            <w:r w:rsidRPr="00454966">
              <w:rPr>
                <w:sz w:val="20"/>
              </w:rPr>
              <w:t>90,658</w:t>
            </w:r>
          </w:p>
        </w:tc>
        <w:tc>
          <w:tcPr>
            <w:tcW w:w="980" w:type="dxa"/>
            <w:tcBorders>
              <w:top w:val="nil"/>
              <w:left w:val="nil"/>
              <w:bottom w:val="single" w:sz="4" w:space="0" w:color="auto"/>
              <w:right w:val="single" w:sz="4" w:space="0" w:color="auto"/>
            </w:tcBorders>
            <w:shd w:val="clear" w:color="auto" w:fill="auto"/>
            <w:noWrap/>
            <w:vAlign w:val="bottom"/>
            <w:hideMark/>
          </w:tcPr>
          <w:p w14:paraId="17FB6B62" w14:textId="77777777" w:rsidR="00454966" w:rsidRPr="00454966" w:rsidRDefault="00454966" w:rsidP="00454966">
            <w:pPr>
              <w:jc w:val="right"/>
              <w:rPr>
                <w:sz w:val="20"/>
              </w:rPr>
            </w:pPr>
            <w:r w:rsidRPr="00454966">
              <w:rPr>
                <w:sz w:val="20"/>
              </w:rPr>
              <w:t>46,705</w:t>
            </w:r>
          </w:p>
        </w:tc>
        <w:tc>
          <w:tcPr>
            <w:tcW w:w="980" w:type="dxa"/>
            <w:tcBorders>
              <w:top w:val="nil"/>
              <w:left w:val="nil"/>
              <w:bottom w:val="single" w:sz="4" w:space="0" w:color="auto"/>
              <w:right w:val="single" w:sz="4" w:space="0" w:color="auto"/>
            </w:tcBorders>
            <w:shd w:val="clear" w:color="auto" w:fill="auto"/>
            <w:noWrap/>
            <w:vAlign w:val="bottom"/>
            <w:hideMark/>
          </w:tcPr>
          <w:p w14:paraId="23534FF1" w14:textId="77777777" w:rsidR="00454966" w:rsidRPr="00454966" w:rsidRDefault="00454966" w:rsidP="00454966">
            <w:pPr>
              <w:jc w:val="right"/>
              <w:rPr>
                <w:sz w:val="20"/>
              </w:rPr>
            </w:pPr>
            <w:r w:rsidRPr="00454966">
              <w:rPr>
                <w:sz w:val="20"/>
              </w:rPr>
              <w:t>40,055</w:t>
            </w:r>
          </w:p>
        </w:tc>
        <w:tc>
          <w:tcPr>
            <w:tcW w:w="980" w:type="dxa"/>
            <w:tcBorders>
              <w:top w:val="nil"/>
              <w:left w:val="nil"/>
              <w:bottom w:val="single" w:sz="4" w:space="0" w:color="auto"/>
              <w:right w:val="single" w:sz="4" w:space="0" w:color="auto"/>
            </w:tcBorders>
            <w:shd w:val="clear" w:color="auto" w:fill="auto"/>
            <w:noWrap/>
            <w:vAlign w:val="bottom"/>
            <w:hideMark/>
          </w:tcPr>
          <w:p w14:paraId="4E2E9303" w14:textId="77777777" w:rsidR="00454966" w:rsidRPr="00454966" w:rsidRDefault="00454966" w:rsidP="00454966">
            <w:pPr>
              <w:jc w:val="right"/>
              <w:rPr>
                <w:sz w:val="20"/>
              </w:rPr>
            </w:pPr>
            <w:r w:rsidRPr="00454966">
              <w:rPr>
                <w:sz w:val="20"/>
              </w:rPr>
              <w:t>2,183</w:t>
            </w:r>
          </w:p>
        </w:tc>
        <w:tc>
          <w:tcPr>
            <w:tcW w:w="980" w:type="dxa"/>
            <w:tcBorders>
              <w:top w:val="nil"/>
              <w:left w:val="nil"/>
              <w:bottom w:val="single" w:sz="4" w:space="0" w:color="auto"/>
              <w:right w:val="single" w:sz="4" w:space="0" w:color="auto"/>
            </w:tcBorders>
            <w:shd w:val="clear" w:color="auto" w:fill="auto"/>
            <w:noWrap/>
            <w:vAlign w:val="bottom"/>
            <w:hideMark/>
          </w:tcPr>
          <w:p w14:paraId="6BCAB859" w14:textId="77777777" w:rsidR="00454966" w:rsidRPr="00454966" w:rsidRDefault="00454966" w:rsidP="00454966">
            <w:pPr>
              <w:jc w:val="right"/>
              <w:rPr>
                <w:sz w:val="20"/>
              </w:rPr>
            </w:pPr>
            <w:r w:rsidRPr="00454966">
              <w:rPr>
                <w:sz w:val="20"/>
              </w:rPr>
              <w:t>4,467</w:t>
            </w:r>
          </w:p>
        </w:tc>
        <w:tc>
          <w:tcPr>
            <w:tcW w:w="980" w:type="dxa"/>
            <w:tcBorders>
              <w:top w:val="nil"/>
              <w:left w:val="nil"/>
              <w:bottom w:val="single" w:sz="4" w:space="0" w:color="auto"/>
              <w:right w:val="single" w:sz="4" w:space="0" w:color="auto"/>
            </w:tcBorders>
            <w:shd w:val="clear" w:color="auto" w:fill="auto"/>
            <w:noWrap/>
            <w:vAlign w:val="bottom"/>
            <w:hideMark/>
          </w:tcPr>
          <w:p w14:paraId="5B0F1B80" w14:textId="77777777" w:rsidR="00454966" w:rsidRPr="00454966" w:rsidRDefault="00454966" w:rsidP="00454966">
            <w:pPr>
              <w:jc w:val="right"/>
              <w:rPr>
                <w:sz w:val="20"/>
              </w:rPr>
            </w:pPr>
            <w:r w:rsidRPr="00454966">
              <w:rPr>
                <w:sz w:val="20"/>
              </w:rPr>
              <w:t>43,960</w:t>
            </w:r>
          </w:p>
        </w:tc>
      </w:tr>
      <w:tr w:rsidR="00454966" w:rsidRPr="00454966" w14:paraId="78381083"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5780B16"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694E02A9"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70C90C05"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6BDF1AF8"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91A7F5F"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8955347"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3A8969F"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5A724B6" w14:textId="77777777" w:rsidR="00454966" w:rsidRPr="00454966" w:rsidRDefault="00454966" w:rsidP="00454966">
            <w:pPr>
              <w:rPr>
                <w:sz w:val="20"/>
              </w:rPr>
            </w:pPr>
            <w:r w:rsidRPr="00454966">
              <w:rPr>
                <w:sz w:val="20"/>
              </w:rPr>
              <w:t> </w:t>
            </w:r>
          </w:p>
        </w:tc>
      </w:tr>
      <w:tr w:rsidR="00454966" w:rsidRPr="00454966" w14:paraId="0AA30B5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9DE6CD9"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5029308"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4ECF5759"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0356C914"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336CAC47"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6B19F97B"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5E84CDC8"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27D7534A" w14:textId="77777777" w:rsidR="00454966" w:rsidRPr="00454966" w:rsidRDefault="00454966" w:rsidP="00454966">
            <w:pPr>
              <w:jc w:val="right"/>
              <w:rPr>
                <w:sz w:val="20"/>
              </w:rPr>
            </w:pPr>
            <w:r w:rsidRPr="00454966">
              <w:rPr>
                <w:sz w:val="20"/>
              </w:rPr>
              <w:t>337,196</w:t>
            </w:r>
          </w:p>
        </w:tc>
      </w:tr>
      <w:tr w:rsidR="00454966" w:rsidRPr="00454966" w14:paraId="19DEF79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BF79B38"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50A822B" w14:textId="77777777" w:rsidR="00454966" w:rsidRPr="00454966" w:rsidRDefault="00454966" w:rsidP="00454966">
            <w:pPr>
              <w:jc w:val="right"/>
              <w:rPr>
                <w:sz w:val="20"/>
              </w:rPr>
            </w:pPr>
            <w:r w:rsidRPr="00454966">
              <w:rPr>
                <w:sz w:val="20"/>
              </w:rPr>
              <w:t>14.06%</w:t>
            </w:r>
          </w:p>
        </w:tc>
        <w:tc>
          <w:tcPr>
            <w:tcW w:w="980" w:type="dxa"/>
            <w:tcBorders>
              <w:top w:val="nil"/>
              <w:left w:val="nil"/>
              <w:bottom w:val="nil"/>
              <w:right w:val="single" w:sz="4" w:space="0" w:color="auto"/>
            </w:tcBorders>
            <w:shd w:val="clear" w:color="auto" w:fill="auto"/>
            <w:noWrap/>
            <w:vAlign w:val="bottom"/>
            <w:hideMark/>
          </w:tcPr>
          <w:p w14:paraId="0F3088C3" w14:textId="77777777" w:rsidR="00454966" w:rsidRPr="00454966" w:rsidRDefault="00454966" w:rsidP="00454966">
            <w:pPr>
              <w:jc w:val="right"/>
              <w:rPr>
                <w:sz w:val="20"/>
              </w:rPr>
            </w:pPr>
            <w:r w:rsidRPr="00454966">
              <w:rPr>
                <w:sz w:val="20"/>
              </w:rPr>
              <w:t>14.21%</w:t>
            </w:r>
          </w:p>
        </w:tc>
        <w:tc>
          <w:tcPr>
            <w:tcW w:w="980" w:type="dxa"/>
            <w:tcBorders>
              <w:top w:val="nil"/>
              <w:left w:val="nil"/>
              <w:bottom w:val="nil"/>
              <w:right w:val="single" w:sz="4" w:space="0" w:color="auto"/>
            </w:tcBorders>
            <w:shd w:val="clear" w:color="auto" w:fill="auto"/>
            <w:noWrap/>
            <w:vAlign w:val="bottom"/>
            <w:hideMark/>
          </w:tcPr>
          <w:p w14:paraId="53FB4BD9" w14:textId="77777777" w:rsidR="00454966" w:rsidRPr="00454966" w:rsidRDefault="00454966" w:rsidP="00454966">
            <w:pPr>
              <w:jc w:val="right"/>
              <w:rPr>
                <w:sz w:val="20"/>
              </w:rPr>
            </w:pPr>
            <w:r w:rsidRPr="00454966">
              <w:rPr>
                <w:sz w:val="20"/>
              </w:rPr>
              <w:t>14.05%</w:t>
            </w:r>
          </w:p>
        </w:tc>
        <w:tc>
          <w:tcPr>
            <w:tcW w:w="980" w:type="dxa"/>
            <w:tcBorders>
              <w:top w:val="nil"/>
              <w:left w:val="nil"/>
              <w:bottom w:val="nil"/>
              <w:right w:val="nil"/>
            </w:tcBorders>
            <w:shd w:val="clear" w:color="auto" w:fill="auto"/>
            <w:noWrap/>
            <w:vAlign w:val="bottom"/>
            <w:hideMark/>
          </w:tcPr>
          <w:p w14:paraId="6A99A7B6" w14:textId="77777777" w:rsidR="00454966" w:rsidRPr="00454966" w:rsidRDefault="00454966" w:rsidP="00454966">
            <w:pPr>
              <w:jc w:val="right"/>
              <w:rPr>
                <w:sz w:val="20"/>
              </w:rPr>
            </w:pPr>
            <w:r w:rsidRPr="00454966">
              <w:rPr>
                <w:sz w:val="20"/>
              </w:rPr>
              <w:t>14.05%</w:t>
            </w:r>
          </w:p>
        </w:tc>
        <w:tc>
          <w:tcPr>
            <w:tcW w:w="980" w:type="dxa"/>
            <w:tcBorders>
              <w:top w:val="nil"/>
              <w:left w:val="single" w:sz="4" w:space="0" w:color="auto"/>
              <w:bottom w:val="nil"/>
              <w:right w:val="single" w:sz="4" w:space="0" w:color="auto"/>
            </w:tcBorders>
            <w:shd w:val="clear" w:color="auto" w:fill="auto"/>
            <w:noWrap/>
            <w:vAlign w:val="bottom"/>
            <w:hideMark/>
          </w:tcPr>
          <w:p w14:paraId="23C3CFD4" w14:textId="77777777" w:rsidR="00454966" w:rsidRPr="00454966" w:rsidRDefault="00454966" w:rsidP="00454966">
            <w:pPr>
              <w:jc w:val="right"/>
              <w:rPr>
                <w:sz w:val="20"/>
              </w:rPr>
            </w:pPr>
            <w:r w:rsidRPr="00454966">
              <w:rPr>
                <w:sz w:val="20"/>
              </w:rPr>
              <w:t>14.05%</w:t>
            </w:r>
          </w:p>
        </w:tc>
        <w:tc>
          <w:tcPr>
            <w:tcW w:w="980" w:type="dxa"/>
            <w:tcBorders>
              <w:top w:val="nil"/>
              <w:left w:val="nil"/>
              <w:bottom w:val="nil"/>
              <w:right w:val="single" w:sz="4" w:space="0" w:color="auto"/>
            </w:tcBorders>
            <w:shd w:val="clear" w:color="auto" w:fill="auto"/>
            <w:noWrap/>
            <w:vAlign w:val="bottom"/>
            <w:hideMark/>
          </w:tcPr>
          <w:p w14:paraId="2A08C245" w14:textId="77777777" w:rsidR="00454966" w:rsidRPr="00454966" w:rsidRDefault="00454966" w:rsidP="00454966">
            <w:pPr>
              <w:jc w:val="right"/>
              <w:rPr>
                <w:sz w:val="20"/>
              </w:rPr>
            </w:pPr>
            <w:r w:rsidRPr="00454966">
              <w:rPr>
                <w:sz w:val="20"/>
              </w:rPr>
              <w:t>14.05%</w:t>
            </w:r>
          </w:p>
        </w:tc>
        <w:tc>
          <w:tcPr>
            <w:tcW w:w="980" w:type="dxa"/>
            <w:tcBorders>
              <w:top w:val="nil"/>
              <w:left w:val="nil"/>
              <w:bottom w:val="nil"/>
              <w:right w:val="single" w:sz="4" w:space="0" w:color="auto"/>
            </w:tcBorders>
            <w:shd w:val="clear" w:color="auto" w:fill="auto"/>
            <w:noWrap/>
            <w:vAlign w:val="bottom"/>
            <w:hideMark/>
          </w:tcPr>
          <w:p w14:paraId="2D11AB22" w14:textId="77777777" w:rsidR="00454966" w:rsidRPr="00454966" w:rsidRDefault="00454966" w:rsidP="00454966">
            <w:pPr>
              <w:jc w:val="right"/>
              <w:rPr>
                <w:sz w:val="20"/>
              </w:rPr>
            </w:pPr>
            <w:r w:rsidRPr="00454966">
              <w:rPr>
                <w:sz w:val="20"/>
              </w:rPr>
              <w:t>14.40%</w:t>
            </w:r>
          </w:p>
        </w:tc>
      </w:tr>
      <w:tr w:rsidR="00454966" w:rsidRPr="00454966" w14:paraId="657C66D3"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19CC42B4"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27C2BD" w14:textId="77777777" w:rsidR="00454966" w:rsidRPr="00454966" w:rsidRDefault="00454966" w:rsidP="00454966">
            <w:pPr>
              <w:jc w:val="right"/>
              <w:rPr>
                <w:sz w:val="20"/>
              </w:rPr>
            </w:pPr>
            <w:r w:rsidRPr="00454966">
              <w:rPr>
                <w:sz w:val="20"/>
              </w:rPr>
              <w:t>500,643</w:t>
            </w:r>
          </w:p>
        </w:tc>
        <w:tc>
          <w:tcPr>
            <w:tcW w:w="980" w:type="dxa"/>
            <w:tcBorders>
              <w:top w:val="nil"/>
              <w:left w:val="nil"/>
              <w:bottom w:val="single" w:sz="4" w:space="0" w:color="auto"/>
              <w:right w:val="single" w:sz="4" w:space="0" w:color="auto"/>
            </w:tcBorders>
            <w:shd w:val="clear" w:color="auto" w:fill="auto"/>
            <w:noWrap/>
            <w:vAlign w:val="bottom"/>
            <w:hideMark/>
          </w:tcPr>
          <w:p w14:paraId="2C66B436" w14:textId="77777777" w:rsidR="00454966" w:rsidRPr="00454966" w:rsidRDefault="00454966" w:rsidP="00454966">
            <w:pPr>
              <w:jc w:val="right"/>
              <w:rPr>
                <w:sz w:val="20"/>
              </w:rPr>
            </w:pPr>
            <w:r w:rsidRPr="00454966">
              <w:rPr>
                <w:sz w:val="20"/>
              </w:rPr>
              <w:t>99,756</w:t>
            </w:r>
          </w:p>
        </w:tc>
        <w:tc>
          <w:tcPr>
            <w:tcW w:w="980" w:type="dxa"/>
            <w:tcBorders>
              <w:top w:val="nil"/>
              <w:left w:val="nil"/>
              <w:bottom w:val="single" w:sz="4" w:space="0" w:color="auto"/>
              <w:right w:val="single" w:sz="4" w:space="0" w:color="auto"/>
            </w:tcBorders>
            <w:shd w:val="clear" w:color="auto" w:fill="auto"/>
            <w:noWrap/>
            <w:vAlign w:val="bottom"/>
            <w:hideMark/>
          </w:tcPr>
          <w:p w14:paraId="7B1C5680" w14:textId="77777777" w:rsidR="00454966" w:rsidRPr="00454966" w:rsidRDefault="00454966" w:rsidP="00454966">
            <w:pPr>
              <w:jc w:val="right"/>
              <w:rPr>
                <w:sz w:val="20"/>
              </w:rPr>
            </w:pPr>
            <w:r w:rsidRPr="00454966">
              <w:rPr>
                <w:sz w:val="20"/>
              </w:rPr>
              <w:t>51,250</w:t>
            </w:r>
          </w:p>
        </w:tc>
        <w:tc>
          <w:tcPr>
            <w:tcW w:w="980" w:type="dxa"/>
            <w:tcBorders>
              <w:top w:val="nil"/>
              <w:left w:val="nil"/>
              <w:bottom w:val="single" w:sz="4" w:space="0" w:color="auto"/>
              <w:right w:val="single" w:sz="4" w:space="0" w:color="auto"/>
            </w:tcBorders>
            <w:shd w:val="clear" w:color="auto" w:fill="auto"/>
            <w:noWrap/>
            <w:vAlign w:val="bottom"/>
            <w:hideMark/>
          </w:tcPr>
          <w:p w14:paraId="092F795E" w14:textId="77777777" w:rsidR="00454966" w:rsidRPr="00454966" w:rsidRDefault="00454966" w:rsidP="00454966">
            <w:pPr>
              <w:jc w:val="right"/>
              <w:rPr>
                <w:sz w:val="20"/>
              </w:rPr>
            </w:pPr>
            <w:r w:rsidRPr="00454966">
              <w:rPr>
                <w:sz w:val="20"/>
              </w:rPr>
              <w:t>43,950</w:t>
            </w:r>
          </w:p>
        </w:tc>
        <w:tc>
          <w:tcPr>
            <w:tcW w:w="980" w:type="dxa"/>
            <w:tcBorders>
              <w:top w:val="nil"/>
              <w:left w:val="nil"/>
              <w:bottom w:val="single" w:sz="4" w:space="0" w:color="auto"/>
              <w:right w:val="single" w:sz="4" w:space="0" w:color="auto"/>
            </w:tcBorders>
            <w:shd w:val="clear" w:color="auto" w:fill="auto"/>
            <w:noWrap/>
            <w:vAlign w:val="bottom"/>
            <w:hideMark/>
          </w:tcPr>
          <w:p w14:paraId="7D4FD134" w14:textId="77777777" w:rsidR="00454966" w:rsidRPr="00454966" w:rsidRDefault="00454966" w:rsidP="00454966">
            <w:pPr>
              <w:jc w:val="right"/>
              <w:rPr>
                <w:sz w:val="20"/>
              </w:rPr>
            </w:pPr>
            <w:r w:rsidRPr="00454966">
              <w:rPr>
                <w:sz w:val="20"/>
              </w:rPr>
              <w:t>2,419</w:t>
            </w:r>
          </w:p>
        </w:tc>
        <w:tc>
          <w:tcPr>
            <w:tcW w:w="980" w:type="dxa"/>
            <w:tcBorders>
              <w:top w:val="nil"/>
              <w:left w:val="nil"/>
              <w:bottom w:val="single" w:sz="4" w:space="0" w:color="auto"/>
              <w:right w:val="single" w:sz="4" w:space="0" w:color="auto"/>
            </w:tcBorders>
            <w:shd w:val="clear" w:color="auto" w:fill="auto"/>
            <w:noWrap/>
            <w:vAlign w:val="bottom"/>
            <w:hideMark/>
          </w:tcPr>
          <w:p w14:paraId="7A19B1B9" w14:textId="77777777" w:rsidR="00454966" w:rsidRPr="00454966" w:rsidRDefault="00454966" w:rsidP="00454966">
            <w:pPr>
              <w:jc w:val="right"/>
              <w:rPr>
                <w:sz w:val="20"/>
              </w:rPr>
            </w:pPr>
            <w:r w:rsidRPr="00454966">
              <w:rPr>
                <w:sz w:val="20"/>
              </w:rPr>
              <w:t>4,881</w:t>
            </w:r>
          </w:p>
        </w:tc>
        <w:tc>
          <w:tcPr>
            <w:tcW w:w="980" w:type="dxa"/>
            <w:tcBorders>
              <w:top w:val="nil"/>
              <w:left w:val="nil"/>
              <w:bottom w:val="single" w:sz="4" w:space="0" w:color="auto"/>
              <w:right w:val="single" w:sz="4" w:space="0" w:color="auto"/>
            </w:tcBorders>
            <w:shd w:val="clear" w:color="auto" w:fill="auto"/>
            <w:noWrap/>
            <w:vAlign w:val="bottom"/>
            <w:hideMark/>
          </w:tcPr>
          <w:p w14:paraId="46C3ED88" w14:textId="77777777" w:rsidR="00454966" w:rsidRPr="00454966" w:rsidRDefault="00454966" w:rsidP="00454966">
            <w:pPr>
              <w:jc w:val="right"/>
              <w:rPr>
                <w:sz w:val="20"/>
              </w:rPr>
            </w:pPr>
            <w:r w:rsidRPr="00454966">
              <w:rPr>
                <w:sz w:val="20"/>
              </w:rPr>
              <w:t>48,546</w:t>
            </w:r>
          </w:p>
        </w:tc>
      </w:tr>
      <w:tr w:rsidR="00454966" w:rsidRPr="00454966" w14:paraId="38DCCA39" w14:textId="77777777" w:rsidTr="00BF315B">
        <w:trPr>
          <w:trHeight w:val="1205"/>
        </w:trPr>
        <w:tc>
          <w:tcPr>
            <w:tcW w:w="8980" w:type="dxa"/>
            <w:gridSpan w:val="8"/>
            <w:tcBorders>
              <w:top w:val="single" w:sz="4" w:space="0" w:color="auto"/>
              <w:left w:val="nil"/>
              <w:bottom w:val="nil"/>
              <w:right w:val="nil"/>
            </w:tcBorders>
            <w:shd w:val="clear" w:color="auto" w:fill="auto"/>
            <w:vAlign w:val="bottom"/>
            <w:hideMark/>
          </w:tcPr>
          <w:p w14:paraId="6839BD24"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r w:rsidRPr="00454966">
              <w:rPr>
                <w:sz w:val="18"/>
                <w:szCs w:val="18"/>
              </w:rPr>
              <w:br/>
            </w:r>
            <w:proofErr w:type="spellStart"/>
            <w:r w:rsidRPr="00454966">
              <w:rPr>
                <w:sz w:val="18"/>
                <w:szCs w:val="18"/>
              </w:rPr>
              <w:t>n.a.</w:t>
            </w:r>
            <w:proofErr w:type="spellEnd"/>
            <w:r w:rsidRPr="00454966">
              <w:rPr>
                <w:sz w:val="18"/>
                <w:szCs w:val="18"/>
              </w:rPr>
              <w:t xml:space="preserve"> NSDUH does not estimate this indicator for adolescents.</w:t>
            </w:r>
          </w:p>
          <w:p w14:paraId="7081A67C" w14:textId="48082BD7"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768B9B69" w14:textId="64D60653" w:rsidR="00454966" w:rsidRDefault="00454966" w:rsidP="001549F4"/>
    <w:p w14:paraId="01BD8FAC" w14:textId="603D7414" w:rsidR="00454966" w:rsidRDefault="00454966">
      <w:r>
        <w:br w:type="page"/>
      </w:r>
    </w:p>
    <w:p w14:paraId="309AFEC2" w14:textId="1996B96B" w:rsidR="00454966" w:rsidRDefault="00454966" w:rsidP="00CE532F">
      <w:pPr>
        <w:pStyle w:val="ListParagraph"/>
        <w:numPr>
          <w:ilvl w:val="0"/>
          <w:numId w:val="7"/>
        </w:numPr>
      </w:pPr>
      <w:r w:rsidRPr="00454966">
        <w:lastRenderedPageBreak/>
        <w:t xml:space="preserve">Major Depressive Episode in the </w:t>
      </w:r>
      <w:r w:rsidRPr="00CE532F">
        <w:rPr>
          <w:i/>
          <w:iCs/>
        </w:rPr>
        <w:t>Past Year</w:t>
      </w:r>
    </w:p>
    <w:p w14:paraId="4806C7F7" w14:textId="47322606"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604C885E" w14:textId="77777777" w:rsidTr="00454966">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675CD2A" w14:textId="77777777" w:rsidR="00454966" w:rsidRPr="00454966" w:rsidRDefault="00454966" w:rsidP="00454966">
            <w:pPr>
              <w:jc w:val="center"/>
              <w:rPr>
                <w:b/>
                <w:bCs/>
                <w:sz w:val="20"/>
              </w:rPr>
            </w:pPr>
            <w:bookmarkStart w:id="23" w:name="_Hlk58487838"/>
            <w:r w:rsidRPr="00454966">
              <w:rPr>
                <w:b/>
                <w:bCs/>
                <w:sz w:val="20"/>
              </w:rPr>
              <w:t xml:space="preserve">Major Depressive Episode in the </w:t>
            </w:r>
            <w:r w:rsidRPr="00454966">
              <w:rPr>
                <w:b/>
                <w:bCs/>
                <w:i/>
                <w:iCs/>
                <w:sz w:val="20"/>
                <w:u w:val="single"/>
              </w:rPr>
              <w:t>Past Year</w:t>
            </w:r>
            <w:r w:rsidRPr="00454966">
              <w:rPr>
                <w:b/>
                <w:bCs/>
                <w:sz w:val="20"/>
              </w:rPr>
              <w:t xml:space="preserve"> </w:t>
            </w:r>
            <w:bookmarkEnd w:id="23"/>
            <w:r w:rsidRPr="00454966">
              <w:rPr>
                <w:b/>
                <w:bCs/>
                <w:sz w:val="20"/>
              </w:rPr>
              <w:t>by Age Group Among Residents</w:t>
            </w:r>
            <w:r w:rsidRPr="00454966">
              <w:rPr>
                <w:b/>
                <w:bCs/>
                <w:sz w:val="20"/>
              </w:rPr>
              <w:br/>
              <w:t xml:space="preserve"> of Greater New Orleans Parishes and Statewide, 2019*</w:t>
            </w:r>
          </w:p>
        </w:tc>
      </w:tr>
      <w:tr w:rsidR="00454966" w:rsidRPr="00454966" w14:paraId="7E0E0932"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73185C41"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08982F37" w14:textId="36425218"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5157FF5C"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37EC56F9"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00D14D2D"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788A6C18"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7161D020"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507A474C" w14:textId="77777777" w:rsidR="00454966" w:rsidRPr="00454966" w:rsidRDefault="00454966" w:rsidP="00454966">
            <w:pPr>
              <w:jc w:val="center"/>
              <w:rPr>
                <w:sz w:val="20"/>
              </w:rPr>
            </w:pPr>
            <w:r w:rsidRPr="00454966">
              <w:rPr>
                <w:sz w:val="20"/>
              </w:rPr>
              <w:t>Jefferson Parish HSA</w:t>
            </w:r>
          </w:p>
        </w:tc>
      </w:tr>
      <w:tr w:rsidR="00454966" w:rsidRPr="00454966" w14:paraId="5F1267E3"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7B83B427"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06A33914"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ED15FF3"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015AC326"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11FD426D"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3BEA1D3A"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F6FFFF1"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6BA95D2" w14:textId="77777777" w:rsidR="00454966" w:rsidRPr="00454966" w:rsidRDefault="00454966" w:rsidP="00454966">
            <w:pPr>
              <w:rPr>
                <w:sz w:val="20"/>
              </w:rPr>
            </w:pPr>
            <w:r w:rsidRPr="00454966">
              <w:rPr>
                <w:sz w:val="20"/>
              </w:rPr>
              <w:t> </w:t>
            </w:r>
          </w:p>
        </w:tc>
      </w:tr>
      <w:tr w:rsidR="00454966" w:rsidRPr="00454966" w14:paraId="2FE3143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0285E0F"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7AD4330"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1CF744D5"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5518624A"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237F9297"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70277F4C"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364B7BA6"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08D35EA8" w14:textId="77777777" w:rsidR="00454966" w:rsidRPr="00454966" w:rsidRDefault="00454966" w:rsidP="00454966">
            <w:pPr>
              <w:jc w:val="right"/>
              <w:rPr>
                <w:sz w:val="20"/>
              </w:rPr>
            </w:pPr>
            <w:r w:rsidRPr="00454966">
              <w:rPr>
                <w:sz w:val="20"/>
              </w:rPr>
              <w:t>30,385</w:t>
            </w:r>
          </w:p>
        </w:tc>
      </w:tr>
      <w:tr w:rsidR="00454966" w:rsidRPr="00454966" w14:paraId="264C8BE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58B833C" w14:textId="2BC80F4D" w:rsidR="00454966" w:rsidRPr="00454966" w:rsidRDefault="00454966" w:rsidP="00454966">
            <w:pPr>
              <w:rPr>
                <w:sz w:val="20"/>
              </w:rPr>
            </w:pPr>
            <w:r w:rsidRPr="00454966">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443654F0" w14:textId="77777777" w:rsidR="00454966" w:rsidRPr="00454966" w:rsidRDefault="00454966" w:rsidP="00454966">
            <w:pPr>
              <w:jc w:val="right"/>
              <w:rPr>
                <w:sz w:val="20"/>
              </w:rPr>
            </w:pPr>
            <w:r w:rsidRPr="00454966">
              <w:rPr>
                <w:sz w:val="20"/>
              </w:rPr>
              <w:t>11.79%</w:t>
            </w:r>
          </w:p>
        </w:tc>
        <w:tc>
          <w:tcPr>
            <w:tcW w:w="980" w:type="dxa"/>
            <w:tcBorders>
              <w:top w:val="nil"/>
              <w:left w:val="nil"/>
              <w:bottom w:val="nil"/>
              <w:right w:val="single" w:sz="4" w:space="0" w:color="auto"/>
            </w:tcBorders>
            <w:shd w:val="clear" w:color="auto" w:fill="auto"/>
            <w:noWrap/>
            <w:vAlign w:val="bottom"/>
            <w:hideMark/>
          </w:tcPr>
          <w:p w14:paraId="7365413E" w14:textId="77777777" w:rsidR="00454966" w:rsidRPr="00454966" w:rsidRDefault="00454966" w:rsidP="00454966">
            <w:pPr>
              <w:jc w:val="right"/>
              <w:rPr>
                <w:sz w:val="20"/>
              </w:rPr>
            </w:pPr>
            <w:r w:rsidRPr="00454966">
              <w:rPr>
                <w:sz w:val="20"/>
              </w:rPr>
              <w:t>12.04%</w:t>
            </w:r>
          </w:p>
        </w:tc>
        <w:tc>
          <w:tcPr>
            <w:tcW w:w="980" w:type="dxa"/>
            <w:tcBorders>
              <w:top w:val="nil"/>
              <w:left w:val="nil"/>
              <w:bottom w:val="nil"/>
              <w:right w:val="single" w:sz="4" w:space="0" w:color="auto"/>
            </w:tcBorders>
            <w:shd w:val="clear" w:color="auto" w:fill="auto"/>
            <w:noWrap/>
            <w:vAlign w:val="bottom"/>
            <w:hideMark/>
          </w:tcPr>
          <w:p w14:paraId="0E84E15C" w14:textId="77777777" w:rsidR="00454966" w:rsidRPr="00454966" w:rsidRDefault="00454966" w:rsidP="00454966">
            <w:pPr>
              <w:jc w:val="right"/>
              <w:rPr>
                <w:sz w:val="20"/>
              </w:rPr>
            </w:pPr>
            <w:r w:rsidRPr="00454966">
              <w:rPr>
                <w:sz w:val="20"/>
              </w:rPr>
              <w:t>11.54%</w:t>
            </w:r>
          </w:p>
        </w:tc>
        <w:tc>
          <w:tcPr>
            <w:tcW w:w="980" w:type="dxa"/>
            <w:tcBorders>
              <w:top w:val="nil"/>
              <w:left w:val="nil"/>
              <w:bottom w:val="nil"/>
              <w:right w:val="nil"/>
            </w:tcBorders>
            <w:shd w:val="clear" w:color="auto" w:fill="auto"/>
            <w:noWrap/>
            <w:vAlign w:val="bottom"/>
            <w:hideMark/>
          </w:tcPr>
          <w:p w14:paraId="1AC64763" w14:textId="77777777" w:rsidR="00454966" w:rsidRPr="00454966" w:rsidRDefault="00454966" w:rsidP="00454966">
            <w:pPr>
              <w:jc w:val="right"/>
              <w:rPr>
                <w:sz w:val="20"/>
              </w:rPr>
            </w:pPr>
            <w:r w:rsidRPr="00454966">
              <w:rPr>
                <w:sz w:val="20"/>
              </w:rPr>
              <w:t>11.54%</w:t>
            </w:r>
          </w:p>
        </w:tc>
        <w:tc>
          <w:tcPr>
            <w:tcW w:w="980" w:type="dxa"/>
            <w:tcBorders>
              <w:top w:val="nil"/>
              <w:left w:val="single" w:sz="4" w:space="0" w:color="auto"/>
              <w:bottom w:val="nil"/>
              <w:right w:val="single" w:sz="4" w:space="0" w:color="auto"/>
            </w:tcBorders>
            <w:shd w:val="clear" w:color="auto" w:fill="auto"/>
            <w:noWrap/>
            <w:vAlign w:val="bottom"/>
            <w:hideMark/>
          </w:tcPr>
          <w:p w14:paraId="43AD66F3" w14:textId="77777777" w:rsidR="00454966" w:rsidRPr="00454966" w:rsidRDefault="00454966" w:rsidP="00454966">
            <w:pPr>
              <w:jc w:val="right"/>
              <w:rPr>
                <w:sz w:val="20"/>
              </w:rPr>
            </w:pPr>
            <w:r w:rsidRPr="00454966">
              <w:rPr>
                <w:sz w:val="20"/>
              </w:rPr>
              <w:t>11.54%</w:t>
            </w:r>
          </w:p>
        </w:tc>
        <w:tc>
          <w:tcPr>
            <w:tcW w:w="980" w:type="dxa"/>
            <w:tcBorders>
              <w:top w:val="nil"/>
              <w:left w:val="nil"/>
              <w:bottom w:val="nil"/>
              <w:right w:val="single" w:sz="4" w:space="0" w:color="auto"/>
            </w:tcBorders>
            <w:shd w:val="clear" w:color="auto" w:fill="auto"/>
            <w:noWrap/>
            <w:vAlign w:val="bottom"/>
            <w:hideMark/>
          </w:tcPr>
          <w:p w14:paraId="6E5344C7" w14:textId="77777777" w:rsidR="00454966" w:rsidRPr="00454966" w:rsidRDefault="00454966" w:rsidP="00454966">
            <w:pPr>
              <w:jc w:val="right"/>
              <w:rPr>
                <w:sz w:val="20"/>
              </w:rPr>
            </w:pPr>
            <w:r w:rsidRPr="00454966">
              <w:rPr>
                <w:sz w:val="20"/>
              </w:rPr>
              <w:t>11.54%</w:t>
            </w:r>
          </w:p>
        </w:tc>
        <w:tc>
          <w:tcPr>
            <w:tcW w:w="980" w:type="dxa"/>
            <w:tcBorders>
              <w:top w:val="nil"/>
              <w:left w:val="nil"/>
              <w:bottom w:val="nil"/>
              <w:right w:val="single" w:sz="4" w:space="0" w:color="auto"/>
            </w:tcBorders>
            <w:shd w:val="clear" w:color="auto" w:fill="auto"/>
            <w:noWrap/>
            <w:vAlign w:val="bottom"/>
            <w:hideMark/>
          </w:tcPr>
          <w:p w14:paraId="0B827198" w14:textId="77777777" w:rsidR="00454966" w:rsidRPr="00454966" w:rsidRDefault="00454966" w:rsidP="00454966">
            <w:pPr>
              <w:jc w:val="right"/>
              <w:rPr>
                <w:sz w:val="20"/>
              </w:rPr>
            </w:pPr>
            <w:r w:rsidRPr="00454966">
              <w:rPr>
                <w:sz w:val="20"/>
              </w:rPr>
              <w:t>12.57%</w:t>
            </w:r>
          </w:p>
        </w:tc>
      </w:tr>
      <w:tr w:rsidR="00454966" w:rsidRPr="00454966" w14:paraId="66490136"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19F8218"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F4EAB82" w14:textId="77777777" w:rsidR="00454966" w:rsidRPr="00454966" w:rsidRDefault="00454966" w:rsidP="00454966">
            <w:pPr>
              <w:jc w:val="right"/>
              <w:rPr>
                <w:sz w:val="20"/>
              </w:rPr>
            </w:pPr>
            <w:r w:rsidRPr="00454966">
              <w:rPr>
                <w:sz w:val="20"/>
              </w:rPr>
              <w:t>42,549</w:t>
            </w:r>
          </w:p>
        </w:tc>
        <w:tc>
          <w:tcPr>
            <w:tcW w:w="980" w:type="dxa"/>
            <w:tcBorders>
              <w:top w:val="nil"/>
              <w:left w:val="nil"/>
              <w:bottom w:val="single" w:sz="4" w:space="0" w:color="auto"/>
              <w:right w:val="single" w:sz="4" w:space="0" w:color="auto"/>
            </w:tcBorders>
            <w:shd w:val="clear" w:color="auto" w:fill="auto"/>
            <w:noWrap/>
            <w:vAlign w:val="bottom"/>
            <w:hideMark/>
          </w:tcPr>
          <w:p w14:paraId="48167D6E" w14:textId="77777777" w:rsidR="00454966" w:rsidRPr="00454966" w:rsidRDefault="00454966" w:rsidP="00454966">
            <w:pPr>
              <w:jc w:val="right"/>
              <w:rPr>
                <w:sz w:val="20"/>
              </w:rPr>
            </w:pPr>
            <w:r w:rsidRPr="00454966">
              <w:rPr>
                <w:sz w:val="20"/>
              </w:rPr>
              <w:t>7,367</w:t>
            </w:r>
          </w:p>
        </w:tc>
        <w:tc>
          <w:tcPr>
            <w:tcW w:w="980" w:type="dxa"/>
            <w:tcBorders>
              <w:top w:val="nil"/>
              <w:left w:val="nil"/>
              <w:bottom w:val="single" w:sz="4" w:space="0" w:color="auto"/>
              <w:right w:val="single" w:sz="4" w:space="0" w:color="auto"/>
            </w:tcBorders>
            <w:shd w:val="clear" w:color="auto" w:fill="auto"/>
            <w:noWrap/>
            <w:vAlign w:val="bottom"/>
            <w:hideMark/>
          </w:tcPr>
          <w:p w14:paraId="21D6D1AF" w14:textId="77777777" w:rsidR="00454966" w:rsidRPr="00454966" w:rsidRDefault="00454966" w:rsidP="00454966">
            <w:pPr>
              <w:jc w:val="right"/>
              <w:rPr>
                <w:sz w:val="20"/>
              </w:rPr>
            </w:pPr>
            <w:r w:rsidRPr="00454966">
              <w:rPr>
                <w:sz w:val="20"/>
              </w:rPr>
              <w:t>3,557</w:t>
            </w:r>
          </w:p>
        </w:tc>
        <w:tc>
          <w:tcPr>
            <w:tcW w:w="980" w:type="dxa"/>
            <w:tcBorders>
              <w:top w:val="nil"/>
              <w:left w:val="nil"/>
              <w:bottom w:val="single" w:sz="4" w:space="0" w:color="auto"/>
              <w:right w:val="single" w:sz="4" w:space="0" w:color="auto"/>
            </w:tcBorders>
            <w:shd w:val="clear" w:color="auto" w:fill="auto"/>
            <w:noWrap/>
            <w:vAlign w:val="bottom"/>
            <w:hideMark/>
          </w:tcPr>
          <w:p w14:paraId="4936EF8E" w14:textId="77777777" w:rsidR="00454966" w:rsidRPr="00454966" w:rsidRDefault="00454966" w:rsidP="00454966">
            <w:pPr>
              <w:jc w:val="right"/>
              <w:rPr>
                <w:sz w:val="20"/>
              </w:rPr>
            </w:pPr>
            <w:r w:rsidRPr="00454966">
              <w:rPr>
                <w:sz w:val="20"/>
              </w:rPr>
              <w:t>2,850</w:t>
            </w:r>
          </w:p>
        </w:tc>
        <w:tc>
          <w:tcPr>
            <w:tcW w:w="980" w:type="dxa"/>
            <w:tcBorders>
              <w:top w:val="nil"/>
              <w:left w:val="nil"/>
              <w:bottom w:val="single" w:sz="4" w:space="0" w:color="auto"/>
              <w:right w:val="single" w:sz="4" w:space="0" w:color="auto"/>
            </w:tcBorders>
            <w:shd w:val="clear" w:color="auto" w:fill="auto"/>
            <w:noWrap/>
            <w:vAlign w:val="bottom"/>
            <w:hideMark/>
          </w:tcPr>
          <w:p w14:paraId="5B90F147" w14:textId="77777777" w:rsidR="00454966" w:rsidRPr="00454966" w:rsidRDefault="00454966" w:rsidP="00454966">
            <w:pPr>
              <w:jc w:val="right"/>
              <w:rPr>
                <w:sz w:val="20"/>
              </w:rPr>
            </w:pPr>
            <w:r w:rsidRPr="00454966">
              <w:rPr>
                <w:sz w:val="20"/>
              </w:rPr>
              <w:t>240</w:t>
            </w:r>
          </w:p>
        </w:tc>
        <w:tc>
          <w:tcPr>
            <w:tcW w:w="980" w:type="dxa"/>
            <w:tcBorders>
              <w:top w:val="nil"/>
              <w:left w:val="nil"/>
              <w:bottom w:val="single" w:sz="4" w:space="0" w:color="auto"/>
              <w:right w:val="single" w:sz="4" w:space="0" w:color="auto"/>
            </w:tcBorders>
            <w:shd w:val="clear" w:color="auto" w:fill="auto"/>
            <w:noWrap/>
            <w:vAlign w:val="bottom"/>
            <w:hideMark/>
          </w:tcPr>
          <w:p w14:paraId="628510B3" w14:textId="77777777" w:rsidR="00454966" w:rsidRPr="00454966" w:rsidRDefault="00454966" w:rsidP="00454966">
            <w:pPr>
              <w:jc w:val="right"/>
              <w:rPr>
                <w:sz w:val="20"/>
              </w:rPr>
            </w:pPr>
            <w:r w:rsidRPr="00454966">
              <w:rPr>
                <w:sz w:val="20"/>
              </w:rPr>
              <w:t>467</w:t>
            </w:r>
          </w:p>
        </w:tc>
        <w:tc>
          <w:tcPr>
            <w:tcW w:w="980" w:type="dxa"/>
            <w:tcBorders>
              <w:top w:val="nil"/>
              <w:left w:val="nil"/>
              <w:bottom w:val="single" w:sz="4" w:space="0" w:color="auto"/>
              <w:right w:val="single" w:sz="4" w:space="0" w:color="auto"/>
            </w:tcBorders>
            <w:shd w:val="clear" w:color="auto" w:fill="auto"/>
            <w:noWrap/>
            <w:vAlign w:val="bottom"/>
            <w:hideMark/>
          </w:tcPr>
          <w:p w14:paraId="25DE900D" w14:textId="77777777" w:rsidR="00454966" w:rsidRPr="00454966" w:rsidRDefault="00454966" w:rsidP="00454966">
            <w:pPr>
              <w:jc w:val="right"/>
              <w:rPr>
                <w:sz w:val="20"/>
              </w:rPr>
            </w:pPr>
            <w:r w:rsidRPr="00454966">
              <w:rPr>
                <w:sz w:val="20"/>
              </w:rPr>
              <w:t>3,818</w:t>
            </w:r>
          </w:p>
        </w:tc>
      </w:tr>
      <w:tr w:rsidR="00454966" w:rsidRPr="00454966" w14:paraId="23EBB622"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9C06131"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045D4FD9"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ACCF068"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32F7E93"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017C178"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2A65DA02"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0694829"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2020E50" w14:textId="77777777" w:rsidR="00454966" w:rsidRPr="00454966" w:rsidRDefault="00454966" w:rsidP="00454966">
            <w:pPr>
              <w:rPr>
                <w:sz w:val="20"/>
              </w:rPr>
            </w:pPr>
            <w:r w:rsidRPr="00454966">
              <w:rPr>
                <w:sz w:val="20"/>
              </w:rPr>
              <w:t> </w:t>
            </w:r>
          </w:p>
        </w:tc>
      </w:tr>
      <w:tr w:rsidR="00454966" w:rsidRPr="00454966" w14:paraId="3652A956"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4B6EA22"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1840D22D"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09CBC831"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69CBA9FC"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45450C80"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04FD702E"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09C55AD9"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733AEAE8" w14:textId="77777777" w:rsidR="00454966" w:rsidRPr="00454966" w:rsidRDefault="00454966" w:rsidP="00454966">
            <w:pPr>
              <w:jc w:val="right"/>
              <w:rPr>
                <w:sz w:val="20"/>
              </w:rPr>
            </w:pPr>
            <w:r w:rsidRPr="00454966">
              <w:rPr>
                <w:sz w:val="20"/>
              </w:rPr>
              <w:t>37,617</w:t>
            </w:r>
          </w:p>
        </w:tc>
      </w:tr>
      <w:tr w:rsidR="00454966" w:rsidRPr="00454966" w14:paraId="0E72F5E3"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C37272E"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0AE6C883" w14:textId="77777777" w:rsidR="00454966" w:rsidRPr="00454966" w:rsidRDefault="00454966" w:rsidP="00454966">
            <w:pPr>
              <w:jc w:val="right"/>
              <w:rPr>
                <w:sz w:val="20"/>
              </w:rPr>
            </w:pPr>
            <w:r w:rsidRPr="00454966">
              <w:rPr>
                <w:sz w:val="20"/>
              </w:rPr>
              <w:t>10.09%</w:t>
            </w:r>
          </w:p>
        </w:tc>
        <w:tc>
          <w:tcPr>
            <w:tcW w:w="980" w:type="dxa"/>
            <w:tcBorders>
              <w:top w:val="nil"/>
              <w:left w:val="nil"/>
              <w:bottom w:val="nil"/>
              <w:right w:val="single" w:sz="4" w:space="0" w:color="auto"/>
            </w:tcBorders>
            <w:shd w:val="clear" w:color="auto" w:fill="auto"/>
            <w:noWrap/>
            <w:vAlign w:val="bottom"/>
            <w:hideMark/>
          </w:tcPr>
          <w:p w14:paraId="52A6F0ED" w14:textId="77777777" w:rsidR="00454966" w:rsidRPr="00454966" w:rsidRDefault="00454966" w:rsidP="00454966">
            <w:pPr>
              <w:jc w:val="right"/>
              <w:rPr>
                <w:sz w:val="20"/>
              </w:rPr>
            </w:pPr>
            <w:r w:rsidRPr="00454966">
              <w:rPr>
                <w:sz w:val="20"/>
              </w:rPr>
              <w:t>10.91%</w:t>
            </w:r>
          </w:p>
        </w:tc>
        <w:tc>
          <w:tcPr>
            <w:tcW w:w="980" w:type="dxa"/>
            <w:tcBorders>
              <w:top w:val="nil"/>
              <w:left w:val="nil"/>
              <w:bottom w:val="nil"/>
              <w:right w:val="single" w:sz="4" w:space="0" w:color="auto"/>
            </w:tcBorders>
            <w:shd w:val="clear" w:color="auto" w:fill="auto"/>
            <w:noWrap/>
            <w:vAlign w:val="bottom"/>
            <w:hideMark/>
          </w:tcPr>
          <w:p w14:paraId="69759BCC" w14:textId="77777777" w:rsidR="00454966" w:rsidRPr="00454966" w:rsidRDefault="00454966" w:rsidP="00454966">
            <w:pPr>
              <w:jc w:val="right"/>
              <w:rPr>
                <w:sz w:val="20"/>
              </w:rPr>
            </w:pPr>
            <w:r w:rsidRPr="00454966">
              <w:rPr>
                <w:sz w:val="20"/>
              </w:rPr>
              <w:t>10.62%</w:t>
            </w:r>
          </w:p>
        </w:tc>
        <w:tc>
          <w:tcPr>
            <w:tcW w:w="980" w:type="dxa"/>
            <w:tcBorders>
              <w:top w:val="nil"/>
              <w:left w:val="nil"/>
              <w:bottom w:val="nil"/>
              <w:right w:val="nil"/>
            </w:tcBorders>
            <w:shd w:val="clear" w:color="auto" w:fill="auto"/>
            <w:noWrap/>
            <w:vAlign w:val="bottom"/>
            <w:hideMark/>
          </w:tcPr>
          <w:p w14:paraId="5FE6C9EF" w14:textId="77777777" w:rsidR="00454966" w:rsidRPr="00454966" w:rsidRDefault="00454966" w:rsidP="00454966">
            <w:pPr>
              <w:jc w:val="right"/>
              <w:rPr>
                <w:sz w:val="20"/>
              </w:rPr>
            </w:pPr>
            <w:r w:rsidRPr="00454966">
              <w:rPr>
                <w:sz w:val="20"/>
              </w:rPr>
              <w:t>10.62%</w:t>
            </w:r>
          </w:p>
        </w:tc>
        <w:tc>
          <w:tcPr>
            <w:tcW w:w="980" w:type="dxa"/>
            <w:tcBorders>
              <w:top w:val="nil"/>
              <w:left w:val="single" w:sz="4" w:space="0" w:color="auto"/>
              <w:bottom w:val="nil"/>
              <w:right w:val="single" w:sz="4" w:space="0" w:color="auto"/>
            </w:tcBorders>
            <w:shd w:val="clear" w:color="auto" w:fill="auto"/>
            <w:noWrap/>
            <w:vAlign w:val="bottom"/>
            <w:hideMark/>
          </w:tcPr>
          <w:p w14:paraId="33DDB416" w14:textId="77777777" w:rsidR="00454966" w:rsidRPr="00454966" w:rsidRDefault="00454966" w:rsidP="00454966">
            <w:pPr>
              <w:jc w:val="right"/>
              <w:rPr>
                <w:sz w:val="20"/>
              </w:rPr>
            </w:pPr>
            <w:r w:rsidRPr="00454966">
              <w:rPr>
                <w:sz w:val="20"/>
              </w:rPr>
              <w:t>10.62%</w:t>
            </w:r>
          </w:p>
        </w:tc>
        <w:tc>
          <w:tcPr>
            <w:tcW w:w="980" w:type="dxa"/>
            <w:tcBorders>
              <w:top w:val="nil"/>
              <w:left w:val="nil"/>
              <w:bottom w:val="nil"/>
              <w:right w:val="single" w:sz="4" w:space="0" w:color="auto"/>
            </w:tcBorders>
            <w:shd w:val="clear" w:color="auto" w:fill="auto"/>
            <w:noWrap/>
            <w:vAlign w:val="bottom"/>
            <w:hideMark/>
          </w:tcPr>
          <w:p w14:paraId="5B5276CC" w14:textId="77777777" w:rsidR="00454966" w:rsidRPr="00454966" w:rsidRDefault="00454966" w:rsidP="00454966">
            <w:pPr>
              <w:jc w:val="right"/>
              <w:rPr>
                <w:sz w:val="20"/>
              </w:rPr>
            </w:pPr>
            <w:r w:rsidRPr="00454966">
              <w:rPr>
                <w:sz w:val="20"/>
              </w:rPr>
              <w:t>10.62%</w:t>
            </w:r>
          </w:p>
        </w:tc>
        <w:tc>
          <w:tcPr>
            <w:tcW w:w="980" w:type="dxa"/>
            <w:tcBorders>
              <w:top w:val="nil"/>
              <w:left w:val="nil"/>
              <w:bottom w:val="nil"/>
              <w:right w:val="single" w:sz="4" w:space="0" w:color="auto"/>
            </w:tcBorders>
            <w:shd w:val="clear" w:color="auto" w:fill="auto"/>
            <w:noWrap/>
            <w:vAlign w:val="bottom"/>
            <w:hideMark/>
          </w:tcPr>
          <w:p w14:paraId="05A462E7" w14:textId="77777777" w:rsidR="00454966" w:rsidRPr="00454966" w:rsidRDefault="00454966" w:rsidP="00454966">
            <w:pPr>
              <w:jc w:val="right"/>
              <w:rPr>
                <w:sz w:val="20"/>
              </w:rPr>
            </w:pPr>
            <w:r w:rsidRPr="00454966">
              <w:rPr>
                <w:sz w:val="20"/>
              </w:rPr>
              <w:t>11.32%</w:t>
            </w:r>
          </w:p>
        </w:tc>
      </w:tr>
      <w:tr w:rsidR="00454966" w:rsidRPr="00454966" w14:paraId="0468C9DB"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B4FC141"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DB5D8DD" w14:textId="77777777" w:rsidR="00454966" w:rsidRPr="00454966" w:rsidRDefault="00454966" w:rsidP="00454966">
            <w:pPr>
              <w:jc w:val="right"/>
              <w:rPr>
                <w:sz w:val="20"/>
              </w:rPr>
            </w:pPr>
            <w:r w:rsidRPr="00454966">
              <w:rPr>
                <w:sz w:val="20"/>
              </w:rPr>
              <w:t>48,788</w:t>
            </w:r>
          </w:p>
        </w:tc>
        <w:tc>
          <w:tcPr>
            <w:tcW w:w="980" w:type="dxa"/>
            <w:tcBorders>
              <w:top w:val="nil"/>
              <w:left w:val="nil"/>
              <w:bottom w:val="single" w:sz="4" w:space="0" w:color="auto"/>
              <w:right w:val="single" w:sz="4" w:space="0" w:color="auto"/>
            </w:tcBorders>
            <w:shd w:val="clear" w:color="auto" w:fill="auto"/>
            <w:noWrap/>
            <w:vAlign w:val="bottom"/>
            <w:hideMark/>
          </w:tcPr>
          <w:p w14:paraId="744D9908" w14:textId="77777777" w:rsidR="00454966" w:rsidRPr="00454966" w:rsidRDefault="00454966" w:rsidP="00454966">
            <w:pPr>
              <w:jc w:val="right"/>
              <w:rPr>
                <w:sz w:val="20"/>
              </w:rPr>
            </w:pPr>
            <w:r w:rsidRPr="00454966">
              <w:rPr>
                <w:sz w:val="20"/>
              </w:rPr>
              <w:t>8,989</w:t>
            </w:r>
          </w:p>
        </w:tc>
        <w:tc>
          <w:tcPr>
            <w:tcW w:w="980" w:type="dxa"/>
            <w:tcBorders>
              <w:top w:val="nil"/>
              <w:left w:val="nil"/>
              <w:bottom w:val="single" w:sz="4" w:space="0" w:color="auto"/>
              <w:right w:val="single" w:sz="4" w:space="0" w:color="auto"/>
            </w:tcBorders>
            <w:shd w:val="clear" w:color="auto" w:fill="auto"/>
            <w:noWrap/>
            <w:vAlign w:val="bottom"/>
            <w:hideMark/>
          </w:tcPr>
          <w:p w14:paraId="5FF4C6C2" w14:textId="77777777" w:rsidR="00454966" w:rsidRPr="00454966" w:rsidRDefault="00454966" w:rsidP="00454966">
            <w:pPr>
              <w:jc w:val="right"/>
              <w:rPr>
                <w:sz w:val="20"/>
              </w:rPr>
            </w:pPr>
            <w:r w:rsidRPr="00454966">
              <w:rPr>
                <w:sz w:val="20"/>
              </w:rPr>
              <w:t>4,755</w:t>
            </w:r>
          </w:p>
        </w:tc>
        <w:tc>
          <w:tcPr>
            <w:tcW w:w="980" w:type="dxa"/>
            <w:tcBorders>
              <w:top w:val="nil"/>
              <w:left w:val="nil"/>
              <w:bottom w:val="single" w:sz="4" w:space="0" w:color="auto"/>
              <w:right w:val="single" w:sz="4" w:space="0" w:color="auto"/>
            </w:tcBorders>
            <w:shd w:val="clear" w:color="auto" w:fill="auto"/>
            <w:noWrap/>
            <w:vAlign w:val="bottom"/>
            <w:hideMark/>
          </w:tcPr>
          <w:p w14:paraId="4C79EE3F" w14:textId="77777777" w:rsidR="00454966" w:rsidRPr="00454966" w:rsidRDefault="00454966" w:rsidP="00454966">
            <w:pPr>
              <w:jc w:val="right"/>
              <w:rPr>
                <w:sz w:val="20"/>
              </w:rPr>
            </w:pPr>
            <w:r w:rsidRPr="00454966">
              <w:rPr>
                <w:sz w:val="20"/>
              </w:rPr>
              <w:t>4,076</w:t>
            </w:r>
          </w:p>
        </w:tc>
        <w:tc>
          <w:tcPr>
            <w:tcW w:w="980" w:type="dxa"/>
            <w:tcBorders>
              <w:top w:val="nil"/>
              <w:left w:val="nil"/>
              <w:bottom w:val="single" w:sz="4" w:space="0" w:color="auto"/>
              <w:right w:val="single" w:sz="4" w:space="0" w:color="auto"/>
            </w:tcBorders>
            <w:shd w:val="clear" w:color="auto" w:fill="auto"/>
            <w:noWrap/>
            <w:vAlign w:val="bottom"/>
            <w:hideMark/>
          </w:tcPr>
          <w:p w14:paraId="7CB5C4B2" w14:textId="77777777" w:rsidR="00454966" w:rsidRPr="00454966" w:rsidRDefault="00454966" w:rsidP="00454966">
            <w:pPr>
              <w:jc w:val="right"/>
              <w:rPr>
                <w:sz w:val="20"/>
              </w:rPr>
            </w:pPr>
            <w:r w:rsidRPr="00454966">
              <w:rPr>
                <w:sz w:val="20"/>
              </w:rPr>
              <w:t>240</w:t>
            </w:r>
          </w:p>
        </w:tc>
        <w:tc>
          <w:tcPr>
            <w:tcW w:w="980" w:type="dxa"/>
            <w:tcBorders>
              <w:top w:val="nil"/>
              <w:left w:val="nil"/>
              <w:bottom w:val="single" w:sz="4" w:space="0" w:color="auto"/>
              <w:right w:val="single" w:sz="4" w:space="0" w:color="auto"/>
            </w:tcBorders>
            <w:shd w:val="clear" w:color="auto" w:fill="auto"/>
            <w:noWrap/>
            <w:vAlign w:val="bottom"/>
            <w:hideMark/>
          </w:tcPr>
          <w:p w14:paraId="6447CA63" w14:textId="77777777" w:rsidR="00454966" w:rsidRPr="00454966" w:rsidRDefault="00454966" w:rsidP="00454966">
            <w:pPr>
              <w:jc w:val="right"/>
              <w:rPr>
                <w:sz w:val="20"/>
              </w:rPr>
            </w:pPr>
            <w:r w:rsidRPr="00454966">
              <w:rPr>
                <w:sz w:val="20"/>
              </w:rPr>
              <w:t>439</w:t>
            </w:r>
          </w:p>
        </w:tc>
        <w:tc>
          <w:tcPr>
            <w:tcW w:w="980" w:type="dxa"/>
            <w:tcBorders>
              <w:top w:val="nil"/>
              <w:left w:val="nil"/>
              <w:bottom w:val="single" w:sz="4" w:space="0" w:color="auto"/>
              <w:right w:val="single" w:sz="4" w:space="0" w:color="auto"/>
            </w:tcBorders>
            <w:shd w:val="clear" w:color="auto" w:fill="auto"/>
            <w:noWrap/>
            <w:vAlign w:val="bottom"/>
            <w:hideMark/>
          </w:tcPr>
          <w:p w14:paraId="312C1D32" w14:textId="77777777" w:rsidR="00454966" w:rsidRPr="00454966" w:rsidRDefault="00454966" w:rsidP="00454966">
            <w:pPr>
              <w:jc w:val="right"/>
              <w:rPr>
                <w:sz w:val="20"/>
              </w:rPr>
            </w:pPr>
            <w:r w:rsidRPr="00454966">
              <w:rPr>
                <w:sz w:val="20"/>
              </w:rPr>
              <w:t>4,259</w:t>
            </w:r>
          </w:p>
        </w:tc>
      </w:tr>
      <w:tr w:rsidR="00454966" w:rsidRPr="00454966" w14:paraId="776CDB21"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43147CFF" w14:textId="0EE23724"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040C2373"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0B899F7"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4F7727F"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43F03CD7"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725AE19D"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38E3840"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2210BE9A" w14:textId="77777777" w:rsidR="00454966" w:rsidRPr="00454966" w:rsidRDefault="00454966" w:rsidP="00454966">
            <w:pPr>
              <w:rPr>
                <w:sz w:val="20"/>
              </w:rPr>
            </w:pPr>
            <w:r w:rsidRPr="00454966">
              <w:rPr>
                <w:sz w:val="20"/>
              </w:rPr>
              <w:t> </w:t>
            </w:r>
          </w:p>
        </w:tc>
      </w:tr>
      <w:tr w:rsidR="00454966" w:rsidRPr="00454966" w14:paraId="76099A55"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61F823E"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1D444BD"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675DD3AF"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158ED64A"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23BF9613"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07ED0B6E"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2BDC3B1A"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3AD41A81" w14:textId="77777777" w:rsidR="00454966" w:rsidRPr="00454966" w:rsidRDefault="00454966" w:rsidP="00454966">
            <w:pPr>
              <w:jc w:val="right"/>
              <w:rPr>
                <w:sz w:val="20"/>
              </w:rPr>
            </w:pPr>
            <w:r w:rsidRPr="00454966">
              <w:rPr>
                <w:sz w:val="20"/>
              </w:rPr>
              <w:t>299,579</w:t>
            </w:r>
          </w:p>
        </w:tc>
      </w:tr>
      <w:tr w:rsidR="00454966" w:rsidRPr="00454966" w14:paraId="74AE4C72"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972960E"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6BF37591" w14:textId="77777777" w:rsidR="00454966" w:rsidRPr="00454966" w:rsidRDefault="00454966" w:rsidP="00454966">
            <w:pPr>
              <w:jc w:val="right"/>
              <w:rPr>
                <w:sz w:val="20"/>
              </w:rPr>
            </w:pPr>
            <w:r w:rsidRPr="00454966">
              <w:rPr>
                <w:sz w:val="20"/>
              </w:rPr>
              <w:t>6.91%</w:t>
            </w:r>
          </w:p>
        </w:tc>
        <w:tc>
          <w:tcPr>
            <w:tcW w:w="980" w:type="dxa"/>
            <w:tcBorders>
              <w:top w:val="nil"/>
              <w:left w:val="nil"/>
              <w:bottom w:val="nil"/>
              <w:right w:val="single" w:sz="4" w:space="0" w:color="auto"/>
            </w:tcBorders>
            <w:shd w:val="clear" w:color="auto" w:fill="auto"/>
            <w:noWrap/>
            <w:vAlign w:val="bottom"/>
            <w:hideMark/>
          </w:tcPr>
          <w:p w14:paraId="75F23DC0" w14:textId="77777777" w:rsidR="00454966" w:rsidRPr="00454966" w:rsidRDefault="00454966" w:rsidP="00454966">
            <w:pPr>
              <w:jc w:val="right"/>
              <w:rPr>
                <w:sz w:val="20"/>
              </w:rPr>
            </w:pPr>
            <w:r w:rsidRPr="00454966">
              <w:rPr>
                <w:sz w:val="20"/>
              </w:rPr>
              <w:t>7.04%</w:t>
            </w:r>
          </w:p>
        </w:tc>
        <w:tc>
          <w:tcPr>
            <w:tcW w:w="980" w:type="dxa"/>
            <w:tcBorders>
              <w:top w:val="nil"/>
              <w:left w:val="nil"/>
              <w:bottom w:val="nil"/>
              <w:right w:val="single" w:sz="4" w:space="0" w:color="auto"/>
            </w:tcBorders>
            <w:shd w:val="clear" w:color="auto" w:fill="auto"/>
            <w:noWrap/>
            <w:vAlign w:val="bottom"/>
            <w:hideMark/>
          </w:tcPr>
          <w:p w14:paraId="6937D52D" w14:textId="77777777" w:rsidR="00454966" w:rsidRPr="00454966" w:rsidRDefault="00454966" w:rsidP="00454966">
            <w:pPr>
              <w:jc w:val="right"/>
              <w:rPr>
                <w:sz w:val="20"/>
              </w:rPr>
            </w:pPr>
            <w:r w:rsidRPr="00454966">
              <w:rPr>
                <w:sz w:val="20"/>
              </w:rPr>
              <w:t>6.82%</w:t>
            </w:r>
          </w:p>
        </w:tc>
        <w:tc>
          <w:tcPr>
            <w:tcW w:w="980" w:type="dxa"/>
            <w:tcBorders>
              <w:top w:val="nil"/>
              <w:left w:val="nil"/>
              <w:bottom w:val="nil"/>
              <w:right w:val="nil"/>
            </w:tcBorders>
            <w:shd w:val="clear" w:color="auto" w:fill="auto"/>
            <w:noWrap/>
            <w:vAlign w:val="bottom"/>
            <w:hideMark/>
          </w:tcPr>
          <w:p w14:paraId="1DFA04E1" w14:textId="77777777" w:rsidR="00454966" w:rsidRPr="00454966" w:rsidRDefault="00454966" w:rsidP="00454966">
            <w:pPr>
              <w:jc w:val="right"/>
              <w:rPr>
                <w:sz w:val="20"/>
              </w:rPr>
            </w:pPr>
            <w:r w:rsidRPr="00454966">
              <w:rPr>
                <w:sz w:val="20"/>
              </w:rPr>
              <w:t>6.82%</w:t>
            </w:r>
          </w:p>
        </w:tc>
        <w:tc>
          <w:tcPr>
            <w:tcW w:w="980" w:type="dxa"/>
            <w:tcBorders>
              <w:top w:val="nil"/>
              <w:left w:val="single" w:sz="4" w:space="0" w:color="auto"/>
              <w:bottom w:val="nil"/>
              <w:right w:val="single" w:sz="4" w:space="0" w:color="auto"/>
            </w:tcBorders>
            <w:shd w:val="clear" w:color="auto" w:fill="auto"/>
            <w:noWrap/>
            <w:vAlign w:val="bottom"/>
            <w:hideMark/>
          </w:tcPr>
          <w:p w14:paraId="1B99E3F0" w14:textId="77777777" w:rsidR="00454966" w:rsidRPr="00454966" w:rsidRDefault="00454966" w:rsidP="00454966">
            <w:pPr>
              <w:jc w:val="right"/>
              <w:rPr>
                <w:sz w:val="20"/>
              </w:rPr>
            </w:pPr>
            <w:r w:rsidRPr="00454966">
              <w:rPr>
                <w:sz w:val="20"/>
              </w:rPr>
              <w:t>6.82%</w:t>
            </w:r>
          </w:p>
        </w:tc>
        <w:tc>
          <w:tcPr>
            <w:tcW w:w="980" w:type="dxa"/>
            <w:tcBorders>
              <w:top w:val="nil"/>
              <w:left w:val="nil"/>
              <w:bottom w:val="nil"/>
              <w:right w:val="single" w:sz="4" w:space="0" w:color="auto"/>
            </w:tcBorders>
            <w:shd w:val="clear" w:color="auto" w:fill="auto"/>
            <w:noWrap/>
            <w:vAlign w:val="bottom"/>
            <w:hideMark/>
          </w:tcPr>
          <w:p w14:paraId="79CA2A80" w14:textId="77777777" w:rsidR="00454966" w:rsidRPr="00454966" w:rsidRDefault="00454966" w:rsidP="00454966">
            <w:pPr>
              <w:jc w:val="right"/>
              <w:rPr>
                <w:sz w:val="20"/>
              </w:rPr>
            </w:pPr>
            <w:r w:rsidRPr="00454966">
              <w:rPr>
                <w:sz w:val="20"/>
              </w:rPr>
              <w:t>6.82%</w:t>
            </w:r>
          </w:p>
        </w:tc>
        <w:tc>
          <w:tcPr>
            <w:tcW w:w="980" w:type="dxa"/>
            <w:tcBorders>
              <w:top w:val="nil"/>
              <w:left w:val="nil"/>
              <w:bottom w:val="nil"/>
              <w:right w:val="single" w:sz="4" w:space="0" w:color="auto"/>
            </w:tcBorders>
            <w:shd w:val="clear" w:color="auto" w:fill="auto"/>
            <w:noWrap/>
            <w:vAlign w:val="bottom"/>
            <w:hideMark/>
          </w:tcPr>
          <w:p w14:paraId="5BCD792B" w14:textId="77777777" w:rsidR="00454966" w:rsidRPr="00454966" w:rsidRDefault="00454966" w:rsidP="00454966">
            <w:pPr>
              <w:jc w:val="right"/>
              <w:rPr>
                <w:sz w:val="20"/>
              </w:rPr>
            </w:pPr>
            <w:r w:rsidRPr="00454966">
              <w:rPr>
                <w:sz w:val="20"/>
              </w:rPr>
              <w:t>7.29%</w:t>
            </w:r>
          </w:p>
        </w:tc>
      </w:tr>
      <w:tr w:rsidR="00454966" w:rsidRPr="00454966" w14:paraId="072BDB94"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5DB7ABD8"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A48762D" w14:textId="77777777" w:rsidR="00454966" w:rsidRPr="00454966" w:rsidRDefault="00454966" w:rsidP="00454966">
            <w:pPr>
              <w:jc w:val="right"/>
              <w:rPr>
                <w:sz w:val="20"/>
              </w:rPr>
            </w:pPr>
            <w:r w:rsidRPr="00454966">
              <w:rPr>
                <w:sz w:val="20"/>
              </w:rPr>
              <w:t>212,782</w:t>
            </w:r>
          </w:p>
        </w:tc>
        <w:tc>
          <w:tcPr>
            <w:tcW w:w="980" w:type="dxa"/>
            <w:tcBorders>
              <w:top w:val="nil"/>
              <w:left w:val="nil"/>
              <w:bottom w:val="single" w:sz="4" w:space="0" w:color="auto"/>
              <w:right w:val="single" w:sz="4" w:space="0" w:color="auto"/>
            </w:tcBorders>
            <w:shd w:val="clear" w:color="auto" w:fill="auto"/>
            <w:noWrap/>
            <w:vAlign w:val="bottom"/>
            <w:hideMark/>
          </w:tcPr>
          <w:p w14:paraId="78EA8E16" w14:textId="77777777" w:rsidR="00454966" w:rsidRPr="00454966" w:rsidRDefault="00454966" w:rsidP="00454966">
            <w:pPr>
              <w:jc w:val="right"/>
              <w:rPr>
                <w:sz w:val="20"/>
              </w:rPr>
            </w:pPr>
            <w:r w:rsidRPr="00454966">
              <w:rPr>
                <w:sz w:val="20"/>
              </w:rPr>
              <w:t>43,622</w:t>
            </w:r>
          </w:p>
        </w:tc>
        <w:tc>
          <w:tcPr>
            <w:tcW w:w="980" w:type="dxa"/>
            <w:tcBorders>
              <w:top w:val="nil"/>
              <w:left w:val="nil"/>
              <w:bottom w:val="single" w:sz="4" w:space="0" w:color="auto"/>
              <w:right w:val="single" w:sz="4" w:space="0" w:color="auto"/>
            </w:tcBorders>
            <w:shd w:val="clear" w:color="auto" w:fill="auto"/>
            <w:noWrap/>
            <w:vAlign w:val="bottom"/>
            <w:hideMark/>
          </w:tcPr>
          <w:p w14:paraId="5959D7DA" w14:textId="77777777" w:rsidR="00454966" w:rsidRPr="00454966" w:rsidRDefault="00454966" w:rsidP="00454966">
            <w:pPr>
              <w:jc w:val="right"/>
              <w:rPr>
                <w:sz w:val="20"/>
              </w:rPr>
            </w:pPr>
            <w:r w:rsidRPr="00454966">
              <w:rPr>
                <w:sz w:val="20"/>
              </w:rPr>
              <w:t>21,831</w:t>
            </w:r>
          </w:p>
        </w:tc>
        <w:tc>
          <w:tcPr>
            <w:tcW w:w="980" w:type="dxa"/>
            <w:tcBorders>
              <w:top w:val="nil"/>
              <w:left w:val="nil"/>
              <w:bottom w:val="single" w:sz="4" w:space="0" w:color="auto"/>
              <w:right w:val="single" w:sz="4" w:space="0" w:color="auto"/>
            </w:tcBorders>
            <w:shd w:val="clear" w:color="auto" w:fill="auto"/>
            <w:noWrap/>
            <w:vAlign w:val="bottom"/>
            <w:hideMark/>
          </w:tcPr>
          <w:p w14:paraId="66BABBC1" w14:textId="77777777" w:rsidR="00454966" w:rsidRPr="00454966" w:rsidRDefault="00454966" w:rsidP="00454966">
            <w:pPr>
              <w:jc w:val="right"/>
              <w:rPr>
                <w:sz w:val="20"/>
              </w:rPr>
            </w:pPr>
            <w:r w:rsidRPr="00454966">
              <w:rPr>
                <w:sz w:val="20"/>
              </w:rPr>
              <w:t>18,722</w:t>
            </w:r>
          </w:p>
        </w:tc>
        <w:tc>
          <w:tcPr>
            <w:tcW w:w="980" w:type="dxa"/>
            <w:tcBorders>
              <w:top w:val="nil"/>
              <w:left w:val="nil"/>
              <w:bottom w:val="single" w:sz="4" w:space="0" w:color="auto"/>
              <w:right w:val="single" w:sz="4" w:space="0" w:color="auto"/>
            </w:tcBorders>
            <w:shd w:val="clear" w:color="auto" w:fill="auto"/>
            <w:noWrap/>
            <w:vAlign w:val="bottom"/>
            <w:hideMark/>
          </w:tcPr>
          <w:p w14:paraId="24C1DB18" w14:textId="77777777" w:rsidR="00454966" w:rsidRPr="00454966" w:rsidRDefault="00454966" w:rsidP="00454966">
            <w:pPr>
              <w:jc w:val="right"/>
              <w:rPr>
                <w:sz w:val="20"/>
              </w:rPr>
            </w:pPr>
            <w:r w:rsidRPr="00454966">
              <w:rPr>
                <w:sz w:val="20"/>
              </w:rPr>
              <w:t>1,020</w:t>
            </w:r>
          </w:p>
        </w:tc>
        <w:tc>
          <w:tcPr>
            <w:tcW w:w="980" w:type="dxa"/>
            <w:tcBorders>
              <w:top w:val="nil"/>
              <w:left w:val="nil"/>
              <w:bottom w:val="single" w:sz="4" w:space="0" w:color="auto"/>
              <w:right w:val="single" w:sz="4" w:space="0" w:color="auto"/>
            </w:tcBorders>
            <w:shd w:val="clear" w:color="auto" w:fill="auto"/>
            <w:noWrap/>
            <w:vAlign w:val="bottom"/>
            <w:hideMark/>
          </w:tcPr>
          <w:p w14:paraId="3BFEE47C" w14:textId="77777777" w:rsidR="00454966" w:rsidRPr="00454966" w:rsidRDefault="00454966" w:rsidP="00454966">
            <w:pPr>
              <w:jc w:val="right"/>
              <w:rPr>
                <w:sz w:val="20"/>
              </w:rPr>
            </w:pPr>
            <w:r w:rsidRPr="00454966">
              <w:rPr>
                <w:sz w:val="20"/>
              </w:rPr>
              <w:t>2,088</w:t>
            </w:r>
          </w:p>
        </w:tc>
        <w:tc>
          <w:tcPr>
            <w:tcW w:w="980" w:type="dxa"/>
            <w:tcBorders>
              <w:top w:val="nil"/>
              <w:left w:val="nil"/>
              <w:bottom w:val="single" w:sz="4" w:space="0" w:color="auto"/>
              <w:right w:val="single" w:sz="4" w:space="0" w:color="auto"/>
            </w:tcBorders>
            <w:shd w:val="clear" w:color="auto" w:fill="auto"/>
            <w:noWrap/>
            <w:vAlign w:val="bottom"/>
            <w:hideMark/>
          </w:tcPr>
          <w:p w14:paraId="3C904ECD" w14:textId="77777777" w:rsidR="00454966" w:rsidRPr="00454966" w:rsidRDefault="00454966" w:rsidP="00454966">
            <w:pPr>
              <w:jc w:val="right"/>
              <w:rPr>
                <w:sz w:val="20"/>
              </w:rPr>
            </w:pPr>
            <w:r w:rsidRPr="00454966">
              <w:rPr>
                <w:sz w:val="20"/>
              </w:rPr>
              <w:t>21,827</w:t>
            </w:r>
          </w:p>
        </w:tc>
      </w:tr>
      <w:tr w:rsidR="00454966" w:rsidRPr="00454966" w14:paraId="77F87AEA"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8936CB8"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0ABEB247"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50CA02B1"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0D62347"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621458F8"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1A61DCD"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CD2170B"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42CAC51B" w14:textId="77777777" w:rsidR="00454966" w:rsidRPr="00454966" w:rsidRDefault="00454966" w:rsidP="00454966">
            <w:pPr>
              <w:rPr>
                <w:sz w:val="20"/>
              </w:rPr>
            </w:pPr>
            <w:r w:rsidRPr="00454966">
              <w:rPr>
                <w:sz w:val="20"/>
              </w:rPr>
              <w:t> </w:t>
            </w:r>
          </w:p>
        </w:tc>
      </w:tr>
      <w:tr w:rsidR="00454966" w:rsidRPr="00454966" w14:paraId="1B8507C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1290689C"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4909D70D"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198BF846"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29C05425"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5268EA8E"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1DFB1EA2"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45D2E68C"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46E35D74" w14:textId="77777777" w:rsidR="00454966" w:rsidRPr="00454966" w:rsidRDefault="00454966" w:rsidP="00454966">
            <w:pPr>
              <w:jc w:val="right"/>
              <w:rPr>
                <w:sz w:val="20"/>
              </w:rPr>
            </w:pPr>
            <w:r w:rsidRPr="00454966">
              <w:rPr>
                <w:sz w:val="20"/>
              </w:rPr>
              <w:t>337,196</w:t>
            </w:r>
          </w:p>
        </w:tc>
      </w:tr>
      <w:tr w:rsidR="00454966" w:rsidRPr="00454966" w14:paraId="1DD458D4"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9873E12"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346512E7" w14:textId="77777777" w:rsidR="00454966" w:rsidRPr="00454966" w:rsidRDefault="00454966" w:rsidP="00454966">
            <w:pPr>
              <w:jc w:val="right"/>
              <w:rPr>
                <w:sz w:val="20"/>
              </w:rPr>
            </w:pPr>
            <w:r w:rsidRPr="00454966">
              <w:rPr>
                <w:sz w:val="20"/>
              </w:rPr>
              <w:t>7.35%</w:t>
            </w:r>
          </w:p>
        </w:tc>
        <w:tc>
          <w:tcPr>
            <w:tcW w:w="980" w:type="dxa"/>
            <w:tcBorders>
              <w:top w:val="nil"/>
              <w:left w:val="nil"/>
              <w:bottom w:val="nil"/>
              <w:right w:val="single" w:sz="4" w:space="0" w:color="auto"/>
            </w:tcBorders>
            <w:shd w:val="clear" w:color="auto" w:fill="auto"/>
            <w:noWrap/>
            <w:vAlign w:val="bottom"/>
            <w:hideMark/>
          </w:tcPr>
          <w:p w14:paraId="24930402" w14:textId="77777777" w:rsidR="00454966" w:rsidRPr="00454966" w:rsidRDefault="00454966" w:rsidP="00454966">
            <w:pPr>
              <w:jc w:val="right"/>
              <w:rPr>
                <w:sz w:val="20"/>
              </w:rPr>
            </w:pPr>
            <w:r w:rsidRPr="00454966">
              <w:rPr>
                <w:sz w:val="20"/>
              </w:rPr>
              <w:t>7.53%</w:t>
            </w:r>
          </w:p>
        </w:tc>
        <w:tc>
          <w:tcPr>
            <w:tcW w:w="980" w:type="dxa"/>
            <w:tcBorders>
              <w:top w:val="nil"/>
              <w:left w:val="nil"/>
              <w:bottom w:val="nil"/>
              <w:right w:val="single" w:sz="4" w:space="0" w:color="auto"/>
            </w:tcBorders>
            <w:shd w:val="clear" w:color="auto" w:fill="auto"/>
            <w:noWrap/>
            <w:vAlign w:val="bottom"/>
            <w:hideMark/>
          </w:tcPr>
          <w:p w14:paraId="370D7D45" w14:textId="77777777" w:rsidR="00454966" w:rsidRPr="00454966" w:rsidRDefault="00454966" w:rsidP="00454966">
            <w:pPr>
              <w:jc w:val="right"/>
              <w:rPr>
                <w:sz w:val="20"/>
              </w:rPr>
            </w:pPr>
            <w:r w:rsidRPr="00454966">
              <w:rPr>
                <w:sz w:val="20"/>
              </w:rPr>
              <w:t>7.35%</w:t>
            </w:r>
          </w:p>
        </w:tc>
        <w:tc>
          <w:tcPr>
            <w:tcW w:w="980" w:type="dxa"/>
            <w:tcBorders>
              <w:top w:val="nil"/>
              <w:left w:val="nil"/>
              <w:bottom w:val="nil"/>
              <w:right w:val="nil"/>
            </w:tcBorders>
            <w:shd w:val="clear" w:color="auto" w:fill="auto"/>
            <w:noWrap/>
            <w:vAlign w:val="bottom"/>
            <w:hideMark/>
          </w:tcPr>
          <w:p w14:paraId="1B8B90EB" w14:textId="77777777" w:rsidR="00454966" w:rsidRPr="00454966" w:rsidRDefault="00454966" w:rsidP="00454966">
            <w:pPr>
              <w:jc w:val="right"/>
              <w:rPr>
                <w:sz w:val="20"/>
              </w:rPr>
            </w:pPr>
            <w:r w:rsidRPr="00454966">
              <w:rPr>
                <w:sz w:val="20"/>
              </w:rPr>
              <w:t>7.35%</w:t>
            </w:r>
          </w:p>
        </w:tc>
        <w:tc>
          <w:tcPr>
            <w:tcW w:w="980" w:type="dxa"/>
            <w:tcBorders>
              <w:top w:val="nil"/>
              <w:left w:val="single" w:sz="4" w:space="0" w:color="auto"/>
              <w:bottom w:val="nil"/>
              <w:right w:val="single" w:sz="4" w:space="0" w:color="auto"/>
            </w:tcBorders>
            <w:shd w:val="clear" w:color="auto" w:fill="auto"/>
            <w:noWrap/>
            <w:vAlign w:val="bottom"/>
            <w:hideMark/>
          </w:tcPr>
          <w:p w14:paraId="54433A79" w14:textId="77777777" w:rsidR="00454966" w:rsidRPr="00454966" w:rsidRDefault="00454966" w:rsidP="00454966">
            <w:pPr>
              <w:jc w:val="right"/>
              <w:rPr>
                <w:sz w:val="20"/>
              </w:rPr>
            </w:pPr>
            <w:r w:rsidRPr="00454966">
              <w:rPr>
                <w:sz w:val="20"/>
              </w:rPr>
              <w:t>7.35%</w:t>
            </w:r>
          </w:p>
        </w:tc>
        <w:tc>
          <w:tcPr>
            <w:tcW w:w="980" w:type="dxa"/>
            <w:tcBorders>
              <w:top w:val="nil"/>
              <w:left w:val="nil"/>
              <w:bottom w:val="nil"/>
              <w:right w:val="single" w:sz="4" w:space="0" w:color="auto"/>
            </w:tcBorders>
            <w:shd w:val="clear" w:color="auto" w:fill="auto"/>
            <w:noWrap/>
            <w:vAlign w:val="bottom"/>
            <w:hideMark/>
          </w:tcPr>
          <w:p w14:paraId="32270927" w14:textId="77777777" w:rsidR="00454966" w:rsidRPr="00454966" w:rsidRDefault="00454966" w:rsidP="00454966">
            <w:pPr>
              <w:jc w:val="right"/>
              <w:rPr>
                <w:sz w:val="20"/>
              </w:rPr>
            </w:pPr>
            <w:r w:rsidRPr="00454966">
              <w:rPr>
                <w:sz w:val="20"/>
              </w:rPr>
              <w:t>7.35%</w:t>
            </w:r>
          </w:p>
        </w:tc>
        <w:tc>
          <w:tcPr>
            <w:tcW w:w="980" w:type="dxa"/>
            <w:tcBorders>
              <w:top w:val="nil"/>
              <w:left w:val="nil"/>
              <w:bottom w:val="nil"/>
              <w:right w:val="single" w:sz="4" w:space="0" w:color="auto"/>
            </w:tcBorders>
            <w:shd w:val="clear" w:color="auto" w:fill="auto"/>
            <w:noWrap/>
            <w:vAlign w:val="bottom"/>
            <w:hideMark/>
          </w:tcPr>
          <w:p w14:paraId="1E96E4CD" w14:textId="77777777" w:rsidR="00454966" w:rsidRPr="00454966" w:rsidRDefault="00454966" w:rsidP="00454966">
            <w:pPr>
              <w:jc w:val="right"/>
              <w:rPr>
                <w:sz w:val="20"/>
              </w:rPr>
            </w:pPr>
            <w:r w:rsidRPr="00454966">
              <w:rPr>
                <w:sz w:val="20"/>
              </w:rPr>
              <w:t>7.74%</w:t>
            </w:r>
          </w:p>
        </w:tc>
      </w:tr>
      <w:tr w:rsidR="00454966" w:rsidRPr="00454966" w14:paraId="59F8C6F7"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76607403"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D4F7D5D" w14:textId="77777777" w:rsidR="00454966" w:rsidRPr="00454966" w:rsidRDefault="00454966" w:rsidP="00454966">
            <w:pPr>
              <w:jc w:val="right"/>
              <w:rPr>
                <w:sz w:val="20"/>
              </w:rPr>
            </w:pPr>
            <w:r w:rsidRPr="00454966">
              <w:rPr>
                <w:sz w:val="20"/>
              </w:rPr>
              <w:t>261,922</w:t>
            </w:r>
          </w:p>
        </w:tc>
        <w:tc>
          <w:tcPr>
            <w:tcW w:w="980" w:type="dxa"/>
            <w:tcBorders>
              <w:top w:val="nil"/>
              <w:left w:val="nil"/>
              <w:bottom w:val="single" w:sz="4" w:space="0" w:color="auto"/>
              <w:right w:val="single" w:sz="4" w:space="0" w:color="auto"/>
            </w:tcBorders>
            <w:shd w:val="clear" w:color="auto" w:fill="auto"/>
            <w:noWrap/>
            <w:vAlign w:val="bottom"/>
            <w:hideMark/>
          </w:tcPr>
          <w:p w14:paraId="1D8956BE" w14:textId="77777777" w:rsidR="00454966" w:rsidRPr="00454966" w:rsidRDefault="00454966" w:rsidP="00454966">
            <w:pPr>
              <w:jc w:val="right"/>
              <w:rPr>
                <w:sz w:val="20"/>
              </w:rPr>
            </w:pPr>
            <w:r w:rsidRPr="00454966">
              <w:rPr>
                <w:sz w:val="20"/>
              </w:rPr>
              <w:t>52,879</w:t>
            </w:r>
          </w:p>
        </w:tc>
        <w:tc>
          <w:tcPr>
            <w:tcW w:w="980" w:type="dxa"/>
            <w:tcBorders>
              <w:top w:val="nil"/>
              <w:left w:val="nil"/>
              <w:bottom w:val="single" w:sz="4" w:space="0" w:color="auto"/>
              <w:right w:val="single" w:sz="4" w:space="0" w:color="auto"/>
            </w:tcBorders>
            <w:shd w:val="clear" w:color="auto" w:fill="auto"/>
            <w:noWrap/>
            <w:vAlign w:val="bottom"/>
            <w:hideMark/>
          </w:tcPr>
          <w:p w14:paraId="38D1778A" w14:textId="77777777" w:rsidR="00454966" w:rsidRPr="00454966" w:rsidRDefault="00454966" w:rsidP="00454966">
            <w:pPr>
              <w:jc w:val="right"/>
              <w:rPr>
                <w:sz w:val="20"/>
              </w:rPr>
            </w:pPr>
            <w:r w:rsidRPr="00454966">
              <w:rPr>
                <w:sz w:val="20"/>
              </w:rPr>
              <w:t>26,813</w:t>
            </w:r>
          </w:p>
        </w:tc>
        <w:tc>
          <w:tcPr>
            <w:tcW w:w="980" w:type="dxa"/>
            <w:tcBorders>
              <w:top w:val="nil"/>
              <w:left w:val="nil"/>
              <w:bottom w:val="single" w:sz="4" w:space="0" w:color="auto"/>
              <w:right w:val="single" w:sz="4" w:space="0" w:color="auto"/>
            </w:tcBorders>
            <w:shd w:val="clear" w:color="auto" w:fill="auto"/>
            <w:noWrap/>
            <w:vAlign w:val="bottom"/>
            <w:hideMark/>
          </w:tcPr>
          <w:p w14:paraId="56E3ABAB" w14:textId="77777777" w:rsidR="00454966" w:rsidRPr="00454966" w:rsidRDefault="00454966" w:rsidP="00454966">
            <w:pPr>
              <w:jc w:val="right"/>
              <w:rPr>
                <w:sz w:val="20"/>
              </w:rPr>
            </w:pPr>
            <w:r w:rsidRPr="00454966">
              <w:rPr>
                <w:sz w:val="20"/>
              </w:rPr>
              <w:t>22,994</w:t>
            </w:r>
          </w:p>
        </w:tc>
        <w:tc>
          <w:tcPr>
            <w:tcW w:w="980" w:type="dxa"/>
            <w:tcBorders>
              <w:top w:val="nil"/>
              <w:left w:val="nil"/>
              <w:bottom w:val="single" w:sz="4" w:space="0" w:color="auto"/>
              <w:right w:val="single" w:sz="4" w:space="0" w:color="auto"/>
            </w:tcBorders>
            <w:shd w:val="clear" w:color="auto" w:fill="auto"/>
            <w:noWrap/>
            <w:vAlign w:val="bottom"/>
            <w:hideMark/>
          </w:tcPr>
          <w:p w14:paraId="773DA459" w14:textId="77777777" w:rsidR="00454966" w:rsidRPr="00454966" w:rsidRDefault="00454966" w:rsidP="00454966">
            <w:pPr>
              <w:jc w:val="right"/>
              <w:rPr>
                <w:sz w:val="20"/>
              </w:rPr>
            </w:pPr>
            <w:r w:rsidRPr="00454966">
              <w:rPr>
                <w:sz w:val="20"/>
              </w:rPr>
              <w:t>1,266</w:t>
            </w:r>
          </w:p>
        </w:tc>
        <w:tc>
          <w:tcPr>
            <w:tcW w:w="980" w:type="dxa"/>
            <w:tcBorders>
              <w:top w:val="nil"/>
              <w:left w:val="nil"/>
              <w:bottom w:val="single" w:sz="4" w:space="0" w:color="auto"/>
              <w:right w:val="single" w:sz="4" w:space="0" w:color="auto"/>
            </w:tcBorders>
            <w:shd w:val="clear" w:color="auto" w:fill="auto"/>
            <w:noWrap/>
            <w:vAlign w:val="bottom"/>
            <w:hideMark/>
          </w:tcPr>
          <w:p w14:paraId="12D6D362" w14:textId="77777777" w:rsidR="00454966" w:rsidRPr="00454966" w:rsidRDefault="00454966" w:rsidP="00454966">
            <w:pPr>
              <w:jc w:val="right"/>
              <w:rPr>
                <w:sz w:val="20"/>
              </w:rPr>
            </w:pPr>
            <w:r w:rsidRPr="00454966">
              <w:rPr>
                <w:sz w:val="20"/>
              </w:rPr>
              <w:t>2,554</w:t>
            </w:r>
          </w:p>
        </w:tc>
        <w:tc>
          <w:tcPr>
            <w:tcW w:w="980" w:type="dxa"/>
            <w:tcBorders>
              <w:top w:val="nil"/>
              <w:left w:val="nil"/>
              <w:bottom w:val="single" w:sz="4" w:space="0" w:color="auto"/>
              <w:right w:val="single" w:sz="4" w:space="0" w:color="auto"/>
            </w:tcBorders>
            <w:shd w:val="clear" w:color="auto" w:fill="auto"/>
            <w:noWrap/>
            <w:vAlign w:val="bottom"/>
            <w:hideMark/>
          </w:tcPr>
          <w:p w14:paraId="5678238D" w14:textId="77777777" w:rsidR="00454966" w:rsidRPr="00454966" w:rsidRDefault="00454966" w:rsidP="00454966">
            <w:pPr>
              <w:jc w:val="right"/>
              <w:rPr>
                <w:sz w:val="20"/>
              </w:rPr>
            </w:pPr>
            <w:r w:rsidRPr="00454966">
              <w:rPr>
                <w:sz w:val="20"/>
              </w:rPr>
              <w:t>26,112</w:t>
            </w:r>
          </w:p>
        </w:tc>
      </w:tr>
      <w:tr w:rsidR="00454966" w:rsidRPr="00454966" w14:paraId="6E3B92EE" w14:textId="77777777" w:rsidTr="00BF315B">
        <w:trPr>
          <w:trHeight w:val="935"/>
        </w:trPr>
        <w:tc>
          <w:tcPr>
            <w:tcW w:w="8980" w:type="dxa"/>
            <w:gridSpan w:val="8"/>
            <w:tcBorders>
              <w:top w:val="single" w:sz="4" w:space="0" w:color="auto"/>
              <w:left w:val="nil"/>
              <w:bottom w:val="nil"/>
              <w:right w:val="nil"/>
            </w:tcBorders>
            <w:shd w:val="clear" w:color="auto" w:fill="auto"/>
            <w:vAlign w:val="bottom"/>
            <w:hideMark/>
          </w:tcPr>
          <w:p w14:paraId="785BB974"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p>
          <w:p w14:paraId="37F5DD67" w14:textId="57335A98"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69E97F1B" w14:textId="3DBE2139" w:rsidR="00454966" w:rsidRDefault="00454966" w:rsidP="001549F4"/>
    <w:p w14:paraId="420D6F8F" w14:textId="187D915A" w:rsidR="00454966" w:rsidRDefault="00454966">
      <w:r>
        <w:br w:type="page"/>
      </w:r>
    </w:p>
    <w:p w14:paraId="243DD95A" w14:textId="2D21719D" w:rsidR="00454966" w:rsidRDefault="00454966" w:rsidP="00CE532F">
      <w:pPr>
        <w:pStyle w:val="ListParagraph"/>
        <w:numPr>
          <w:ilvl w:val="0"/>
          <w:numId w:val="7"/>
        </w:numPr>
      </w:pPr>
      <w:r w:rsidRPr="00454966">
        <w:lastRenderedPageBreak/>
        <w:t>Had Serious Thoughts of Suicide in the Past Year</w:t>
      </w:r>
    </w:p>
    <w:p w14:paraId="587B252A" w14:textId="074D8FCF" w:rsidR="00454966" w:rsidRDefault="00454966" w:rsidP="001549F4"/>
    <w:tbl>
      <w:tblPr>
        <w:tblW w:w="8980" w:type="dxa"/>
        <w:tblLook w:val="04A0" w:firstRow="1" w:lastRow="0" w:firstColumn="1" w:lastColumn="0" w:noHBand="0" w:noVBand="1"/>
      </w:tblPr>
      <w:tblGrid>
        <w:gridCol w:w="1960"/>
        <w:gridCol w:w="1140"/>
        <w:gridCol w:w="980"/>
        <w:gridCol w:w="980"/>
        <w:gridCol w:w="980"/>
        <w:gridCol w:w="980"/>
        <w:gridCol w:w="980"/>
        <w:gridCol w:w="980"/>
      </w:tblGrid>
      <w:tr w:rsidR="00454966" w:rsidRPr="00454966" w14:paraId="72D3D5EF" w14:textId="77777777" w:rsidTr="00454966">
        <w:trPr>
          <w:trHeight w:val="540"/>
        </w:trPr>
        <w:tc>
          <w:tcPr>
            <w:tcW w:w="89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6DA614F" w14:textId="77777777" w:rsidR="00454966" w:rsidRPr="00454966" w:rsidRDefault="00454966" w:rsidP="00454966">
            <w:pPr>
              <w:jc w:val="center"/>
              <w:rPr>
                <w:b/>
                <w:bCs/>
                <w:sz w:val="20"/>
              </w:rPr>
            </w:pPr>
            <w:bookmarkStart w:id="24" w:name="_Hlk58487892"/>
            <w:r w:rsidRPr="00454966">
              <w:rPr>
                <w:b/>
                <w:bCs/>
                <w:sz w:val="20"/>
              </w:rPr>
              <w:t xml:space="preserve">Had Serious Thoughts of Suicide in the </w:t>
            </w:r>
            <w:r w:rsidRPr="00454966">
              <w:rPr>
                <w:b/>
                <w:bCs/>
                <w:i/>
                <w:iCs/>
                <w:sz w:val="20"/>
                <w:u w:val="single"/>
              </w:rPr>
              <w:t>Past Year</w:t>
            </w:r>
            <w:r w:rsidRPr="00454966">
              <w:rPr>
                <w:b/>
                <w:bCs/>
                <w:sz w:val="20"/>
              </w:rPr>
              <w:t xml:space="preserve"> </w:t>
            </w:r>
            <w:bookmarkEnd w:id="24"/>
            <w:r w:rsidRPr="00454966">
              <w:rPr>
                <w:b/>
                <w:bCs/>
                <w:sz w:val="20"/>
              </w:rPr>
              <w:t>by Age Group Among Residents</w:t>
            </w:r>
            <w:r w:rsidRPr="00454966">
              <w:rPr>
                <w:b/>
                <w:bCs/>
                <w:sz w:val="20"/>
              </w:rPr>
              <w:br/>
              <w:t xml:space="preserve"> of Greater New Orleans Parishes and Statewide, 2019*</w:t>
            </w:r>
          </w:p>
        </w:tc>
      </w:tr>
      <w:tr w:rsidR="00454966" w:rsidRPr="00454966" w14:paraId="56AC544D" w14:textId="77777777" w:rsidTr="0045496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3C3218B" w14:textId="77777777" w:rsidR="00454966" w:rsidRPr="00454966" w:rsidRDefault="00454966" w:rsidP="00454966">
            <w:pPr>
              <w:jc w:val="center"/>
              <w:rPr>
                <w:sz w:val="20"/>
              </w:rPr>
            </w:pPr>
            <w:r w:rsidRPr="00454966">
              <w:rPr>
                <w:sz w:val="20"/>
              </w:rPr>
              <w:t>Age Groups</w:t>
            </w:r>
          </w:p>
        </w:tc>
        <w:tc>
          <w:tcPr>
            <w:tcW w:w="1140" w:type="dxa"/>
            <w:tcBorders>
              <w:top w:val="nil"/>
              <w:left w:val="nil"/>
              <w:bottom w:val="single" w:sz="4" w:space="0" w:color="auto"/>
              <w:right w:val="single" w:sz="4" w:space="0" w:color="auto"/>
            </w:tcBorders>
            <w:shd w:val="clear" w:color="auto" w:fill="auto"/>
            <w:vAlign w:val="center"/>
            <w:hideMark/>
          </w:tcPr>
          <w:p w14:paraId="2FEAA4BE" w14:textId="1BA1D9CB" w:rsidR="00454966" w:rsidRPr="00454966" w:rsidRDefault="00454966" w:rsidP="00454966">
            <w:pPr>
              <w:jc w:val="center"/>
              <w:rPr>
                <w:sz w:val="20"/>
              </w:rPr>
            </w:pPr>
            <w:r w:rsidRPr="00454966">
              <w:rPr>
                <w:sz w:val="20"/>
              </w:rPr>
              <w:t xml:space="preserve">Louisiana </w:t>
            </w:r>
            <w:r w:rsidR="00240C80">
              <w:rPr>
                <w:sz w:val="20"/>
              </w:rPr>
              <w:t>Statewide</w:t>
            </w:r>
          </w:p>
        </w:tc>
        <w:tc>
          <w:tcPr>
            <w:tcW w:w="980" w:type="dxa"/>
            <w:tcBorders>
              <w:top w:val="nil"/>
              <w:left w:val="nil"/>
              <w:bottom w:val="single" w:sz="4" w:space="0" w:color="auto"/>
              <w:right w:val="single" w:sz="4" w:space="0" w:color="auto"/>
            </w:tcBorders>
            <w:shd w:val="clear" w:color="auto" w:fill="auto"/>
            <w:vAlign w:val="center"/>
            <w:hideMark/>
          </w:tcPr>
          <w:p w14:paraId="57BEDF4B" w14:textId="77777777" w:rsidR="00454966" w:rsidRPr="00454966" w:rsidRDefault="00454966" w:rsidP="00454966">
            <w:pPr>
              <w:jc w:val="center"/>
              <w:rPr>
                <w:sz w:val="20"/>
              </w:rPr>
            </w:pPr>
            <w:r w:rsidRPr="00454966">
              <w:rPr>
                <w:sz w:val="20"/>
              </w:rPr>
              <w:t>Greater New Orleans</w:t>
            </w:r>
          </w:p>
        </w:tc>
        <w:tc>
          <w:tcPr>
            <w:tcW w:w="980" w:type="dxa"/>
            <w:tcBorders>
              <w:top w:val="nil"/>
              <w:left w:val="nil"/>
              <w:bottom w:val="single" w:sz="4" w:space="0" w:color="auto"/>
              <w:right w:val="single" w:sz="4" w:space="0" w:color="auto"/>
            </w:tcBorders>
            <w:shd w:val="clear" w:color="auto" w:fill="auto"/>
            <w:vAlign w:val="center"/>
            <w:hideMark/>
          </w:tcPr>
          <w:p w14:paraId="50892B05" w14:textId="77777777" w:rsidR="00454966" w:rsidRPr="00454966" w:rsidRDefault="00454966" w:rsidP="00454966">
            <w:pPr>
              <w:jc w:val="center"/>
              <w:rPr>
                <w:sz w:val="20"/>
              </w:rPr>
            </w:pPr>
            <w:r w:rsidRPr="00454966">
              <w:rPr>
                <w:sz w:val="20"/>
              </w:rPr>
              <w:t>Metro-</w:t>
            </w:r>
            <w:proofErr w:type="spellStart"/>
            <w:r w:rsidRPr="00454966">
              <w:rPr>
                <w:sz w:val="20"/>
              </w:rPr>
              <w:t>politan</w:t>
            </w:r>
            <w:proofErr w:type="spellEnd"/>
            <w:r w:rsidRPr="00454966">
              <w:rPr>
                <w:sz w:val="20"/>
              </w:rPr>
              <w:t xml:space="preserve"> HSA</w:t>
            </w:r>
          </w:p>
        </w:tc>
        <w:tc>
          <w:tcPr>
            <w:tcW w:w="980" w:type="dxa"/>
            <w:tcBorders>
              <w:top w:val="nil"/>
              <w:left w:val="nil"/>
              <w:bottom w:val="single" w:sz="4" w:space="0" w:color="auto"/>
              <w:right w:val="single" w:sz="4" w:space="0" w:color="auto"/>
            </w:tcBorders>
            <w:shd w:val="clear" w:color="auto" w:fill="auto"/>
            <w:vAlign w:val="center"/>
            <w:hideMark/>
          </w:tcPr>
          <w:p w14:paraId="39443270" w14:textId="77777777" w:rsidR="00454966" w:rsidRPr="00454966" w:rsidRDefault="00454966" w:rsidP="00454966">
            <w:pPr>
              <w:jc w:val="center"/>
              <w:rPr>
                <w:sz w:val="20"/>
              </w:rPr>
            </w:pPr>
            <w:r w:rsidRPr="00454966">
              <w:rPr>
                <w:sz w:val="20"/>
              </w:rPr>
              <w:t>Orleans Parish</w:t>
            </w:r>
          </w:p>
        </w:tc>
        <w:tc>
          <w:tcPr>
            <w:tcW w:w="980" w:type="dxa"/>
            <w:tcBorders>
              <w:top w:val="nil"/>
              <w:left w:val="nil"/>
              <w:bottom w:val="single" w:sz="4" w:space="0" w:color="auto"/>
              <w:right w:val="single" w:sz="4" w:space="0" w:color="auto"/>
            </w:tcBorders>
            <w:shd w:val="clear" w:color="auto" w:fill="auto"/>
            <w:vAlign w:val="center"/>
            <w:hideMark/>
          </w:tcPr>
          <w:p w14:paraId="084FC171" w14:textId="77777777" w:rsidR="00454966" w:rsidRPr="00454966" w:rsidRDefault="00454966" w:rsidP="00454966">
            <w:pPr>
              <w:jc w:val="center"/>
              <w:rPr>
                <w:sz w:val="20"/>
              </w:rPr>
            </w:pPr>
            <w:r w:rsidRPr="00454966">
              <w:rPr>
                <w:sz w:val="20"/>
              </w:rPr>
              <w:t>Plaque-mines Parish</w:t>
            </w:r>
          </w:p>
        </w:tc>
        <w:tc>
          <w:tcPr>
            <w:tcW w:w="980" w:type="dxa"/>
            <w:tcBorders>
              <w:top w:val="nil"/>
              <w:left w:val="nil"/>
              <w:bottom w:val="single" w:sz="4" w:space="0" w:color="auto"/>
              <w:right w:val="single" w:sz="4" w:space="0" w:color="auto"/>
            </w:tcBorders>
            <w:shd w:val="clear" w:color="auto" w:fill="auto"/>
            <w:vAlign w:val="center"/>
            <w:hideMark/>
          </w:tcPr>
          <w:p w14:paraId="76BCBBDA" w14:textId="77777777" w:rsidR="00454966" w:rsidRPr="00454966" w:rsidRDefault="00454966" w:rsidP="00454966">
            <w:pPr>
              <w:jc w:val="center"/>
              <w:rPr>
                <w:sz w:val="20"/>
              </w:rPr>
            </w:pPr>
            <w:r w:rsidRPr="00454966">
              <w:rPr>
                <w:sz w:val="20"/>
              </w:rPr>
              <w:t>St. Bernard Parish</w:t>
            </w:r>
          </w:p>
        </w:tc>
        <w:tc>
          <w:tcPr>
            <w:tcW w:w="980" w:type="dxa"/>
            <w:tcBorders>
              <w:top w:val="nil"/>
              <w:left w:val="nil"/>
              <w:bottom w:val="single" w:sz="4" w:space="0" w:color="auto"/>
              <w:right w:val="single" w:sz="4" w:space="0" w:color="auto"/>
            </w:tcBorders>
            <w:shd w:val="clear" w:color="auto" w:fill="auto"/>
            <w:vAlign w:val="center"/>
            <w:hideMark/>
          </w:tcPr>
          <w:p w14:paraId="417F960D" w14:textId="77777777" w:rsidR="00454966" w:rsidRPr="00454966" w:rsidRDefault="00454966" w:rsidP="00454966">
            <w:pPr>
              <w:jc w:val="center"/>
              <w:rPr>
                <w:sz w:val="20"/>
              </w:rPr>
            </w:pPr>
            <w:r w:rsidRPr="00454966">
              <w:rPr>
                <w:sz w:val="20"/>
              </w:rPr>
              <w:t>Jefferson Parish HSA</w:t>
            </w:r>
          </w:p>
        </w:tc>
      </w:tr>
      <w:tr w:rsidR="00454966" w:rsidRPr="00454966" w14:paraId="26D6410B"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C2AF72C" w14:textId="77777777" w:rsidR="00454966" w:rsidRPr="00454966" w:rsidRDefault="00454966" w:rsidP="00454966">
            <w:pPr>
              <w:rPr>
                <w:sz w:val="20"/>
              </w:rPr>
            </w:pPr>
            <w:r w:rsidRPr="00454966">
              <w:rPr>
                <w:sz w:val="20"/>
              </w:rPr>
              <w:t xml:space="preserve">Adolescents 12-17 </w:t>
            </w:r>
          </w:p>
        </w:tc>
        <w:tc>
          <w:tcPr>
            <w:tcW w:w="1140" w:type="dxa"/>
            <w:tcBorders>
              <w:top w:val="nil"/>
              <w:left w:val="single" w:sz="4" w:space="0" w:color="auto"/>
              <w:bottom w:val="nil"/>
              <w:right w:val="single" w:sz="4" w:space="0" w:color="auto"/>
            </w:tcBorders>
            <w:shd w:val="clear" w:color="auto" w:fill="auto"/>
            <w:noWrap/>
            <w:vAlign w:val="bottom"/>
            <w:hideMark/>
          </w:tcPr>
          <w:p w14:paraId="07592DBA"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33BEAC7"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2CAA7C3B"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36CB629"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1C94FB6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A7D038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48FCD723" w14:textId="77777777" w:rsidR="00454966" w:rsidRPr="00454966" w:rsidRDefault="00454966" w:rsidP="00454966">
            <w:pPr>
              <w:rPr>
                <w:sz w:val="20"/>
              </w:rPr>
            </w:pPr>
            <w:r w:rsidRPr="00454966">
              <w:rPr>
                <w:sz w:val="20"/>
              </w:rPr>
              <w:t> </w:t>
            </w:r>
          </w:p>
        </w:tc>
      </w:tr>
      <w:tr w:rsidR="00454966" w:rsidRPr="00454966" w14:paraId="097796AA"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48A08FC"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3E8751B0" w14:textId="77777777" w:rsidR="00454966" w:rsidRPr="00454966" w:rsidRDefault="00454966" w:rsidP="00454966">
            <w:pPr>
              <w:jc w:val="right"/>
              <w:rPr>
                <w:sz w:val="20"/>
              </w:rPr>
            </w:pPr>
            <w:r w:rsidRPr="00454966">
              <w:rPr>
                <w:sz w:val="20"/>
              </w:rPr>
              <w:t>360,774</w:t>
            </w:r>
          </w:p>
        </w:tc>
        <w:tc>
          <w:tcPr>
            <w:tcW w:w="980" w:type="dxa"/>
            <w:tcBorders>
              <w:top w:val="nil"/>
              <w:left w:val="nil"/>
              <w:bottom w:val="nil"/>
              <w:right w:val="nil"/>
            </w:tcBorders>
            <w:shd w:val="clear" w:color="auto" w:fill="auto"/>
            <w:noWrap/>
            <w:vAlign w:val="bottom"/>
            <w:hideMark/>
          </w:tcPr>
          <w:p w14:paraId="685591DF" w14:textId="77777777" w:rsidR="00454966" w:rsidRPr="00454966" w:rsidRDefault="00454966" w:rsidP="00454966">
            <w:pPr>
              <w:jc w:val="right"/>
              <w:rPr>
                <w:sz w:val="20"/>
              </w:rPr>
            </w:pPr>
            <w:r w:rsidRPr="00454966">
              <w:rPr>
                <w:sz w:val="20"/>
              </w:rPr>
              <w:t>61,207</w:t>
            </w:r>
          </w:p>
        </w:tc>
        <w:tc>
          <w:tcPr>
            <w:tcW w:w="980" w:type="dxa"/>
            <w:tcBorders>
              <w:top w:val="nil"/>
              <w:left w:val="single" w:sz="4" w:space="0" w:color="auto"/>
              <w:bottom w:val="nil"/>
              <w:right w:val="single" w:sz="4" w:space="0" w:color="auto"/>
            </w:tcBorders>
            <w:shd w:val="clear" w:color="auto" w:fill="auto"/>
            <w:noWrap/>
            <w:vAlign w:val="bottom"/>
            <w:hideMark/>
          </w:tcPr>
          <w:p w14:paraId="35C9F60C" w14:textId="77777777" w:rsidR="00454966" w:rsidRPr="00454966" w:rsidRDefault="00454966" w:rsidP="00454966">
            <w:pPr>
              <w:jc w:val="right"/>
              <w:rPr>
                <w:sz w:val="20"/>
              </w:rPr>
            </w:pPr>
            <w:r w:rsidRPr="00454966">
              <w:rPr>
                <w:sz w:val="20"/>
              </w:rPr>
              <w:t>30,822</w:t>
            </w:r>
          </w:p>
        </w:tc>
        <w:tc>
          <w:tcPr>
            <w:tcW w:w="980" w:type="dxa"/>
            <w:tcBorders>
              <w:top w:val="nil"/>
              <w:left w:val="nil"/>
              <w:bottom w:val="nil"/>
              <w:right w:val="nil"/>
            </w:tcBorders>
            <w:shd w:val="clear" w:color="auto" w:fill="auto"/>
            <w:noWrap/>
            <w:vAlign w:val="bottom"/>
            <w:hideMark/>
          </w:tcPr>
          <w:p w14:paraId="1FF102A1" w14:textId="77777777" w:rsidR="00454966" w:rsidRPr="00454966" w:rsidRDefault="00454966" w:rsidP="00454966">
            <w:pPr>
              <w:jc w:val="right"/>
              <w:rPr>
                <w:sz w:val="20"/>
              </w:rPr>
            </w:pPr>
            <w:r w:rsidRPr="00454966">
              <w:rPr>
                <w:sz w:val="20"/>
              </w:rPr>
              <w:t>24,697</w:t>
            </w:r>
          </w:p>
        </w:tc>
        <w:tc>
          <w:tcPr>
            <w:tcW w:w="980" w:type="dxa"/>
            <w:tcBorders>
              <w:top w:val="nil"/>
              <w:left w:val="single" w:sz="4" w:space="0" w:color="auto"/>
              <w:bottom w:val="nil"/>
              <w:right w:val="single" w:sz="4" w:space="0" w:color="auto"/>
            </w:tcBorders>
            <w:shd w:val="clear" w:color="auto" w:fill="auto"/>
            <w:noWrap/>
            <w:vAlign w:val="bottom"/>
            <w:hideMark/>
          </w:tcPr>
          <w:p w14:paraId="7BFE8CE9" w14:textId="77777777" w:rsidR="00454966" w:rsidRPr="00454966" w:rsidRDefault="00454966" w:rsidP="00454966">
            <w:pPr>
              <w:jc w:val="right"/>
              <w:rPr>
                <w:sz w:val="20"/>
              </w:rPr>
            </w:pPr>
            <w:r w:rsidRPr="00454966">
              <w:rPr>
                <w:sz w:val="20"/>
              </w:rPr>
              <w:t>2,081</w:t>
            </w:r>
          </w:p>
        </w:tc>
        <w:tc>
          <w:tcPr>
            <w:tcW w:w="980" w:type="dxa"/>
            <w:tcBorders>
              <w:top w:val="nil"/>
              <w:left w:val="nil"/>
              <w:bottom w:val="nil"/>
              <w:right w:val="single" w:sz="4" w:space="0" w:color="auto"/>
            </w:tcBorders>
            <w:shd w:val="clear" w:color="auto" w:fill="auto"/>
            <w:noWrap/>
            <w:vAlign w:val="bottom"/>
            <w:hideMark/>
          </w:tcPr>
          <w:p w14:paraId="6F70D036" w14:textId="77777777" w:rsidR="00454966" w:rsidRPr="00454966" w:rsidRDefault="00454966" w:rsidP="00454966">
            <w:pPr>
              <w:jc w:val="right"/>
              <w:rPr>
                <w:sz w:val="20"/>
              </w:rPr>
            </w:pPr>
            <w:r w:rsidRPr="00454966">
              <w:rPr>
                <w:sz w:val="20"/>
              </w:rPr>
              <w:t>4,044</w:t>
            </w:r>
          </w:p>
        </w:tc>
        <w:tc>
          <w:tcPr>
            <w:tcW w:w="980" w:type="dxa"/>
            <w:tcBorders>
              <w:top w:val="nil"/>
              <w:left w:val="nil"/>
              <w:bottom w:val="nil"/>
              <w:right w:val="single" w:sz="4" w:space="0" w:color="auto"/>
            </w:tcBorders>
            <w:shd w:val="clear" w:color="auto" w:fill="auto"/>
            <w:noWrap/>
            <w:vAlign w:val="bottom"/>
            <w:hideMark/>
          </w:tcPr>
          <w:p w14:paraId="55F09456" w14:textId="77777777" w:rsidR="00454966" w:rsidRPr="00454966" w:rsidRDefault="00454966" w:rsidP="00454966">
            <w:pPr>
              <w:jc w:val="right"/>
              <w:rPr>
                <w:sz w:val="20"/>
              </w:rPr>
            </w:pPr>
            <w:r w:rsidRPr="00454966">
              <w:rPr>
                <w:sz w:val="20"/>
              </w:rPr>
              <w:t>30,385</w:t>
            </w:r>
          </w:p>
        </w:tc>
      </w:tr>
      <w:tr w:rsidR="00454966" w:rsidRPr="00454966" w14:paraId="28AD9417"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4BDBAF0E" w14:textId="54A1A997" w:rsidR="00454966" w:rsidRPr="00454966" w:rsidRDefault="00454966" w:rsidP="00454966">
            <w:pPr>
              <w:rPr>
                <w:sz w:val="20"/>
              </w:rPr>
            </w:pPr>
            <w:r w:rsidRPr="00454966">
              <w:rPr>
                <w:sz w:val="20"/>
              </w:rPr>
              <w:t xml:space="preserve">    </w:t>
            </w:r>
            <w:r w:rsidR="00BD1693">
              <w:rPr>
                <w:sz w:val="20"/>
              </w:rPr>
              <w:t>Rate (%) §</w:t>
            </w:r>
          </w:p>
        </w:tc>
        <w:tc>
          <w:tcPr>
            <w:tcW w:w="1140" w:type="dxa"/>
            <w:tcBorders>
              <w:top w:val="nil"/>
              <w:left w:val="single" w:sz="4" w:space="0" w:color="auto"/>
              <w:bottom w:val="nil"/>
              <w:right w:val="single" w:sz="4" w:space="0" w:color="auto"/>
            </w:tcBorders>
            <w:shd w:val="clear" w:color="auto" w:fill="auto"/>
            <w:noWrap/>
            <w:vAlign w:val="bottom"/>
            <w:hideMark/>
          </w:tcPr>
          <w:p w14:paraId="45D787E0"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78846367"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09E66E1E"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nil"/>
            </w:tcBorders>
            <w:shd w:val="clear" w:color="auto" w:fill="auto"/>
            <w:noWrap/>
            <w:vAlign w:val="bottom"/>
            <w:hideMark/>
          </w:tcPr>
          <w:p w14:paraId="681B2693"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single" w:sz="4" w:space="0" w:color="auto"/>
              <w:bottom w:val="nil"/>
              <w:right w:val="single" w:sz="4" w:space="0" w:color="auto"/>
            </w:tcBorders>
            <w:shd w:val="clear" w:color="auto" w:fill="auto"/>
            <w:noWrap/>
            <w:vAlign w:val="bottom"/>
            <w:hideMark/>
          </w:tcPr>
          <w:p w14:paraId="74A3BFA6"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48FC32DF"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nil"/>
              <w:right w:val="single" w:sz="4" w:space="0" w:color="auto"/>
            </w:tcBorders>
            <w:shd w:val="clear" w:color="auto" w:fill="auto"/>
            <w:noWrap/>
            <w:vAlign w:val="bottom"/>
            <w:hideMark/>
          </w:tcPr>
          <w:p w14:paraId="0E3880B0" w14:textId="77777777" w:rsidR="00454966" w:rsidRPr="00454966" w:rsidRDefault="00454966" w:rsidP="00454966">
            <w:pPr>
              <w:jc w:val="center"/>
              <w:rPr>
                <w:sz w:val="20"/>
              </w:rPr>
            </w:pPr>
            <w:proofErr w:type="spellStart"/>
            <w:r w:rsidRPr="00454966">
              <w:rPr>
                <w:sz w:val="20"/>
              </w:rPr>
              <w:t>n.a.</w:t>
            </w:r>
            <w:proofErr w:type="spellEnd"/>
          </w:p>
        </w:tc>
      </w:tr>
      <w:tr w:rsidR="00454966" w:rsidRPr="00454966" w14:paraId="5F7ABFEA"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2616FA05"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A82461D"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52C8BE7F"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7A40E08E"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25F3A04C"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0E594F11"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133AEF48" w14:textId="77777777" w:rsidR="00454966" w:rsidRPr="00454966" w:rsidRDefault="00454966" w:rsidP="00454966">
            <w:pPr>
              <w:jc w:val="center"/>
              <w:rPr>
                <w:sz w:val="20"/>
              </w:rPr>
            </w:pPr>
            <w:proofErr w:type="spellStart"/>
            <w:r w:rsidRPr="00454966">
              <w:rPr>
                <w:sz w:val="20"/>
              </w:rPr>
              <w:t>n.a.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56FA6829" w14:textId="77777777" w:rsidR="00454966" w:rsidRPr="00454966" w:rsidRDefault="00454966" w:rsidP="00454966">
            <w:pPr>
              <w:jc w:val="center"/>
              <w:rPr>
                <w:sz w:val="20"/>
              </w:rPr>
            </w:pPr>
            <w:proofErr w:type="spellStart"/>
            <w:r w:rsidRPr="00454966">
              <w:rPr>
                <w:sz w:val="20"/>
              </w:rPr>
              <w:t>n.a.</w:t>
            </w:r>
            <w:proofErr w:type="spellEnd"/>
          </w:p>
        </w:tc>
      </w:tr>
      <w:tr w:rsidR="00454966" w:rsidRPr="00454966" w14:paraId="43B0A431"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32157BE" w14:textId="77777777" w:rsidR="00454966" w:rsidRPr="00454966" w:rsidRDefault="00454966" w:rsidP="00454966">
            <w:pPr>
              <w:rPr>
                <w:sz w:val="20"/>
              </w:rPr>
            </w:pPr>
            <w:r w:rsidRPr="00454966">
              <w:rPr>
                <w:sz w:val="20"/>
              </w:rPr>
              <w:t xml:space="preserve">Young Adults 18-25 </w:t>
            </w:r>
          </w:p>
        </w:tc>
        <w:tc>
          <w:tcPr>
            <w:tcW w:w="1140" w:type="dxa"/>
            <w:tcBorders>
              <w:top w:val="nil"/>
              <w:left w:val="single" w:sz="4" w:space="0" w:color="auto"/>
              <w:bottom w:val="nil"/>
              <w:right w:val="single" w:sz="4" w:space="0" w:color="auto"/>
            </w:tcBorders>
            <w:shd w:val="clear" w:color="auto" w:fill="auto"/>
            <w:noWrap/>
            <w:vAlign w:val="bottom"/>
            <w:hideMark/>
          </w:tcPr>
          <w:p w14:paraId="312FBE6F"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FA97AD3"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73D9BA9B"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02D8B0DE"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4E05DF22"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24DF4D1"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13B5E220" w14:textId="77777777" w:rsidR="00454966" w:rsidRPr="00454966" w:rsidRDefault="00454966" w:rsidP="00454966">
            <w:pPr>
              <w:rPr>
                <w:sz w:val="20"/>
              </w:rPr>
            </w:pPr>
            <w:r w:rsidRPr="00454966">
              <w:rPr>
                <w:sz w:val="20"/>
              </w:rPr>
              <w:t> </w:t>
            </w:r>
          </w:p>
        </w:tc>
      </w:tr>
      <w:tr w:rsidR="00454966" w:rsidRPr="00454966" w14:paraId="0991941B"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A97B8FA"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59A02C1B" w14:textId="77777777" w:rsidR="00454966" w:rsidRPr="00454966" w:rsidRDefault="00454966" w:rsidP="00454966">
            <w:pPr>
              <w:jc w:val="right"/>
              <w:rPr>
                <w:sz w:val="20"/>
              </w:rPr>
            </w:pPr>
            <w:r w:rsidRPr="00454966">
              <w:rPr>
                <w:sz w:val="20"/>
              </w:rPr>
              <w:t>483,697</w:t>
            </w:r>
          </w:p>
        </w:tc>
        <w:tc>
          <w:tcPr>
            <w:tcW w:w="980" w:type="dxa"/>
            <w:tcBorders>
              <w:top w:val="nil"/>
              <w:left w:val="nil"/>
              <w:bottom w:val="nil"/>
              <w:right w:val="nil"/>
            </w:tcBorders>
            <w:shd w:val="clear" w:color="auto" w:fill="auto"/>
            <w:noWrap/>
            <w:vAlign w:val="bottom"/>
            <w:hideMark/>
          </w:tcPr>
          <w:p w14:paraId="70C8E71D" w14:textId="77777777" w:rsidR="00454966" w:rsidRPr="00454966" w:rsidRDefault="00454966" w:rsidP="00454966">
            <w:pPr>
              <w:jc w:val="right"/>
              <w:rPr>
                <w:sz w:val="20"/>
              </w:rPr>
            </w:pPr>
            <w:r w:rsidRPr="00454966">
              <w:rPr>
                <w:sz w:val="20"/>
              </w:rPr>
              <w:t>82,407</w:t>
            </w:r>
          </w:p>
        </w:tc>
        <w:tc>
          <w:tcPr>
            <w:tcW w:w="980" w:type="dxa"/>
            <w:tcBorders>
              <w:top w:val="nil"/>
              <w:left w:val="single" w:sz="4" w:space="0" w:color="auto"/>
              <w:bottom w:val="nil"/>
              <w:right w:val="single" w:sz="4" w:space="0" w:color="auto"/>
            </w:tcBorders>
            <w:shd w:val="clear" w:color="auto" w:fill="auto"/>
            <w:noWrap/>
            <w:vAlign w:val="bottom"/>
            <w:hideMark/>
          </w:tcPr>
          <w:p w14:paraId="66574589" w14:textId="77777777" w:rsidR="00454966" w:rsidRPr="00454966" w:rsidRDefault="00454966" w:rsidP="00454966">
            <w:pPr>
              <w:jc w:val="right"/>
              <w:rPr>
                <w:sz w:val="20"/>
              </w:rPr>
            </w:pPr>
            <w:r w:rsidRPr="00454966">
              <w:rPr>
                <w:sz w:val="20"/>
              </w:rPr>
              <w:t>44,790</w:t>
            </w:r>
          </w:p>
        </w:tc>
        <w:tc>
          <w:tcPr>
            <w:tcW w:w="980" w:type="dxa"/>
            <w:tcBorders>
              <w:top w:val="nil"/>
              <w:left w:val="nil"/>
              <w:bottom w:val="nil"/>
              <w:right w:val="nil"/>
            </w:tcBorders>
            <w:shd w:val="clear" w:color="auto" w:fill="auto"/>
            <w:noWrap/>
            <w:vAlign w:val="bottom"/>
            <w:hideMark/>
          </w:tcPr>
          <w:p w14:paraId="3D13784E" w14:textId="77777777" w:rsidR="00454966" w:rsidRPr="00454966" w:rsidRDefault="00454966" w:rsidP="00454966">
            <w:pPr>
              <w:jc w:val="right"/>
              <w:rPr>
                <w:sz w:val="20"/>
              </w:rPr>
            </w:pPr>
            <w:r w:rsidRPr="00454966">
              <w:rPr>
                <w:sz w:val="20"/>
              </w:rPr>
              <w:t>38,392</w:t>
            </w:r>
          </w:p>
        </w:tc>
        <w:tc>
          <w:tcPr>
            <w:tcW w:w="980" w:type="dxa"/>
            <w:tcBorders>
              <w:top w:val="nil"/>
              <w:left w:val="single" w:sz="4" w:space="0" w:color="auto"/>
              <w:bottom w:val="nil"/>
              <w:right w:val="single" w:sz="4" w:space="0" w:color="auto"/>
            </w:tcBorders>
            <w:shd w:val="clear" w:color="auto" w:fill="auto"/>
            <w:noWrap/>
            <w:vAlign w:val="bottom"/>
            <w:hideMark/>
          </w:tcPr>
          <w:p w14:paraId="2EFB1284" w14:textId="77777777" w:rsidR="00454966" w:rsidRPr="00454966" w:rsidRDefault="00454966" w:rsidP="00454966">
            <w:pPr>
              <w:jc w:val="right"/>
              <w:rPr>
                <w:sz w:val="20"/>
              </w:rPr>
            </w:pPr>
            <w:r w:rsidRPr="00454966">
              <w:rPr>
                <w:sz w:val="20"/>
              </w:rPr>
              <w:t>2,265</w:t>
            </w:r>
          </w:p>
        </w:tc>
        <w:tc>
          <w:tcPr>
            <w:tcW w:w="980" w:type="dxa"/>
            <w:tcBorders>
              <w:top w:val="nil"/>
              <w:left w:val="nil"/>
              <w:bottom w:val="nil"/>
              <w:right w:val="single" w:sz="4" w:space="0" w:color="auto"/>
            </w:tcBorders>
            <w:shd w:val="clear" w:color="auto" w:fill="auto"/>
            <w:noWrap/>
            <w:vAlign w:val="bottom"/>
            <w:hideMark/>
          </w:tcPr>
          <w:p w14:paraId="7102250C" w14:textId="77777777" w:rsidR="00454966" w:rsidRPr="00454966" w:rsidRDefault="00454966" w:rsidP="00454966">
            <w:pPr>
              <w:jc w:val="right"/>
              <w:rPr>
                <w:sz w:val="20"/>
              </w:rPr>
            </w:pPr>
            <w:r w:rsidRPr="00454966">
              <w:rPr>
                <w:sz w:val="20"/>
              </w:rPr>
              <w:t>4,133</w:t>
            </w:r>
          </w:p>
        </w:tc>
        <w:tc>
          <w:tcPr>
            <w:tcW w:w="980" w:type="dxa"/>
            <w:tcBorders>
              <w:top w:val="nil"/>
              <w:left w:val="nil"/>
              <w:bottom w:val="nil"/>
              <w:right w:val="single" w:sz="4" w:space="0" w:color="auto"/>
            </w:tcBorders>
            <w:shd w:val="clear" w:color="auto" w:fill="auto"/>
            <w:noWrap/>
            <w:vAlign w:val="bottom"/>
            <w:hideMark/>
          </w:tcPr>
          <w:p w14:paraId="7A54280E" w14:textId="77777777" w:rsidR="00454966" w:rsidRPr="00454966" w:rsidRDefault="00454966" w:rsidP="00454966">
            <w:pPr>
              <w:jc w:val="right"/>
              <w:rPr>
                <w:sz w:val="20"/>
              </w:rPr>
            </w:pPr>
            <w:r w:rsidRPr="00454966">
              <w:rPr>
                <w:sz w:val="20"/>
              </w:rPr>
              <w:t>37,617</w:t>
            </w:r>
          </w:p>
        </w:tc>
      </w:tr>
      <w:tr w:rsidR="00454966" w:rsidRPr="00454966" w14:paraId="22EC57F0"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0EB7C64"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550FE517" w14:textId="77777777" w:rsidR="00454966" w:rsidRPr="00454966" w:rsidRDefault="00454966" w:rsidP="00454966">
            <w:pPr>
              <w:jc w:val="right"/>
              <w:rPr>
                <w:sz w:val="20"/>
              </w:rPr>
            </w:pPr>
            <w:r w:rsidRPr="00454966">
              <w:rPr>
                <w:sz w:val="20"/>
              </w:rPr>
              <w:t>8.99%</w:t>
            </w:r>
          </w:p>
        </w:tc>
        <w:tc>
          <w:tcPr>
            <w:tcW w:w="980" w:type="dxa"/>
            <w:tcBorders>
              <w:top w:val="nil"/>
              <w:left w:val="nil"/>
              <w:bottom w:val="nil"/>
              <w:right w:val="single" w:sz="4" w:space="0" w:color="auto"/>
            </w:tcBorders>
            <w:shd w:val="clear" w:color="auto" w:fill="auto"/>
            <w:noWrap/>
            <w:vAlign w:val="bottom"/>
            <w:hideMark/>
          </w:tcPr>
          <w:p w14:paraId="5DD4783F" w14:textId="77777777" w:rsidR="00454966" w:rsidRPr="00454966" w:rsidRDefault="00454966" w:rsidP="00454966">
            <w:pPr>
              <w:jc w:val="right"/>
              <w:rPr>
                <w:sz w:val="20"/>
              </w:rPr>
            </w:pPr>
            <w:r w:rsidRPr="00454966">
              <w:rPr>
                <w:sz w:val="20"/>
              </w:rPr>
              <w:t>9.28%</w:t>
            </w:r>
          </w:p>
        </w:tc>
        <w:tc>
          <w:tcPr>
            <w:tcW w:w="980" w:type="dxa"/>
            <w:tcBorders>
              <w:top w:val="nil"/>
              <w:left w:val="nil"/>
              <w:bottom w:val="nil"/>
              <w:right w:val="single" w:sz="4" w:space="0" w:color="auto"/>
            </w:tcBorders>
            <w:shd w:val="clear" w:color="auto" w:fill="auto"/>
            <w:noWrap/>
            <w:vAlign w:val="bottom"/>
            <w:hideMark/>
          </w:tcPr>
          <w:p w14:paraId="3B16015F" w14:textId="77777777" w:rsidR="00454966" w:rsidRPr="00454966" w:rsidRDefault="00454966" w:rsidP="00454966">
            <w:pPr>
              <w:jc w:val="right"/>
              <w:rPr>
                <w:sz w:val="20"/>
              </w:rPr>
            </w:pPr>
            <w:r w:rsidRPr="00454966">
              <w:rPr>
                <w:sz w:val="20"/>
              </w:rPr>
              <w:t>9.42%</w:t>
            </w:r>
          </w:p>
        </w:tc>
        <w:tc>
          <w:tcPr>
            <w:tcW w:w="980" w:type="dxa"/>
            <w:tcBorders>
              <w:top w:val="nil"/>
              <w:left w:val="nil"/>
              <w:bottom w:val="nil"/>
              <w:right w:val="nil"/>
            </w:tcBorders>
            <w:shd w:val="clear" w:color="auto" w:fill="auto"/>
            <w:noWrap/>
            <w:vAlign w:val="bottom"/>
            <w:hideMark/>
          </w:tcPr>
          <w:p w14:paraId="563F7659" w14:textId="77777777" w:rsidR="00454966" w:rsidRPr="00454966" w:rsidRDefault="00454966" w:rsidP="00454966">
            <w:pPr>
              <w:jc w:val="right"/>
              <w:rPr>
                <w:sz w:val="20"/>
              </w:rPr>
            </w:pPr>
            <w:r w:rsidRPr="00454966">
              <w:rPr>
                <w:sz w:val="20"/>
              </w:rPr>
              <w:t>9.42%</w:t>
            </w:r>
          </w:p>
        </w:tc>
        <w:tc>
          <w:tcPr>
            <w:tcW w:w="980" w:type="dxa"/>
            <w:tcBorders>
              <w:top w:val="nil"/>
              <w:left w:val="single" w:sz="4" w:space="0" w:color="auto"/>
              <w:bottom w:val="nil"/>
              <w:right w:val="single" w:sz="4" w:space="0" w:color="auto"/>
            </w:tcBorders>
            <w:shd w:val="clear" w:color="auto" w:fill="auto"/>
            <w:noWrap/>
            <w:vAlign w:val="bottom"/>
            <w:hideMark/>
          </w:tcPr>
          <w:p w14:paraId="5BAC1031" w14:textId="77777777" w:rsidR="00454966" w:rsidRPr="00454966" w:rsidRDefault="00454966" w:rsidP="00454966">
            <w:pPr>
              <w:jc w:val="right"/>
              <w:rPr>
                <w:sz w:val="20"/>
              </w:rPr>
            </w:pPr>
            <w:r w:rsidRPr="00454966">
              <w:rPr>
                <w:sz w:val="20"/>
              </w:rPr>
              <w:t>9.42%</w:t>
            </w:r>
          </w:p>
        </w:tc>
        <w:tc>
          <w:tcPr>
            <w:tcW w:w="980" w:type="dxa"/>
            <w:tcBorders>
              <w:top w:val="nil"/>
              <w:left w:val="nil"/>
              <w:bottom w:val="nil"/>
              <w:right w:val="single" w:sz="4" w:space="0" w:color="auto"/>
            </w:tcBorders>
            <w:shd w:val="clear" w:color="auto" w:fill="auto"/>
            <w:noWrap/>
            <w:vAlign w:val="bottom"/>
            <w:hideMark/>
          </w:tcPr>
          <w:p w14:paraId="72F61C29" w14:textId="77777777" w:rsidR="00454966" w:rsidRPr="00454966" w:rsidRDefault="00454966" w:rsidP="00454966">
            <w:pPr>
              <w:jc w:val="right"/>
              <w:rPr>
                <w:sz w:val="20"/>
              </w:rPr>
            </w:pPr>
            <w:r w:rsidRPr="00454966">
              <w:rPr>
                <w:sz w:val="20"/>
              </w:rPr>
              <w:t>9.42%</w:t>
            </w:r>
          </w:p>
        </w:tc>
        <w:tc>
          <w:tcPr>
            <w:tcW w:w="980" w:type="dxa"/>
            <w:tcBorders>
              <w:top w:val="nil"/>
              <w:left w:val="nil"/>
              <w:bottom w:val="nil"/>
              <w:right w:val="single" w:sz="4" w:space="0" w:color="auto"/>
            </w:tcBorders>
            <w:shd w:val="clear" w:color="auto" w:fill="auto"/>
            <w:noWrap/>
            <w:vAlign w:val="bottom"/>
            <w:hideMark/>
          </w:tcPr>
          <w:p w14:paraId="66A35477" w14:textId="77777777" w:rsidR="00454966" w:rsidRPr="00454966" w:rsidRDefault="00454966" w:rsidP="00454966">
            <w:pPr>
              <w:jc w:val="right"/>
              <w:rPr>
                <w:sz w:val="20"/>
              </w:rPr>
            </w:pPr>
            <w:r w:rsidRPr="00454966">
              <w:rPr>
                <w:sz w:val="20"/>
              </w:rPr>
              <w:t>9.08%</w:t>
            </w:r>
          </w:p>
        </w:tc>
      </w:tr>
      <w:tr w:rsidR="00454966" w:rsidRPr="00454966" w14:paraId="6578EE5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5FF64B95"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6BE7237" w14:textId="77777777" w:rsidR="00454966" w:rsidRPr="00454966" w:rsidRDefault="00454966" w:rsidP="00454966">
            <w:pPr>
              <w:jc w:val="right"/>
              <w:rPr>
                <w:sz w:val="20"/>
              </w:rPr>
            </w:pPr>
            <w:r w:rsidRPr="00454966">
              <w:rPr>
                <w:sz w:val="20"/>
              </w:rPr>
              <w:t>43,504</w:t>
            </w:r>
          </w:p>
        </w:tc>
        <w:tc>
          <w:tcPr>
            <w:tcW w:w="980" w:type="dxa"/>
            <w:tcBorders>
              <w:top w:val="nil"/>
              <w:left w:val="nil"/>
              <w:bottom w:val="single" w:sz="4" w:space="0" w:color="auto"/>
              <w:right w:val="single" w:sz="4" w:space="0" w:color="auto"/>
            </w:tcBorders>
            <w:shd w:val="clear" w:color="auto" w:fill="auto"/>
            <w:noWrap/>
            <w:vAlign w:val="bottom"/>
            <w:hideMark/>
          </w:tcPr>
          <w:p w14:paraId="53306EB6" w14:textId="77777777" w:rsidR="00454966" w:rsidRPr="00454966" w:rsidRDefault="00454966" w:rsidP="00454966">
            <w:pPr>
              <w:jc w:val="right"/>
              <w:rPr>
                <w:sz w:val="20"/>
              </w:rPr>
            </w:pPr>
            <w:r w:rsidRPr="00454966">
              <w:rPr>
                <w:sz w:val="20"/>
              </w:rPr>
              <w:t>7,648</w:t>
            </w:r>
          </w:p>
        </w:tc>
        <w:tc>
          <w:tcPr>
            <w:tcW w:w="980" w:type="dxa"/>
            <w:tcBorders>
              <w:top w:val="nil"/>
              <w:left w:val="nil"/>
              <w:bottom w:val="single" w:sz="4" w:space="0" w:color="auto"/>
              <w:right w:val="single" w:sz="4" w:space="0" w:color="auto"/>
            </w:tcBorders>
            <w:shd w:val="clear" w:color="auto" w:fill="auto"/>
            <w:noWrap/>
            <w:vAlign w:val="bottom"/>
            <w:hideMark/>
          </w:tcPr>
          <w:p w14:paraId="041427F1" w14:textId="77777777" w:rsidR="00454966" w:rsidRPr="00454966" w:rsidRDefault="00454966" w:rsidP="00454966">
            <w:pPr>
              <w:jc w:val="right"/>
              <w:rPr>
                <w:sz w:val="20"/>
              </w:rPr>
            </w:pPr>
            <w:r w:rsidRPr="00454966">
              <w:rPr>
                <w:sz w:val="20"/>
              </w:rPr>
              <w:t>4,221</w:t>
            </w:r>
          </w:p>
        </w:tc>
        <w:tc>
          <w:tcPr>
            <w:tcW w:w="980" w:type="dxa"/>
            <w:tcBorders>
              <w:top w:val="nil"/>
              <w:left w:val="nil"/>
              <w:bottom w:val="single" w:sz="4" w:space="0" w:color="auto"/>
              <w:right w:val="single" w:sz="4" w:space="0" w:color="auto"/>
            </w:tcBorders>
            <w:shd w:val="clear" w:color="auto" w:fill="auto"/>
            <w:noWrap/>
            <w:vAlign w:val="bottom"/>
            <w:hideMark/>
          </w:tcPr>
          <w:p w14:paraId="144D0AA4" w14:textId="77777777" w:rsidR="00454966" w:rsidRPr="00454966" w:rsidRDefault="00454966" w:rsidP="00454966">
            <w:pPr>
              <w:jc w:val="right"/>
              <w:rPr>
                <w:sz w:val="20"/>
              </w:rPr>
            </w:pPr>
            <w:r w:rsidRPr="00454966">
              <w:rPr>
                <w:sz w:val="20"/>
              </w:rPr>
              <w:t>3,618</w:t>
            </w:r>
          </w:p>
        </w:tc>
        <w:tc>
          <w:tcPr>
            <w:tcW w:w="980" w:type="dxa"/>
            <w:tcBorders>
              <w:top w:val="nil"/>
              <w:left w:val="nil"/>
              <w:bottom w:val="single" w:sz="4" w:space="0" w:color="auto"/>
              <w:right w:val="single" w:sz="4" w:space="0" w:color="auto"/>
            </w:tcBorders>
            <w:shd w:val="clear" w:color="auto" w:fill="auto"/>
            <w:noWrap/>
            <w:vAlign w:val="bottom"/>
            <w:hideMark/>
          </w:tcPr>
          <w:p w14:paraId="6A9DF0FE" w14:textId="77777777" w:rsidR="00454966" w:rsidRPr="00454966" w:rsidRDefault="00454966" w:rsidP="00454966">
            <w:pPr>
              <w:jc w:val="right"/>
              <w:rPr>
                <w:sz w:val="20"/>
              </w:rPr>
            </w:pPr>
            <w:r w:rsidRPr="00454966">
              <w:rPr>
                <w:sz w:val="20"/>
              </w:rPr>
              <w:t>213</w:t>
            </w:r>
          </w:p>
        </w:tc>
        <w:tc>
          <w:tcPr>
            <w:tcW w:w="980" w:type="dxa"/>
            <w:tcBorders>
              <w:top w:val="nil"/>
              <w:left w:val="nil"/>
              <w:bottom w:val="single" w:sz="4" w:space="0" w:color="auto"/>
              <w:right w:val="single" w:sz="4" w:space="0" w:color="auto"/>
            </w:tcBorders>
            <w:shd w:val="clear" w:color="auto" w:fill="auto"/>
            <w:noWrap/>
            <w:vAlign w:val="bottom"/>
            <w:hideMark/>
          </w:tcPr>
          <w:p w14:paraId="4833420D" w14:textId="77777777" w:rsidR="00454966" w:rsidRPr="00454966" w:rsidRDefault="00454966" w:rsidP="00454966">
            <w:pPr>
              <w:jc w:val="right"/>
              <w:rPr>
                <w:sz w:val="20"/>
              </w:rPr>
            </w:pPr>
            <w:r w:rsidRPr="00454966">
              <w:rPr>
                <w:sz w:val="20"/>
              </w:rPr>
              <w:t>389</w:t>
            </w:r>
          </w:p>
        </w:tc>
        <w:tc>
          <w:tcPr>
            <w:tcW w:w="980" w:type="dxa"/>
            <w:tcBorders>
              <w:top w:val="nil"/>
              <w:left w:val="nil"/>
              <w:bottom w:val="single" w:sz="4" w:space="0" w:color="auto"/>
              <w:right w:val="single" w:sz="4" w:space="0" w:color="auto"/>
            </w:tcBorders>
            <w:shd w:val="clear" w:color="auto" w:fill="auto"/>
            <w:noWrap/>
            <w:vAlign w:val="bottom"/>
            <w:hideMark/>
          </w:tcPr>
          <w:p w14:paraId="7179B746" w14:textId="77777777" w:rsidR="00454966" w:rsidRPr="00454966" w:rsidRDefault="00454966" w:rsidP="00454966">
            <w:pPr>
              <w:jc w:val="right"/>
              <w:rPr>
                <w:sz w:val="20"/>
              </w:rPr>
            </w:pPr>
            <w:r w:rsidRPr="00454966">
              <w:rPr>
                <w:sz w:val="20"/>
              </w:rPr>
              <w:t>3,415</w:t>
            </w:r>
          </w:p>
        </w:tc>
      </w:tr>
      <w:tr w:rsidR="00454966" w:rsidRPr="00454966" w14:paraId="6A1CB89B" w14:textId="77777777" w:rsidTr="00454966">
        <w:trPr>
          <w:trHeight w:val="255"/>
        </w:trPr>
        <w:tc>
          <w:tcPr>
            <w:tcW w:w="1960" w:type="dxa"/>
            <w:tcBorders>
              <w:top w:val="single" w:sz="4" w:space="0" w:color="auto"/>
              <w:left w:val="single" w:sz="4" w:space="0" w:color="auto"/>
              <w:bottom w:val="nil"/>
              <w:right w:val="nil"/>
            </w:tcBorders>
            <w:shd w:val="clear" w:color="auto" w:fill="auto"/>
            <w:noWrap/>
            <w:vAlign w:val="bottom"/>
            <w:hideMark/>
          </w:tcPr>
          <w:p w14:paraId="6B5D6263" w14:textId="5D8268FA" w:rsidR="00454966" w:rsidRPr="00454966" w:rsidRDefault="00454966" w:rsidP="00454966">
            <w:pPr>
              <w:rPr>
                <w:sz w:val="20"/>
              </w:rPr>
            </w:pPr>
            <w:r w:rsidRPr="00454966">
              <w:rPr>
                <w:sz w:val="20"/>
              </w:rPr>
              <w:t xml:space="preserve">Older Adults </w:t>
            </w:r>
            <w:r w:rsidR="00240C80">
              <w:rPr>
                <w:sz w:val="20"/>
              </w:rPr>
              <w:t>26+</w:t>
            </w:r>
            <w:r w:rsidRPr="00454966">
              <w:rPr>
                <w:sz w:val="20"/>
              </w:rPr>
              <w:t xml:space="preserve"> </w:t>
            </w:r>
          </w:p>
        </w:tc>
        <w:tc>
          <w:tcPr>
            <w:tcW w:w="1140" w:type="dxa"/>
            <w:tcBorders>
              <w:top w:val="nil"/>
              <w:left w:val="single" w:sz="4" w:space="0" w:color="auto"/>
              <w:bottom w:val="nil"/>
              <w:right w:val="single" w:sz="4" w:space="0" w:color="auto"/>
            </w:tcBorders>
            <w:shd w:val="clear" w:color="auto" w:fill="auto"/>
            <w:noWrap/>
            <w:vAlign w:val="bottom"/>
            <w:hideMark/>
          </w:tcPr>
          <w:p w14:paraId="789472C9"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72048EEA"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33EB97A0"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7024AF43" w14:textId="77777777" w:rsidR="00454966" w:rsidRPr="00454966" w:rsidRDefault="00454966" w:rsidP="00454966">
            <w:pPr>
              <w:rPr>
                <w:sz w:val="20"/>
              </w:rPr>
            </w:pPr>
            <w:r w:rsidRPr="00454966">
              <w:rPr>
                <w:sz w:val="20"/>
              </w:rPr>
              <w:t> </w:t>
            </w:r>
          </w:p>
        </w:tc>
        <w:tc>
          <w:tcPr>
            <w:tcW w:w="980" w:type="dxa"/>
            <w:tcBorders>
              <w:top w:val="nil"/>
              <w:left w:val="single" w:sz="4" w:space="0" w:color="auto"/>
              <w:bottom w:val="nil"/>
              <w:right w:val="single" w:sz="4" w:space="0" w:color="auto"/>
            </w:tcBorders>
            <w:shd w:val="clear" w:color="auto" w:fill="auto"/>
            <w:noWrap/>
            <w:vAlign w:val="bottom"/>
            <w:hideMark/>
          </w:tcPr>
          <w:p w14:paraId="4A648AE2"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E30EF86"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06619EFB" w14:textId="77777777" w:rsidR="00454966" w:rsidRPr="00454966" w:rsidRDefault="00454966" w:rsidP="00454966">
            <w:pPr>
              <w:rPr>
                <w:sz w:val="20"/>
              </w:rPr>
            </w:pPr>
            <w:r w:rsidRPr="00454966">
              <w:rPr>
                <w:sz w:val="20"/>
              </w:rPr>
              <w:t> </w:t>
            </w:r>
          </w:p>
        </w:tc>
      </w:tr>
      <w:tr w:rsidR="00454966" w:rsidRPr="00454966" w14:paraId="264EB1F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6AE2FFB4"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21787DBA" w14:textId="77777777" w:rsidR="00454966" w:rsidRPr="00454966" w:rsidRDefault="00454966" w:rsidP="00454966">
            <w:pPr>
              <w:jc w:val="right"/>
              <w:rPr>
                <w:sz w:val="20"/>
              </w:rPr>
            </w:pPr>
            <w:r w:rsidRPr="00454966">
              <w:rPr>
                <w:sz w:val="20"/>
              </w:rPr>
              <w:t>3,077,467</w:t>
            </w:r>
          </w:p>
        </w:tc>
        <w:tc>
          <w:tcPr>
            <w:tcW w:w="980" w:type="dxa"/>
            <w:tcBorders>
              <w:top w:val="nil"/>
              <w:left w:val="nil"/>
              <w:bottom w:val="nil"/>
              <w:right w:val="nil"/>
            </w:tcBorders>
            <w:shd w:val="clear" w:color="auto" w:fill="auto"/>
            <w:noWrap/>
            <w:vAlign w:val="bottom"/>
            <w:hideMark/>
          </w:tcPr>
          <w:p w14:paraId="267BFA40" w14:textId="77777777" w:rsidR="00454966" w:rsidRPr="00454966" w:rsidRDefault="00454966" w:rsidP="00454966">
            <w:pPr>
              <w:jc w:val="right"/>
              <w:rPr>
                <w:sz w:val="20"/>
              </w:rPr>
            </w:pPr>
            <w:r w:rsidRPr="00454966">
              <w:rPr>
                <w:sz w:val="20"/>
              </w:rPr>
              <w:t>619,618</w:t>
            </w:r>
          </w:p>
        </w:tc>
        <w:tc>
          <w:tcPr>
            <w:tcW w:w="980" w:type="dxa"/>
            <w:tcBorders>
              <w:top w:val="nil"/>
              <w:left w:val="single" w:sz="4" w:space="0" w:color="auto"/>
              <w:bottom w:val="nil"/>
              <w:right w:val="single" w:sz="4" w:space="0" w:color="auto"/>
            </w:tcBorders>
            <w:shd w:val="clear" w:color="auto" w:fill="auto"/>
            <w:noWrap/>
            <w:vAlign w:val="bottom"/>
            <w:hideMark/>
          </w:tcPr>
          <w:p w14:paraId="7D3C2D22" w14:textId="77777777" w:rsidR="00454966" w:rsidRPr="00454966" w:rsidRDefault="00454966" w:rsidP="00454966">
            <w:pPr>
              <w:jc w:val="right"/>
              <w:rPr>
                <w:sz w:val="20"/>
              </w:rPr>
            </w:pPr>
            <w:r w:rsidRPr="00454966">
              <w:rPr>
                <w:sz w:val="20"/>
              </w:rPr>
              <w:t>320,039</w:t>
            </w:r>
          </w:p>
        </w:tc>
        <w:tc>
          <w:tcPr>
            <w:tcW w:w="980" w:type="dxa"/>
            <w:tcBorders>
              <w:top w:val="nil"/>
              <w:left w:val="nil"/>
              <w:bottom w:val="nil"/>
              <w:right w:val="nil"/>
            </w:tcBorders>
            <w:shd w:val="clear" w:color="auto" w:fill="auto"/>
            <w:noWrap/>
            <w:vAlign w:val="bottom"/>
            <w:hideMark/>
          </w:tcPr>
          <w:p w14:paraId="089C60EC" w14:textId="77777777" w:rsidR="00454966" w:rsidRPr="00454966" w:rsidRDefault="00454966" w:rsidP="00454966">
            <w:pPr>
              <w:jc w:val="right"/>
              <w:rPr>
                <w:sz w:val="20"/>
              </w:rPr>
            </w:pPr>
            <w:r w:rsidRPr="00454966">
              <w:rPr>
                <w:sz w:val="20"/>
              </w:rPr>
              <w:t>274,472</w:t>
            </w:r>
          </w:p>
        </w:tc>
        <w:tc>
          <w:tcPr>
            <w:tcW w:w="980" w:type="dxa"/>
            <w:tcBorders>
              <w:top w:val="nil"/>
              <w:left w:val="single" w:sz="4" w:space="0" w:color="auto"/>
              <w:bottom w:val="nil"/>
              <w:right w:val="single" w:sz="4" w:space="0" w:color="auto"/>
            </w:tcBorders>
            <w:shd w:val="clear" w:color="auto" w:fill="auto"/>
            <w:noWrap/>
            <w:vAlign w:val="bottom"/>
            <w:hideMark/>
          </w:tcPr>
          <w:p w14:paraId="723F030A" w14:textId="77777777" w:rsidR="00454966" w:rsidRPr="00454966" w:rsidRDefault="00454966" w:rsidP="00454966">
            <w:pPr>
              <w:jc w:val="right"/>
              <w:rPr>
                <w:sz w:val="20"/>
              </w:rPr>
            </w:pPr>
            <w:r w:rsidRPr="00454966">
              <w:rPr>
                <w:sz w:val="20"/>
              </w:rPr>
              <w:t>14,956</w:t>
            </w:r>
          </w:p>
        </w:tc>
        <w:tc>
          <w:tcPr>
            <w:tcW w:w="980" w:type="dxa"/>
            <w:tcBorders>
              <w:top w:val="nil"/>
              <w:left w:val="nil"/>
              <w:bottom w:val="nil"/>
              <w:right w:val="single" w:sz="4" w:space="0" w:color="auto"/>
            </w:tcBorders>
            <w:shd w:val="clear" w:color="auto" w:fill="auto"/>
            <w:noWrap/>
            <w:vAlign w:val="bottom"/>
            <w:hideMark/>
          </w:tcPr>
          <w:p w14:paraId="76649782" w14:textId="77777777" w:rsidR="00454966" w:rsidRPr="00454966" w:rsidRDefault="00454966" w:rsidP="00454966">
            <w:pPr>
              <w:jc w:val="right"/>
              <w:rPr>
                <w:sz w:val="20"/>
              </w:rPr>
            </w:pPr>
            <w:r w:rsidRPr="00454966">
              <w:rPr>
                <w:sz w:val="20"/>
              </w:rPr>
              <w:t>30,611</w:t>
            </w:r>
          </w:p>
        </w:tc>
        <w:tc>
          <w:tcPr>
            <w:tcW w:w="980" w:type="dxa"/>
            <w:tcBorders>
              <w:top w:val="nil"/>
              <w:left w:val="nil"/>
              <w:bottom w:val="nil"/>
              <w:right w:val="single" w:sz="4" w:space="0" w:color="auto"/>
            </w:tcBorders>
            <w:shd w:val="clear" w:color="auto" w:fill="auto"/>
            <w:noWrap/>
            <w:vAlign w:val="bottom"/>
            <w:hideMark/>
          </w:tcPr>
          <w:p w14:paraId="0C154041" w14:textId="77777777" w:rsidR="00454966" w:rsidRPr="00454966" w:rsidRDefault="00454966" w:rsidP="00454966">
            <w:pPr>
              <w:jc w:val="right"/>
              <w:rPr>
                <w:sz w:val="20"/>
              </w:rPr>
            </w:pPr>
            <w:r w:rsidRPr="00454966">
              <w:rPr>
                <w:sz w:val="20"/>
              </w:rPr>
              <w:t>299,579</w:t>
            </w:r>
          </w:p>
        </w:tc>
      </w:tr>
      <w:tr w:rsidR="00454966" w:rsidRPr="00454966" w14:paraId="563B0A9C"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340F0F7A"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40D1899F" w14:textId="77777777" w:rsidR="00454966" w:rsidRPr="00454966" w:rsidRDefault="00454966" w:rsidP="00454966">
            <w:pPr>
              <w:jc w:val="right"/>
              <w:rPr>
                <w:sz w:val="20"/>
              </w:rPr>
            </w:pPr>
            <w:r w:rsidRPr="00454966">
              <w:rPr>
                <w:sz w:val="20"/>
              </w:rPr>
              <w:t>3.68%</w:t>
            </w:r>
          </w:p>
        </w:tc>
        <w:tc>
          <w:tcPr>
            <w:tcW w:w="980" w:type="dxa"/>
            <w:tcBorders>
              <w:top w:val="nil"/>
              <w:left w:val="nil"/>
              <w:bottom w:val="nil"/>
              <w:right w:val="single" w:sz="4" w:space="0" w:color="auto"/>
            </w:tcBorders>
            <w:shd w:val="clear" w:color="auto" w:fill="auto"/>
            <w:noWrap/>
            <w:vAlign w:val="bottom"/>
            <w:hideMark/>
          </w:tcPr>
          <w:p w14:paraId="41996B7C" w14:textId="77777777" w:rsidR="00454966" w:rsidRPr="00454966" w:rsidRDefault="00454966" w:rsidP="00454966">
            <w:pPr>
              <w:jc w:val="right"/>
              <w:rPr>
                <w:sz w:val="20"/>
              </w:rPr>
            </w:pPr>
            <w:r w:rsidRPr="00454966">
              <w:rPr>
                <w:sz w:val="20"/>
              </w:rPr>
              <w:t>3.37%</w:t>
            </w:r>
          </w:p>
        </w:tc>
        <w:tc>
          <w:tcPr>
            <w:tcW w:w="980" w:type="dxa"/>
            <w:tcBorders>
              <w:top w:val="nil"/>
              <w:left w:val="nil"/>
              <w:bottom w:val="nil"/>
              <w:right w:val="single" w:sz="4" w:space="0" w:color="auto"/>
            </w:tcBorders>
            <w:shd w:val="clear" w:color="auto" w:fill="auto"/>
            <w:noWrap/>
            <w:vAlign w:val="bottom"/>
            <w:hideMark/>
          </w:tcPr>
          <w:p w14:paraId="35BD3BE7" w14:textId="77777777" w:rsidR="00454966" w:rsidRPr="00454966" w:rsidRDefault="00454966" w:rsidP="00454966">
            <w:pPr>
              <w:jc w:val="right"/>
              <w:rPr>
                <w:sz w:val="20"/>
              </w:rPr>
            </w:pPr>
            <w:r w:rsidRPr="00454966">
              <w:rPr>
                <w:sz w:val="20"/>
              </w:rPr>
              <w:t>3.41%</w:t>
            </w:r>
          </w:p>
        </w:tc>
        <w:tc>
          <w:tcPr>
            <w:tcW w:w="980" w:type="dxa"/>
            <w:tcBorders>
              <w:top w:val="nil"/>
              <w:left w:val="nil"/>
              <w:bottom w:val="nil"/>
              <w:right w:val="nil"/>
            </w:tcBorders>
            <w:shd w:val="clear" w:color="auto" w:fill="auto"/>
            <w:noWrap/>
            <w:vAlign w:val="bottom"/>
            <w:hideMark/>
          </w:tcPr>
          <w:p w14:paraId="37AFEE2D" w14:textId="77777777" w:rsidR="00454966" w:rsidRPr="00454966" w:rsidRDefault="00454966" w:rsidP="00454966">
            <w:pPr>
              <w:jc w:val="right"/>
              <w:rPr>
                <w:sz w:val="20"/>
              </w:rPr>
            </w:pPr>
            <w:r w:rsidRPr="00454966">
              <w:rPr>
                <w:sz w:val="20"/>
              </w:rPr>
              <w:t>3.41%</w:t>
            </w:r>
          </w:p>
        </w:tc>
        <w:tc>
          <w:tcPr>
            <w:tcW w:w="980" w:type="dxa"/>
            <w:tcBorders>
              <w:top w:val="nil"/>
              <w:left w:val="single" w:sz="4" w:space="0" w:color="auto"/>
              <w:bottom w:val="nil"/>
              <w:right w:val="single" w:sz="4" w:space="0" w:color="auto"/>
            </w:tcBorders>
            <w:shd w:val="clear" w:color="auto" w:fill="auto"/>
            <w:noWrap/>
            <w:vAlign w:val="bottom"/>
            <w:hideMark/>
          </w:tcPr>
          <w:p w14:paraId="73510558" w14:textId="77777777" w:rsidR="00454966" w:rsidRPr="00454966" w:rsidRDefault="00454966" w:rsidP="00454966">
            <w:pPr>
              <w:jc w:val="right"/>
              <w:rPr>
                <w:sz w:val="20"/>
              </w:rPr>
            </w:pPr>
            <w:r w:rsidRPr="00454966">
              <w:rPr>
                <w:sz w:val="20"/>
              </w:rPr>
              <w:t>3.41%</w:t>
            </w:r>
          </w:p>
        </w:tc>
        <w:tc>
          <w:tcPr>
            <w:tcW w:w="980" w:type="dxa"/>
            <w:tcBorders>
              <w:top w:val="nil"/>
              <w:left w:val="nil"/>
              <w:bottom w:val="nil"/>
              <w:right w:val="single" w:sz="4" w:space="0" w:color="auto"/>
            </w:tcBorders>
            <w:shd w:val="clear" w:color="auto" w:fill="auto"/>
            <w:noWrap/>
            <w:vAlign w:val="bottom"/>
            <w:hideMark/>
          </w:tcPr>
          <w:p w14:paraId="0646E860" w14:textId="77777777" w:rsidR="00454966" w:rsidRPr="00454966" w:rsidRDefault="00454966" w:rsidP="00454966">
            <w:pPr>
              <w:jc w:val="right"/>
              <w:rPr>
                <w:sz w:val="20"/>
              </w:rPr>
            </w:pPr>
            <w:r w:rsidRPr="00454966">
              <w:rPr>
                <w:sz w:val="20"/>
              </w:rPr>
              <w:t>3.41%</w:t>
            </w:r>
          </w:p>
        </w:tc>
        <w:tc>
          <w:tcPr>
            <w:tcW w:w="980" w:type="dxa"/>
            <w:tcBorders>
              <w:top w:val="nil"/>
              <w:left w:val="nil"/>
              <w:bottom w:val="nil"/>
              <w:right w:val="single" w:sz="4" w:space="0" w:color="auto"/>
            </w:tcBorders>
            <w:shd w:val="clear" w:color="auto" w:fill="auto"/>
            <w:noWrap/>
            <w:vAlign w:val="bottom"/>
            <w:hideMark/>
          </w:tcPr>
          <w:p w14:paraId="694D5176" w14:textId="77777777" w:rsidR="00454966" w:rsidRPr="00454966" w:rsidRDefault="00454966" w:rsidP="00454966">
            <w:pPr>
              <w:jc w:val="right"/>
              <w:rPr>
                <w:sz w:val="20"/>
              </w:rPr>
            </w:pPr>
            <w:r w:rsidRPr="00454966">
              <w:rPr>
                <w:sz w:val="20"/>
              </w:rPr>
              <w:t>3.32%</w:t>
            </w:r>
          </w:p>
        </w:tc>
      </w:tr>
      <w:tr w:rsidR="00454966" w:rsidRPr="00454966" w14:paraId="414F9B21"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3212EE58"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B4E807C" w14:textId="77777777" w:rsidR="00454966" w:rsidRPr="00454966" w:rsidRDefault="00454966" w:rsidP="00454966">
            <w:pPr>
              <w:jc w:val="right"/>
              <w:rPr>
                <w:sz w:val="20"/>
              </w:rPr>
            </w:pPr>
            <w:r w:rsidRPr="00454966">
              <w:rPr>
                <w:sz w:val="20"/>
              </w:rPr>
              <w:t>113,292</w:t>
            </w:r>
          </w:p>
        </w:tc>
        <w:tc>
          <w:tcPr>
            <w:tcW w:w="980" w:type="dxa"/>
            <w:tcBorders>
              <w:top w:val="nil"/>
              <w:left w:val="nil"/>
              <w:bottom w:val="single" w:sz="4" w:space="0" w:color="auto"/>
              <w:right w:val="single" w:sz="4" w:space="0" w:color="auto"/>
            </w:tcBorders>
            <w:shd w:val="clear" w:color="auto" w:fill="auto"/>
            <w:noWrap/>
            <w:vAlign w:val="bottom"/>
            <w:hideMark/>
          </w:tcPr>
          <w:p w14:paraId="2DA3D8B5" w14:textId="77777777" w:rsidR="00454966" w:rsidRPr="00454966" w:rsidRDefault="00454966" w:rsidP="00454966">
            <w:pPr>
              <w:jc w:val="right"/>
              <w:rPr>
                <w:sz w:val="20"/>
              </w:rPr>
            </w:pPr>
            <w:r w:rsidRPr="00454966">
              <w:rPr>
                <w:sz w:val="20"/>
              </w:rPr>
              <w:t>20,888</w:t>
            </w:r>
          </w:p>
        </w:tc>
        <w:tc>
          <w:tcPr>
            <w:tcW w:w="980" w:type="dxa"/>
            <w:tcBorders>
              <w:top w:val="nil"/>
              <w:left w:val="nil"/>
              <w:bottom w:val="single" w:sz="4" w:space="0" w:color="auto"/>
              <w:right w:val="single" w:sz="4" w:space="0" w:color="auto"/>
            </w:tcBorders>
            <w:shd w:val="clear" w:color="auto" w:fill="auto"/>
            <w:noWrap/>
            <w:vAlign w:val="bottom"/>
            <w:hideMark/>
          </w:tcPr>
          <w:p w14:paraId="01BD726C" w14:textId="77777777" w:rsidR="00454966" w:rsidRPr="00454966" w:rsidRDefault="00454966" w:rsidP="00454966">
            <w:pPr>
              <w:jc w:val="right"/>
              <w:rPr>
                <w:sz w:val="20"/>
              </w:rPr>
            </w:pPr>
            <w:r w:rsidRPr="00454966">
              <w:rPr>
                <w:sz w:val="20"/>
              </w:rPr>
              <w:t>10,922</w:t>
            </w:r>
          </w:p>
        </w:tc>
        <w:tc>
          <w:tcPr>
            <w:tcW w:w="980" w:type="dxa"/>
            <w:tcBorders>
              <w:top w:val="nil"/>
              <w:left w:val="nil"/>
              <w:bottom w:val="single" w:sz="4" w:space="0" w:color="auto"/>
              <w:right w:val="single" w:sz="4" w:space="0" w:color="auto"/>
            </w:tcBorders>
            <w:shd w:val="clear" w:color="auto" w:fill="auto"/>
            <w:noWrap/>
            <w:vAlign w:val="bottom"/>
            <w:hideMark/>
          </w:tcPr>
          <w:p w14:paraId="5BDB4477" w14:textId="77777777" w:rsidR="00454966" w:rsidRPr="00454966" w:rsidRDefault="00454966" w:rsidP="00454966">
            <w:pPr>
              <w:jc w:val="right"/>
              <w:rPr>
                <w:sz w:val="20"/>
              </w:rPr>
            </w:pPr>
            <w:r w:rsidRPr="00454966">
              <w:rPr>
                <w:sz w:val="20"/>
              </w:rPr>
              <w:t>9,367</w:t>
            </w:r>
          </w:p>
        </w:tc>
        <w:tc>
          <w:tcPr>
            <w:tcW w:w="980" w:type="dxa"/>
            <w:tcBorders>
              <w:top w:val="nil"/>
              <w:left w:val="nil"/>
              <w:bottom w:val="single" w:sz="4" w:space="0" w:color="auto"/>
              <w:right w:val="single" w:sz="4" w:space="0" w:color="auto"/>
            </w:tcBorders>
            <w:shd w:val="clear" w:color="auto" w:fill="auto"/>
            <w:noWrap/>
            <w:vAlign w:val="bottom"/>
            <w:hideMark/>
          </w:tcPr>
          <w:p w14:paraId="05DE8205" w14:textId="77777777" w:rsidR="00454966" w:rsidRPr="00454966" w:rsidRDefault="00454966" w:rsidP="00454966">
            <w:pPr>
              <w:jc w:val="right"/>
              <w:rPr>
                <w:sz w:val="20"/>
              </w:rPr>
            </w:pPr>
            <w:r w:rsidRPr="00454966">
              <w:rPr>
                <w:sz w:val="20"/>
              </w:rPr>
              <w:t>510</w:t>
            </w:r>
          </w:p>
        </w:tc>
        <w:tc>
          <w:tcPr>
            <w:tcW w:w="980" w:type="dxa"/>
            <w:tcBorders>
              <w:top w:val="nil"/>
              <w:left w:val="nil"/>
              <w:bottom w:val="single" w:sz="4" w:space="0" w:color="auto"/>
              <w:right w:val="single" w:sz="4" w:space="0" w:color="auto"/>
            </w:tcBorders>
            <w:shd w:val="clear" w:color="auto" w:fill="auto"/>
            <w:noWrap/>
            <w:vAlign w:val="bottom"/>
            <w:hideMark/>
          </w:tcPr>
          <w:p w14:paraId="442EBCCD" w14:textId="77777777" w:rsidR="00454966" w:rsidRPr="00454966" w:rsidRDefault="00454966" w:rsidP="00454966">
            <w:pPr>
              <w:jc w:val="right"/>
              <w:rPr>
                <w:sz w:val="20"/>
              </w:rPr>
            </w:pPr>
            <w:r w:rsidRPr="00454966">
              <w:rPr>
                <w:sz w:val="20"/>
              </w:rPr>
              <w:t>1,045</w:t>
            </w:r>
          </w:p>
        </w:tc>
        <w:tc>
          <w:tcPr>
            <w:tcW w:w="980" w:type="dxa"/>
            <w:tcBorders>
              <w:top w:val="nil"/>
              <w:left w:val="nil"/>
              <w:bottom w:val="single" w:sz="4" w:space="0" w:color="auto"/>
              <w:right w:val="single" w:sz="4" w:space="0" w:color="auto"/>
            </w:tcBorders>
            <w:shd w:val="clear" w:color="auto" w:fill="auto"/>
            <w:noWrap/>
            <w:vAlign w:val="bottom"/>
            <w:hideMark/>
          </w:tcPr>
          <w:p w14:paraId="500DED26" w14:textId="77777777" w:rsidR="00454966" w:rsidRPr="00454966" w:rsidRDefault="00454966" w:rsidP="00454966">
            <w:pPr>
              <w:jc w:val="right"/>
              <w:rPr>
                <w:sz w:val="20"/>
              </w:rPr>
            </w:pPr>
            <w:r w:rsidRPr="00454966">
              <w:rPr>
                <w:sz w:val="20"/>
              </w:rPr>
              <w:t>9,960</w:t>
            </w:r>
          </w:p>
        </w:tc>
      </w:tr>
      <w:tr w:rsidR="00454966" w:rsidRPr="00454966" w14:paraId="5D9040DD"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5FF100A" w14:textId="77777777" w:rsidR="00454966" w:rsidRPr="00454966" w:rsidRDefault="00454966" w:rsidP="00454966">
            <w:pPr>
              <w:rPr>
                <w:sz w:val="20"/>
              </w:rPr>
            </w:pPr>
            <w:r w:rsidRPr="00454966">
              <w:rPr>
                <w:sz w:val="20"/>
              </w:rPr>
              <w:t xml:space="preserve">All Adults 18+ </w:t>
            </w:r>
          </w:p>
        </w:tc>
        <w:tc>
          <w:tcPr>
            <w:tcW w:w="1140" w:type="dxa"/>
            <w:tcBorders>
              <w:top w:val="nil"/>
              <w:left w:val="single" w:sz="4" w:space="0" w:color="auto"/>
              <w:bottom w:val="nil"/>
              <w:right w:val="single" w:sz="4" w:space="0" w:color="auto"/>
            </w:tcBorders>
            <w:shd w:val="clear" w:color="auto" w:fill="auto"/>
            <w:noWrap/>
            <w:vAlign w:val="bottom"/>
            <w:hideMark/>
          </w:tcPr>
          <w:p w14:paraId="45171B4F"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227F9113"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12ED448C" w14:textId="77777777" w:rsidR="00454966" w:rsidRPr="00454966" w:rsidRDefault="00454966" w:rsidP="00454966">
            <w:pPr>
              <w:rPr>
                <w:sz w:val="20"/>
              </w:rPr>
            </w:pPr>
            <w:r w:rsidRPr="00454966">
              <w:rPr>
                <w:sz w:val="20"/>
              </w:rPr>
              <w:t> </w:t>
            </w:r>
          </w:p>
        </w:tc>
        <w:tc>
          <w:tcPr>
            <w:tcW w:w="980" w:type="dxa"/>
            <w:tcBorders>
              <w:top w:val="nil"/>
              <w:left w:val="nil"/>
              <w:bottom w:val="nil"/>
              <w:right w:val="nil"/>
            </w:tcBorders>
            <w:shd w:val="clear" w:color="auto" w:fill="auto"/>
            <w:noWrap/>
            <w:vAlign w:val="bottom"/>
            <w:hideMark/>
          </w:tcPr>
          <w:p w14:paraId="336B5CA4" w14:textId="77777777" w:rsidR="00454966" w:rsidRPr="00454966" w:rsidRDefault="00454966" w:rsidP="00454966">
            <w:pPr>
              <w:rPr>
                <w:sz w:val="20"/>
              </w:rPr>
            </w:pPr>
          </w:p>
        </w:tc>
        <w:tc>
          <w:tcPr>
            <w:tcW w:w="980" w:type="dxa"/>
            <w:tcBorders>
              <w:top w:val="nil"/>
              <w:left w:val="single" w:sz="4" w:space="0" w:color="auto"/>
              <w:bottom w:val="nil"/>
              <w:right w:val="single" w:sz="4" w:space="0" w:color="auto"/>
            </w:tcBorders>
            <w:shd w:val="clear" w:color="auto" w:fill="auto"/>
            <w:noWrap/>
            <w:vAlign w:val="bottom"/>
            <w:hideMark/>
          </w:tcPr>
          <w:p w14:paraId="38CDD8BE"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4C00D0B5" w14:textId="77777777" w:rsidR="00454966" w:rsidRPr="00454966" w:rsidRDefault="00454966" w:rsidP="00454966">
            <w:pPr>
              <w:rPr>
                <w:sz w:val="20"/>
              </w:rPr>
            </w:pPr>
            <w:r w:rsidRPr="00454966">
              <w:rPr>
                <w:sz w:val="20"/>
              </w:rPr>
              <w:t> </w:t>
            </w:r>
          </w:p>
        </w:tc>
        <w:tc>
          <w:tcPr>
            <w:tcW w:w="980" w:type="dxa"/>
            <w:tcBorders>
              <w:top w:val="nil"/>
              <w:left w:val="nil"/>
              <w:bottom w:val="nil"/>
              <w:right w:val="single" w:sz="4" w:space="0" w:color="auto"/>
            </w:tcBorders>
            <w:shd w:val="clear" w:color="auto" w:fill="auto"/>
            <w:noWrap/>
            <w:vAlign w:val="bottom"/>
            <w:hideMark/>
          </w:tcPr>
          <w:p w14:paraId="565387DE" w14:textId="77777777" w:rsidR="00454966" w:rsidRPr="00454966" w:rsidRDefault="00454966" w:rsidP="00454966">
            <w:pPr>
              <w:rPr>
                <w:sz w:val="20"/>
              </w:rPr>
            </w:pPr>
            <w:r w:rsidRPr="00454966">
              <w:rPr>
                <w:sz w:val="20"/>
              </w:rPr>
              <w:t> </w:t>
            </w:r>
          </w:p>
        </w:tc>
      </w:tr>
      <w:tr w:rsidR="00454966" w:rsidRPr="00454966" w14:paraId="6C3E2630"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021549BD" w14:textId="77777777" w:rsidR="00454966" w:rsidRPr="00454966" w:rsidRDefault="00454966" w:rsidP="00454966">
            <w:pPr>
              <w:rPr>
                <w:sz w:val="20"/>
              </w:rPr>
            </w:pPr>
            <w:r w:rsidRPr="00454966">
              <w:rPr>
                <w:sz w:val="20"/>
              </w:rPr>
              <w:t xml:space="preserve">    Population</w:t>
            </w:r>
          </w:p>
        </w:tc>
        <w:tc>
          <w:tcPr>
            <w:tcW w:w="1140" w:type="dxa"/>
            <w:tcBorders>
              <w:top w:val="nil"/>
              <w:left w:val="single" w:sz="4" w:space="0" w:color="auto"/>
              <w:bottom w:val="nil"/>
              <w:right w:val="single" w:sz="4" w:space="0" w:color="auto"/>
            </w:tcBorders>
            <w:shd w:val="clear" w:color="auto" w:fill="auto"/>
            <w:noWrap/>
            <w:vAlign w:val="bottom"/>
            <w:hideMark/>
          </w:tcPr>
          <w:p w14:paraId="05BA76E9" w14:textId="77777777" w:rsidR="00454966" w:rsidRPr="00454966" w:rsidRDefault="00454966" w:rsidP="00454966">
            <w:pPr>
              <w:jc w:val="right"/>
              <w:rPr>
                <w:sz w:val="20"/>
              </w:rPr>
            </w:pPr>
            <w:r w:rsidRPr="00454966">
              <w:rPr>
                <w:sz w:val="20"/>
              </w:rPr>
              <w:t>3,561,164</w:t>
            </w:r>
          </w:p>
        </w:tc>
        <w:tc>
          <w:tcPr>
            <w:tcW w:w="980" w:type="dxa"/>
            <w:tcBorders>
              <w:top w:val="nil"/>
              <w:left w:val="nil"/>
              <w:bottom w:val="nil"/>
              <w:right w:val="nil"/>
            </w:tcBorders>
            <w:shd w:val="clear" w:color="auto" w:fill="auto"/>
            <w:noWrap/>
            <w:vAlign w:val="bottom"/>
            <w:hideMark/>
          </w:tcPr>
          <w:p w14:paraId="5D70724E" w14:textId="77777777" w:rsidR="00454966" w:rsidRPr="00454966" w:rsidRDefault="00454966" w:rsidP="00454966">
            <w:pPr>
              <w:jc w:val="right"/>
              <w:rPr>
                <w:sz w:val="20"/>
              </w:rPr>
            </w:pPr>
            <w:r w:rsidRPr="00454966">
              <w:rPr>
                <w:sz w:val="20"/>
              </w:rPr>
              <w:t>702,025</w:t>
            </w:r>
          </w:p>
        </w:tc>
        <w:tc>
          <w:tcPr>
            <w:tcW w:w="980" w:type="dxa"/>
            <w:tcBorders>
              <w:top w:val="nil"/>
              <w:left w:val="single" w:sz="4" w:space="0" w:color="auto"/>
              <w:bottom w:val="nil"/>
              <w:right w:val="single" w:sz="4" w:space="0" w:color="auto"/>
            </w:tcBorders>
            <w:shd w:val="clear" w:color="auto" w:fill="auto"/>
            <w:noWrap/>
            <w:vAlign w:val="bottom"/>
            <w:hideMark/>
          </w:tcPr>
          <w:p w14:paraId="3DDE0ADF" w14:textId="77777777" w:rsidR="00454966" w:rsidRPr="00454966" w:rsidRDefault="00454966" w:rsidP="00454966">
            <w:pPr>
              <w:jc w:val="right"/>
              <w:rPr>
                <w:sz w:val="20"/>
              </w:rPr>
            </w:pPr>
            <w:r w:rsidRPr="00454966">
              <w:rPr>
                <w:sz w:val="20"/>
              </w:rPr>
              <w:t>364,829</w:t>
            </w:r>
          </w:p>
        </w:tc>
        <w:tc>
          <w:tcPr>
            <w:tcW w:w="980" w:type="dxa"/>
            <w:tcBorders>
              <w:top w:val="nil"/>
              <w:left w:val="nil"/>
              <w:bottom w:val="nil"/>
              <w:right w:val="nil"/>
            </w:tcBorders>
            <w:shd w:val="clear" w:color="auto" w:fill="auto"/>
            <w:noWrap/>
            <w:vAlign w:val="bottom"/>
            <w:hideMark/>
          </w:tcPr>
          <w:p w14:paraId="0A53D0D3" w14:textId="77777777" w:rsidR="00454966" w:rsidRPr="00454966" w:rsidRDefault="00454966" w:rsidP="00454966">
            <w:pPr>
              <w:jc w:val="right"/>
              <w:rPr>
                <w:sz w:val="20"/>
              </w:rPr>
            </w:pPr>
            <w:r w:rsidRPr="00454966">
              <w:rPr>
                <w:sz w:val="20"/>
              </w:rPr>
              <w:t>312,864</w:t>
            </w:r>
          </w:p>
        </w:tc>
        <w:tc>
          <w:tcPr>
            <w:tcW w:w="980" w:type="dxa"/>
            <w:tcBorders>
              <w:top w:val="nil"/>
              <w:left w:val="single" w:sz="4" w:space="0" w:color="auto"/>
              <w:bottom w:val="nil"/>
              <w:right w:val="single" w:sz="4" w:space="0" w:color="auto"/>
            </w:tcBorders>
            <w:shd w:val="clear" w:color="auto" w:fill="auto"/>
            <w:noWrap/>
            <w:vAlign w:val="bottom"/>
            <w:hideMark/>
          </w:tcPr>
          <w:p w14:paraId="4C7EF0E3" w14:textId="77777777" w:rsidR="00454966" w:rsidRPr="00454966" w:rsidRDefault="00454966" w:rsidP="00454966">
            <w:pPr>
              <w:jc w:val="right"/>
              <w:rPr>
                <w:sz w:val="20"/>
              </w:rPr>
            </w:pPr>
            <w:r w:rsidRPr="00454966">
              <w:rPr>
                <w:sz w:val="20"/>
              </w:rPr>
              <w:t>17,221</w:t>
            </w:r>
          </w:p>
        </w:tc>
        <w:tc>
          <w:tcPr>
            <w:tcW w:w="980" w:type="dxa"/>
            <w:tcBorders>
              <w:top w:val="nil"/>
              <w:left w:val="nil"/>
              <w:bottom w:val="nil"/>
              <w:right w:val="single" w:sz="4" w:space="0" w:color="auto"/>
            </w:tcBorders>
            <w:shd w:val="clear" w:color="auto" w:fill="auto"/>
            <w:noWrap/>
            <w:vAlign w:val="bottom"/>
            <w:hideMark/>
          </w:tcPr>
          <w:p w14:paraId="3CEC242F" w14:textId="77777777" w:rsidR="00454966" w:rsidRPr="00454966" w:rsidRDefault="00454966" w:rsidP="00454966">
            <w:pPr>
              <w:jc w:val="right"/>
              <w:rPr>
                <w:sz w:val="20"/>
              </w:rPr>
            </w:pPr>
            <w:r w:rsidRPr="00454966">
              <w:rPr>
                <w:sz w:val="20"/>
              </w:rPr>
              <w:t>34,744</w:t>
            </w:r>
          </w:p>
        </w:tc>
        <w:tc>
          <w:tcPr>
            <w:tcW w:w="980" w:type="dxa"/>
            <w:tcBorders>
              <w:top w:val="nil"/>
              <w:left w:val="nil"/>
              <w:bottom w:val="nil"/>
              <w:right w:val="single" w:sz="4" w:space="0" w:color="auto"/>
            </w:tcBorders>
            <w:shd w:val="clear" w:color="auto" w:fill="auto"/>
            <w:noWrap/>
            <w:vAlign w:val="bottom"/>
            <w:hideMark/>
          </w:tcPr>
          <w:p w14:paraId="4A34F23F" w14:textId="77777777" w:rsidR="00454966" w:rsidRPr="00454966" w:rsidRDefault="00454966" w:rsidP="00454966">
            <w:pPr>
              <w:jc w:val="right"/>
              <w:rPr>
                <w:sz w:val="20"/>
              </w:rPr>
            </w:pPr>
            <w:r w:rsidRPr="00454966">
              <w:rPr>
                <w:sz w:val="20"/>
              </w:rPr>
              <w:t>337,196</w:t>
            </w:r>
          </w:p>
        </w:tc>
      </w:tr>
      <w:tr w:rsidR="00454966" w:rsidRPr="00454966" w14:paraId="72FFF928" w14:textId="77777777" w:rsidTr="00454966">
        <w:trPr>
          <w:trHeight w:val="255"/>
        </w:trPr>
        <w:tc>
          <w:tcPr>
            <w:tcW w:w="1960" w:type="dxa"/>
            <w:tcBorders>
              <w:top w:val="nil"/>
              <w:left w:val="single" w:sz="4" w:space="0" w:color="auto"/>
              <w:bottom w:val="nil"/>
              <w:right w:val="nil"/>
            </w:tcBorders>
            <w:shd w:val="clear" w:color="auto" w:fill="auto"/>
            <w:noWrap/>
            <w:vAlign w:val="bottom"/>
            <w:hideMark/>
          </w:tcPr>
          <w:p w14:paraId="274BEE55" w14:textId="77777777" w:rsidR="00454966" w:rsidRPr="00454966" w:rsidRDefault="00454966" w:rsidP="00454966">
            <w:pPr>
              <w:rPr>
                <w:sz w:val="20"/>
              </w:rPr>
            </w:pPr>
            <w:r w:rsidRPr="00454966">
              <w:rPr>
                <w:sz w:val="20"/>
              </w:rPr>
              <w:t xml:space="preserve">    Rate (%)</w:t>
            </w:r>
          </w:p>
        </w:tc>
        <w:tc>
          <w:tcPr>
            <w:tcW w:w="1140" w:type="dxa"/>
            <w:tcBorders>
              <w:top w:val="nil"/>
              <w:left w:val="single" w:sz="4" w:space="0" w:color="auto"/>
              <w:bottom w:val="nil"/>
              <w:right w:val="single" w:sz="4" w:space="0" w:color="auto"/>
            </w:tcBorders>
            <w:shd w:val="clear" w:color="auto" w:fill="auto"/>
            <w:noWrap/>
            <w:vAlign w:val="bottom"/>
            <w:hideMark/>
          </w:tcPr>
          <w:p w14:paraId="27030620" w14:textId="77777777" w:rsidR="00454966" w:rsidRPr="00454966" w:rsidRDefault="00454966" w:rsidP="00454966">
            <w:pPr>
              <w:jc w:val="right"/>
              <w:rPr>
                <w:sz w:val="20"/>
              </w:rPr>
            </w:pPr>
            <w:r w:rsidRPr="00454966">
              <w:rPr>
                <w:sz w:val="20"/>
              </w:rPr>
              <w:t>4.42%</w:t>
            </w:r>
          </w:p>
        </w:tc>
        <w:tc>
          <w:tcPr>
            <w:tcW w:w="980" w:type="dxa"/>
            <w:tcBorders>
              <w:top w:val="nil"/>
              <w:left w:val="nil"/>
              <w:bottom w:val="nil"/>
              <w:right w:val="single" w:sz="4" w:space="0" w:color="auto"/>
            </w:tcBorders>
            <w:shd w:val="clear" w:color="auto" w:fill="auto"/>
            <w:noWrap/>
            <w:vAlign w:val="bottom"/>
            <w:hideMark/>
          </w:tcPr>
          <w:p w14:paraId="3A0ECBE6" w14:textId="77777777" w:rsidR="00454966" w:rsidRPr="00454966" w:rsidRDefault="00454966" w:rsidP="00454966">
            <w:pPr>
              <w:jc w:val="right"/>
              <w:rPr>
                <w:sz w:val="20"/>
              </w:rPr>
            </w:pPr>
            <w:r w:rsidRPr="00454966">
              <w:rPr>
                <w:sz w:val="20"/>
              </w:rPr>
              <w:t>4.13%</w:t>
            </w:r>
          </w:p>
        </w:tc>
        <w:tc>
          <w:tcPr>
            <w:tcW w:w="980" w:type="dxa"/>
            <w:tcBorders>
              <w:top w:val="nil"/>
              <w:left w:val="nil"/>
              <w:bottom w:val="nil"/>
              <w:right w:val="single" w:sz="4" w:space="0" w:color="auto"/>
            </w:tcBorders>
            <w:shd w:val="clear" w:color="auto" w:fill="auto"/>
            <w:noWrap/>
            <w:vAlign w:val="bottom"/>
            <w:hideMark/>
          </w:tcPr>
          <w:p w14:paraId="64B0FAF6" w14:textId="77777777" w:rsidR="00454966" w:rsidRPr="00454966" w:rsidRDefault="00454966" w:rsidP="00454966">
            <w:pPr>
              <w:jc w:val="right"/>
              <w:rPr>
                <w:sz w:val="20"/>
              </w:rPr>
            </w:pPr>
            <w:r w:rsidRPr="00454966">
              <w:rPr>
                <w:sz w:val="20"/>
              </w:rPr>
              <w:t>4.25%</w:t>
            </w:r>
          </w:p>
        </w:tc>
        <w:tc>
          <w:tcPr>
            <w:tcW w:w="980" w:type="dxa"/>
            <w:tcBorders>
              <w:top w:val="nil"/>
              <w:left w:val="nil"/>
              <w:bottom w:val="nil"/>
              <w:right w:val="nil"/>
            </w:tcBorders>
            <w:shd w:val="clear" w:color="auto" w:fill="auto"/>
            <w:noWrap/>
            <w:vAlign w:val="bottom"/>
            <w:hideMark/>
          </w:tcPr>
          <w:p w14:paraId="7498A959" w14:textId="77777777" w:rsidR="00454966" w:rsidRPr="00454966" w:rsidRDefault="00454966" w:rsidP="00454966">
            <w:pPr>
              <w:jc w:val="right"/>
              <w:rPr>
                <w:sz w:val="20"/>
              </w:rPr>
            </w:pPr>
            <w:r w:rsidRPr="00454966">
              <w:rPr>
                <w:sz w:val="20"/>
              </w:rPr>
              <w:t>4.25%</w:t>
            </w:r>
          </w:p>
        </w:tc>
        <w:tc>
          <w:tcPr>
            <w:tcW w:w="980" w:type="dxa"/>
            <w:tcBorders>
              <w:top w:val="nil"/>
              <w:left w:val="single" w:sz="4" w:space="0" w:color="auto"/>
              <w:bottom w:val="nil"/>
              <w:right w:val="single" w:sz="4" w:space="0" w:color="auto"/>
            </w:tcBorders>
            <w:shd w:val="clear" w:color="auto" w:fill="auto"/>
            <w:noWrap/>
            <w:vAlign w:val="bottom"/>
            <w:hideMark/>
          </w:tcPr>
          <w:p w14:paraId="1FA5B072" w14:textId="77777777" w:rsidR="00454966" w:rsidRPr="00454966" w:rsidRDefault="00454966" w:rsidP="00454966">
            <w:pPr>
              <w:jc w:val="right"/>
              <w:rPr>
                <w:sz w:val="20"/>
              </w:rPr>
            </w:pPr>
            <w:r w:rsidRPr="00454966">
              <w:rPr>
                <w:sz w:val="20"/>
              </w:rPr>
              <w:t>4.25%</w:t>
            </w:r>
          </w:p>
        </w:tc>
        <w:tc>
          <w:tcPr>
            <w:tcW w:w="980" w:type="dxa"/>
            <w:tcBorders>
              <w:top w:val="nil"/>
              <w:left w:val="nil"/>
              <w:bottom w:val="nil"/>
              <w:right w:val="single" w:sz="4" w:space="0" w:color="auto"/>
            </w:tcBorders>
            <w:shd w:val="clear" w:color="auto" w:fill="auto"/>
            <w:noWrap/>
            <w:vAlign w:val="bottom"/>
            <w:hideMark/>
          </w:tcPr>
          <w:p w14:paraId="326EDBA8" w14:textId="77777777" w:rsidR="00454966" w:rsidRPr="00454966" w:rsidRDefault="00454966" w:rsidP="00454966">
            <w:pPr>
              <w:jc w:val="right"/>
              <w:rPr>
                <w:sz w:val="20"/>
              </w:rPr>
            </w:pPr>
            <w:r w:rsidRPr="00454966">
              <w:rPr>
                <w:sz w:val="20"/>
              </w:rPr>
              <w:t>4.25%</w:t>
            </w:r>
          </w:p>
        </w:tc>
        <w:tc>
          <w:tcPr>
            <w:tcW w:w="980" w:type="dxa"/>
            <w:tcBorders>
              <w:top w:val="nil"/>
              <w:left w:val="nil"/>
              <w:bottom w:val="nil"/>
              <w:right w:val="single" w:sz="4" w:space="0" w:color="auto"/>
            </w:tcBorders>
            <w:shd w:val="clear" w:color="auto" w:fill="auto"/>
            <w:noWrap/>
            <w:vAlign w:val="bottom"/>
            <w:hideMark/>
          </w:tcPr>
          <w:p w14:paraId="61ED987E" w14:textId="77777777" w:rsidR="00454966" w:rsidRPr="00454966" w:rsidRDefault="00454966" w:rsidP="00454966">
            <w:pPr>
              <w:jc w:val="right"/>
              <w:rPr>
                <w:sz w:val="20"/>
              </w:rPr>
            </w:pPr>
            <w:r w:rsidRPr="00454966">
              <w:rPr>
                <w:sz w:val="20"/>
              </w:rPr>
              <w:t>3.98%</w:t>
            </w:r>
          </w:p>
        </w:tc>
      </w:tr>
      <w:tr w:rsidR="00454966" w:rsidRPr="00454966" w14:paraId="4DC59B97" w14:textId="77777777" w:rsidTr="00454966">
        <w:trPr>
          <w:trHeight w:val="255"/>
        </w:trPr>
        <w:tc>
          <w:tcPr>
            <w:tcW w:w="1960" w:type="dxa"/>
            <w:tcBorders>
              <w:top w:val="nil"/>
              <w:left w:val="single" w:sz="4" w:space="0" w:color="auto"/>
              <w:bottom w:val="single" w:sz="4" w:space="0" w:color="auto"/>
              <w:right w:val="nil"/>
            </w:tcBorders>
            <w:shd w:val="clear" w:color="auto" w:fill="auto"/>
            <w:noWrap/>
            <w:vAlign w:val="bottom"/>
            <w:hideMark/>
          </w:tcPr>
          <w:p w14:paraId="61065623" w14:textId="77777777" w:rsidR="00454966" w:rsidRPr="00454966" w:rsidRDefault="00454966" w:rsidP="00454966">
            <w:pPr>
              <w:rPr>
                <w:sz w:val="20"/>
              </w:rPr>
            </w:pPr>
            <w:r w:rsidRPr="00454966">
              <w:rPr>
                <w:sz w:val="20"/>
              </w:rPr>
              <w:t xml:space="preserve">    Number Prevalent</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B23580D" w14:textId="77777777" w:rsidR="00454966" w:rsidRPr="00454966" w:rsidRDefault="00454966" w:rsidP="00454966">
            <w:pPr>
              <w:jc w:val="right"/>
              <w:rPr>
                <w:sz w:val="20"/>
              </w:rPr>
            </w:pPr>
            <w:r w:rsidRPr="00454966">
              <w:rPr>
                <w:sz w:val="20"/>
              </w:rPr>
              <w:t>157,451</w:t>
            </w:r>
          </w:p>
        </w:tc>
        <w:tc>
          <w:tcPr>
            <w:tcW w:w="980" w:type="dxa"/>
            <w:tcBorders>
              <w:top w:val="nil"/>
              <w:left w:val="nil"/>
              <w:bottom w:val="single" w:sz="4" w:space="0" w:color="auto"/>
              <w:right w:val="single" w:sz="4" w:space="0" w:color="auto"/>
            </w:tcBorders>
            <w:shd w:val="clear" w:color="auto" w:fill="auto"/>
            <w:noWrap/>
            <w:vAlign w:val="bottom"/>
            <w:hideMark/>
          </w:tcPr>
          <w:p w14:paraId="25F5D4AC" w14:textId="77777777" w:rsidR="00454966" w:rsidRPr="00454966" w:rsidRDefault="00454966" w:rsidP="00454966">
            <w:pPr>
              <w:jc w:val="right"/>
              <w:rPr>
                <w:sz w:val="20"/>
              </w:rPr>
            </w:pPr>
            <w:r w:rsidRPr="00454966">
              <w:rPr>
                <w:sz w:val="20"/>
              </w:rPr>
              <w:t>28,960</w:t>
            </w:r>
          </w:p>
        </w:tc>
        <w:tc>
          <w:tcPr>
            <w:tcW w:w="980" w:type="dxa"/>
            <w:tcBorders>
              <w:top w:val="nil"/>
              <w:left w:val="nil"/>
              <w:bottom w:val="single" w:sz="4" w:space="0" w:color="auto"/>
              <w:right w:val="single" w:sz="4" w:space="0" w:color="auto"/>
            </w:tcBorders>
            <w:shd w:val="clear" w:color="auto" w:fill="auto"/>
            <w:noWrap/>
            <w:vAlign w:val="bottom"/>
            <w:hideMark/>
          </w:tcPr>
          <w:p w14:paraId="62EC9E2D" w14:textId="77777777" w:rsidR="00454966" w:rsidRPr="00454966" w:rsidRDefault="00454966" w:rsidP="00454966">
            <w:pPr>
              <w:jc w:val="right"/>
              <w:rPr>
                <w:sz w:val="20"/>
              </w:rPr>
            </w:pPr>
            <w:r w:rsidRPr="00454966">
              <w:rPr>
                <w:sz w:val="20"/>
              </w:rPr>
              <w:t>15,509</w:t>
            </w:r>
          </w:p>
        </w:tc>
        <w:tc>
          <w:tcPr>
            <w:tcW w:w="980" w:type="dxa"/>
            <w:tcBorders>
              <w:top w:val="nil"/>
              <w:left w:val="nil"/>
              <w:bottom w:val="single" w:sz="4" w:space="0" w:color="auto"/>
              <w:right w:val="single" w:sz="4" w:space="0" w:color="auto"/>
            </w:tcBorders>
            <w:shd w:val="clear" w:color="auto" w:fill="auto"/>
            <w:noWrap/>
            <w:vAlign w:val="bottom"/>
            <w:hideMark/>
          </w:tcPr>
          <w:p w14:paraId="2A7D206E" w14:textId="77777777" w:rsidR="00454966" w:rsidRPr="00454966" w:rsidRDefault="00454966" w:rsidP="00454966">
            <w:pPr>
              <w:jc w:val="right"/>
              <w:rPr>
                <w:sz w:val="20"/>
              </w:rPr>
            </w:pPr>
            <w:r w:rsidRPr="00454966">
              <w:rPr>
                <w:sz w:val="20"/>
              </w:rPr>
              <w:t>13,300</w:t>
            </w:r>
          </w:p>
        </w:tc>
        <w:tc>
          <w:tcPr>
            <w:tcW w:w="980" w:type="dxa"/>
            <w:tcBorders>
              <w:top w:val="nil"/>
              <w:left w:val="nil"/>
              <w:bottom w:val="single" w:sz="4" w:space="0" w:color="auto"/>
              <w:right w:val="single" w:sz="4" w:space="0" w:color="auto"/>
            </w:tcBorders>
            <w:shd w:val="clear" w:color="auto" w:fill="auto"/>
            <w:noWrap/>
            <w:vAlign w:val="bottom"/>
            <w:hideMark/>
          </w:tcPr>
          <w:p w14:paraId="1D51EE03" w14:textId="77777777" w:rsidR="00454966" w:rsidRPr="00454966" w:rsidRDefault="00454966" w:rsidP="00454966">
            <w:pPr>
              <w:jc w:val="right"/>
              <w:rPr>
                <w:sz w:val="20"/>
              </w:rPr>
            </w:pPr>
            <w:r w:rsidRPr="00454966">
              <w:rPr>
                <w:sz w:val="20"/>
              </w:rPr>
              <w:t>732</w:t>
            </w:r>
          </w:p>
        </w:tc>
        <w:tc>
          <w:tcPr>
            <w:tcW w:w="980" w:type="dxa"/>
            <w:tcBorders>
              <w:top w:val="nil"/>
              <w:left w:val="nil"/>
              <w:bottom w:val="single" w:sz="4" w:space="0" w:color="auto"/>
              <w:right w:val="single" w:sz="4" w:space="0" w:color="auto"/>
            </w:tcBorders>
            <w:shd w:val="clear" w:color="auto" w:fill="auto"/>
            <w:noWrap/>
            <w:vAlign w:val="bottom"/>
            <w:hideMark/>
          </w:tcPr>
          <w:p w14:paraId="6B249898" w14:textId="77777777" w:rsidR="00454966" w:rsidRPr="00454966" w:rsidRDefault="00454966" w:rsidP="00454966">
            <w:pPr>
              <w:jc w:val="right"/>
              <w:rPr>
                <w:sz w:val="20"/>
              </w:rPr>
            </w:pPr>
            <w:r w:rsidRPr="00454966">
              <w:rPr>
                <w:sz w:val="20"/>
              </w:rPr>
              <w:t>1,477</w:t>
            </w:r>
          </w:p>
        </w:tc>
        <w:tc>
          <w:tcPr>
            <w:tcW w:w="980" w:type="dxa"/>
            <w:tcBorders>
              <w:top w:val="nil"/>
              <w:left w:val="nil"/>
              <w:bottom w:val="single" w:sz="4" w:space="0" w:color="auto"/>
              <w:right w:val="single" w:sz="4" w:space="0" w:color="auto"/>
            </w:tcBorders>
            <w:shd w:val="clear" w:color="auto" w:fill="auto"/>
            <w:noWrap/>
            <w:vAlign w:val="bottom"/>
            <w:hideMark/>
          </w:tcPr>
          <w:p w14:paraId="75FEDF33" w14:textId="77777777" w:rsidR="00454966" w:rsidRPr="00454966" w:rsidRDefault="00454966" w:rsidP="00454966">
            <w:pPr>
              <w:jc w:val="right"/>
              <w:rPr>
                <w:sz w:val="20"/>
              </w:rPr>
            </w:pPr>
            <w:r w:rsidRPr="00454966">
              <w:rPr>
                <w:sz w:val="20"/>
              </w:rPr>
              <w:t>13,419</w:t>
            </w:r>
          </w:p>
        </w:tc>
      </w:tr>
      <w:tr w:rsidR="00454966" w:rsidRPr="00454966" w14:paraId="55D32B48" w14:textId="77777777" w:rsidTr="00AD6E0A">
        <w:trPr>
          <w:trHeight w:val="1205"/>
        </w:trPr>
        <w:tc>
          <w:tcPr>
            <w:tcW w:w="8980" w:type="dxa"/>
            <w:gridSpan w:val="8"/>
            <w:tcBorders>
              <w:top w:val="single" w:sz="4" w:space="0" w:color="auto"/>
              <w:left w:val="nil"/>
              <w:bottom w:val="nil"/>
              <w:right w:val="nil"/>
            </w:tcBorders>
            <w:shd w:val="clear" w:color="auto" w:fill="auto"/>
            <w:vAlign w:val="bottom"/>
            <w:hideMark/>
          </w:tcPr>
          <w:p w14:paraId="30430558" w14:textId="77777777" w:rsidR="00BF315B" w:rsidRDefault="00454966" w:rsidP="00BF315B">
            <w:pPr>
              <w:rPr>
                <w:sz w:val="18"/>
                <w:szCs w:val="18"/>
              </w:rPr>
            </w:pPr>
            <w:r w:rsidRPr="00454966">
              <w:rPr>
                <w:b/>
                <w:bCs/>
                <w:sz w:val="18"/>
                <w:szCs w:val="18"/>
              </w:rPr>
              <w:t xml:space="preserve">Notes: * </w:t>
            </w:r>
            <w:r w:rsidRPr="00454966">
              <w:rPr>
                <w:sz w:val="18"/>
                <w:szCs w:val="18"/>
              </w:rPr>
              <w:t>Prevalence rates are estimated by the National Survey of Drug Use and Health, 2016-2018. Parish population sizes are estimated by U.S. Census for July 1, 2019.</w:t>
            </w:r>
            <w:r w:rsidRPr="00454966">
              <w:rPr>
                <w:sz w:val="18"/>
                <w:szCs w:val="18"/>
              </w:rPr>
              <w:br/>
            </w:r>
            <w:proofErr w:type="spellStart"/>
            <w:r w:rsidRPr="00454966">
              <w:rPr>
                <w:sz w:val="18"/>
                <w:szCs w:val="18"/>
              </w:rPr>
              <w:t>n.a.</w:t>
            </w:r>
            <w:proofErr w:type="spellEnd"/>
            <w:r w:rsidRPr="00454966">
              <w:rPr>
                <w:sz w:val="18"/>
                <w:szCs w:val="18"/>
              </w:rPr>
              <w:t xml:space="preserve"> NSDUH does not estimate this indicator for adolescents.</w:t>
            </w:r>
          </w:p>
          <w:p w14:paraId="30EED7A2" w14:textId="46DB416F" w:rsidR="00454966" w:rsidRPr="00454966" w:rsidRDefault="00BF315B" w:rsidP="00BF315B">
            <w:pPr>
              <w:rPr>
                <w:sz w:val="18"/>
                <w:szCs w:val="18"/>
              </w:rPr>
            </w:pPr>
            <w:r w:rsidRPr="00BF315B">
              <w:rPr>
                <w:b/>
                <w:bCs/>
                <w:sz w:val="18"/>
                <w:szCs w:val="18"/>
              </w:rPr>
              <w:t>§</w:t>
            </w:r>
            <w:r>
              <w:rPr>
                <w:b/>
                <w:bCs/>
                <w:sz w:val="18"/>
                <w:szCs w:val="18"/>
              </w:rPr>
              <w:t xml:space="preserve"> </w:t>
            </w:r>
            <w:r w:rsidRPr="00BD1693">
              <w:rPr>
                <w:sz w:val="18"/>
                <w:szCs w:val="18"/>
              </w:rPr>
              <w:t xml:space="preserve">NSDUH has been shown to underestimate </w:t>
            </w:r>
            <w:r w:rsidR="00AD6E0A">
              <w:rPr>
                <w:sz w:val="18"/>
                <w:szCs w:val="18"/>
              </w:rPr>
              <w:t>various prevalence rates</w:t>
            </w:r>
            <w:r w:rsidRPr="00BD1693">
              <w:rPr>
                <w:sz w:val="18"/>
                <w:szCs w:val="18"/>
              </w:rPr>
              <w:t xml:space="preserve"> among adolescents (ages 12-17) relative to c</w:t>
            </w:r>
            <w:r w:rsidRPr="00A76111">
              <w:rPr>
                <w:sz w:val="18"/>
                <w:szCs w:val="18"/>
              </w:rPr>
              <w:t xml:space="preserve">omparable indicators from school surveys </w:t>
            </w:r>
            <w:r w:rsidRPr="00BD1693">
              <w:rPr>
                <w:sz w:val="18"/>
                <w:szCs w:val="18"/>
              </w:rPr>
              <w:t>which generally</w:t>
            </w:r>
            <w:r w:rsidRPr="00A76111">
              <w:rPr>
                <w:sz w:val="18"/>
                <w:szCs w:val="18"/>
              </w:rPr>
              <w:t xml:space="preserve"> provide substantially higher prevalence estimates.</w:t>
            </w:r>
          </w:p>
        </w:tc>
      </w:tr>
    </w:tbl>
    <w:p w14:paraId="4592999E" w14:textId="77777777" w:rsidR="00454966" w:rsidRDefault="00454966" w:rsidP="001549F4"/>
    <w:p w14:paraId="153E1541" w14:textId="4A426420" w:rsidR="00915194" w:rsidRDefault="00915194">
      <w:r w:rsidRPr="00621E68">
        <w:br w:type="page"/>
      </w:r>
    </w:p>
    <w:p w14:paraId="3CFD4CE7" w14:textId="6CBDBEF5" w:rsidR="009F258D" w:rsidRPr="009F258D" w:rsidRDefault="00CB5595" w:rsidP="00CB5595">
      <w:pPr>
        <w:jc w:val="center"/>
        <w:rPr>
          <w:b/>
          <w:bCs/>
        </w:rPr>
      </w:pPr>
      <w:r>
        <w:rPr>
          <w:b/>
          <w:bCs/>
        </w:rPr>
        <w:lastRenderedPageBreak/>
        <w:t>Appendix</w:t>
      </w:r>
      <w:r w:rsidR="00E34B09">
        <w:rPr>
          <w:b/>
          <w:bCs/>
        </w:rPr>
        <w:t xml:space="preserve"> A</w:t>
      </w:r>
      <w:r>
        <w:rPr>
          <w:b/>
          <w:bCs/>
        </w:rPr>
        <w:t xml:space="preserve">: </w:t>
      </w:r>
      <w:r w:rsidR="009F258D" w:rsidRPr="009F258D">
        <w:rPr>
          <w:b/>
          <w:bCs/>
        </w:rPr>
        <w:t>Most Current Population Estimate, July 1, 2019</w:t>
      </w:r>
    </w:p>
    <w:p w14:paraId="11A32A72" w14:textId="655D11C0" w:rsidR="009F258D" w:rsidRDefault="0072189C">
      <w:r>
        <w:t xml:space="preserve"> </w:t>
      </w:r>
    </w:p>
    <w:p w14:paraId="3E7EF25A" w14:textId="77777777" w:rsidR="00CB5595" w:rsidRDefault="00CB5595"/>
    <w:tbl>
      <w:tblPr>
        <w:tblW w:w="9286" w:type="dxa"/>
        <w:jc w:val="center"/>
        <w:tblLayout w:type="fixed"/>
        <w:tblLook w:val="04A0" w:firstRow="1" w:lastRow="0" w:firstColumn="1" w:lastColumn="0" w:noHBand="0" w:noVBand="1"/>
      </w:tblPr>
      <w:tblGrid>
        <w:gridCol w:w="2046"/>
        <w:gridCol w:w="1034"/>
        <w:gridCol w:w="1034"/>
        <w:gridCol w:w="1034"/>
        <w:gridCol w:w="1035"/>
        <w:gridCol w:w="1034"/>
        <w:gridCol w:w="1034"/>
        <w:gridCol w:w="1035"/>
      </w:tblGrid>
      <w:tr w:rsidR="0017302E" w:rsidRPr="0017302E" w14:paraId="2568DA0D" w14:textId="77777777" w:rsidTr="00BC7D2F">
        <w:trPr>
          <w:cantSplit/>
          <w:trHeight w:val="630"/>
          <w:jc w:val="center"/>
        </w:trPr>
        <w:tc>
          <w:tcPr>
            <w:tcW w:w="9286" w:type="dxa"/>
            <w:gridSpan w:val="8"/>
            <w:tcBorders>
              <w:top w:val="nil"/>
              <w:left w:val="nil"/>
              <w:bottom w:val="single" w:sz="4" w:space="0" w:color="auto"/>
              <w:right w:val="nil"/>
            </w:tcBorders>
            <w:shd w:val="clear" w:color="auto" w:fill="auto"/>
            <w:vAlign w:val="center"/>
            <w:hideMark/>
          </w:tcPr>
          <w:p w14:paraId="42B7EF6C" w14:textId="77777777" w:rsidR="0017302E" w:rsidRPr="0017302E" w:rsidRDefault="0017302E" w:rsidP="0017302E">
            <w:pPr>
              <w:jc w:val="center"/>
              <w:rPr>
                <w:b/>
                <w:bCs/>
                <w:color w:val="000000"/>
                <w:sz w:val="20"/>
              </w:rPr>
            </w:pPr>
            <w:r w:rsidRPr="0017302E">
              <w:rPr>
                <w:b/>
                <w:bCs/>
                <w:color w:val="000000"/>
                <w:sz w:val="20"/>
              </w:rPr>
              <w:t>July 1, 2019, Population Estimates for Age Groups Reported in National Survey on Substance Use and Health (NSDUH) Prevalence Estimates for Greater New Orleans Parishes and Statewide</w:t>
            </w:r>
          </w:p>
        </w:tc>
      </w:tr>
      <w:tr w:rsidR="0017302E" w:rsidRPr="0017302E" w14:paraId="2E2BD165" w14:textId="77777777" w:rsidTr="00BC7D2F">
        <w:trPr>
          <w:cantSplit/>
          <w:trHeight w:val="810"/>
          <w:jc w:val="center"/>
        </w:trPr>
        <w:tc>
          <w:tcPr>
            <w:tcW w:w="2046" w:type="dxa"/>
            <w:tcBorders>
              <w:top w:val="nil"/>
              <w:left w:val="single" w:sz="4" w:space="0" w:color="auto"/>
              <w:bottom w:val="single" w:sz="4" w:space="0" w:color="auto"/>
              <w:right w:val="single" w:sz="4" w:space="0" w:color="auto"/>
            </w:tcBorders>
            <w:shd w:val="clear" w:color="auto" w:fill="auto"/>
            <w:vAlign w:val="center"/>
            <w:hideMark/>
          </w:tcPr>
          <w:p w14:paraId="4281FA11" w14:textId="77777777" w:rsidR="0017302E" w:rsidRPr="0017302E" w:rsidRDefault="0017302E" w:rsidP="0017302E">
            <w:pPr>
              <w:jc w:val="center"/>
              <w:rPr>
                <w:color w:val="000000"/>
                <w:sz w:val="20"/>
              </w:rPr>
            </w:pPr>
            <w:bookmarkStart w:id="25" w:name="_Hlk57858666"/>
            <w:r w:rsidRPr="0017302E">
              <w:rPr>
                <w:color w:val="000000"/>
                <w:sz w:val="20"/>
              </w:rPr>
              <w:t>Age Groups</w:t>
            </w:r>
          </w:p>
        </w:tc>
        <w:tc>
          <w:tcPr>
            <w:tcW w:w="1034" w:type="dxa"/>
            <w:tcBorders>
              <w:top w:val="nil"/>
              <w:left w:val="nil"/>
              <w:bottom w:val="single" w:sz="4" w:space="0" w:color="auto"/>
              <w:right w:val="single" w:sz="4" w:space="0" w:color="auto"/>
            </w:tcBorders>
            <w:shd w:val="clear" w:color="auto" w:fill="auto"/>
            <w:vAlign w:val="center"/>
            <w:hideMark/>
          </w:tcPr>
          <w:p w14:paraId="0F6333BF" w14:textId="77777777" w:rsidR="0017302E" w:rsidRPr="0017302E" w:rsidRDefault="0017302E" w:rsidP="0017302E">
            <w:pPr>
              <w:jc w:val="center"/>
              <w:rPr>
                <w:color w:val="000000"/>
                <w:sz w:val="20"/>
              </w:rPr>
            </w:pPr>
            <w:r w:rsidRPr="0017302E">
              <w:rPr>
                <w:color w:val="000000"/>
                <w:sz w:val="20"/>
              </w:rPr>
              <w:t xml:space="preserve">Louisiana </w:t>
            </w:r>
            <w:r w:rsidRPr="0017302E">
              <w:rPr>
                <w:color w:val="000000"/>
                <w:sz w:val="19"/>
                <w:szCs w:val="19"/>
              </w:rPr>
              <w:t>Statewide</w:t>
            </w:r>
            <w:r w:rsidRPr="0017302E">
              <w:rPr>
                <w:color w:val="000000"/>
                <w:sz w:val="20"/>
                <w:vertAlign w:val="superscript"/>
              </w:rPr>
              <w:t>5</w:t>
            </w:r>
          </w:p>
        </w:tc>
        <w:tc>
          <w:tcPr>
            <w:tcW w:w="1034" w:type="dxa"/>
            <w:tcBorders>
              <w:top w:val="nil"/>
              <w:left w:val="nil"/>
              <w:bottom w:val="single" w:sz="4" w:space="0" w:color="auto"/>
              <w:right w:val="single" w:sz="4" w:space="0" w:color="auto"/>
            </w:tcBorders>
            <w:shd w:val="clear" w:color="auto" w:fill="auto"/>
            <w:vAlign w:val="center"/>
            <w:hideMark/>
          </w:tcPr>
          <w:p w14:paraId="6BC4EA7F" w14:textId="77777777" w:rsidR="0017302E" w:rsidRPr="0017302E" w:rsidRDefault="0017302E" w:rsidP="0017302E">
            <w:pPr>
              <w:jc w:val="center"/>
              <w:rPr>
                <w:color w:val="000000"/>
                <w:sz w:val="20"/>
              </w:rPr>
            </w:pPr>
            <w:r w:rsidRPr="0017302E">
              <w:rPr>
                <w:color w:val="000000"/>
                <w:sz w:val="20"/>
              </w:rPr>
              <w:t>Greater New Orleans</w:t>
            </w:r>
          </w:p>
        </w:tc>
        <w:tc>
          <w:tcPr>
            <w:tcW w:w="1034" w:type="dxa"/>
            <w:tcBorders>
              <w:top w:val="nil"/>
              <w:left w:val="nil"/>
              <w:bottom w:val="single" w:sz="4" w:space="0" w:color="auto"/>
              <w:right w:val="single" w:sz="4" w:space="0" w:color="auto"/>
            </w:tcBorders>
            <w:shd w:val="clear" w:color="auto" w:fill="auto"/>
            <w:vAlign w:val="center"/>
            <w:hideMark/>
          </w:tcPr>
          <w:p w14:paraId="7C64E83E" w14:textId="77777777" w:rsidR="0017302E" w:rsidRPr="0017302E" w:rsidRDefault="0017302E" w:rsidP="0017302E">
            <w:pPr>
              <w:jc w:val="center"/>
              <w:rPr>
                <w:color w:val="000000"/>
                <w:sz w:val="20"/>
              </w:rPr>
            </w:pPr>
            <w:r w:rsidRPr="0017302E">
              <w:rPr>
                <w:color w:val="000000"/>
                <w:sz w:val="20"/>
              </w:rPr>
              <w:t>Metro-</w:t>
            </w:r>
            <w:proofErr w:type="spellStart"/>
            <w:r w:rsidRPr="0017302E">
              <w:rPr>
                <w:color w:val="000000"/>
                <w:sz w:val="20"/>
              </w:rPr>
              <w:t>politan</w:t>
            </w:r>
            <w:proofErr w:type="spellEnd"/>
            <w:r w:rsidRPr="0017302E">
              <w:rPr>
                <w:color w:val="000000"/>
                <w:sz w:val="20"/>
              </w:rPr>
              <w:t xml:space="preserve"> HSA</w:t>
            </w:r>
          </w:p>
        </w:tc>
        <w:tc>
          <w:tcPr>
            <w:tcW w:w="1035" w:type="dxa"/>
            <w:tcBorders>
              <w:top w:val="nil"/>
              <w:left w:val="nil"/>
              <w:bottom w:val="single" w:sz="4" w:space="0" w:color="auto"/>
              <w:right w:val="single" w:sz="4" w:space="0" w:color="auto"/>
            </w:tcBorders>
            <w:shd w:val="clear" w:color="auto" w:fill="auto"/>
            <w:vAlign w:val="center"/>
            <w:hideMark/>
          </w:tcPr>
          <w:p w14:paraId="462E981F" w14:textId="77777777" w:rsidR="0017302E" w:rsidRPr="0017302E" w:rsidRDefault="0017302E" w:rsidP="0017302E">
            <w:pPr>
              <w:jc w:val="center"/>
              <w:rPr>
                <w:color w:val="000000"/>
                <w:sz w:val="20"/>
              </w:rPr>
            </w:pPr>
            <w:r w:rsidRPr="0017302E">
              <w:rPr>
                <w:color w:val="000000"/>
                <w:sz w:val="20"/>
              </w:rPr>
              <w:t>Orleans Parish</w:t>
            </w:r>
          </w:p>
        </w:tc>
        <w:tc>
          <w:tcPr>
            <w:tcW w:w="1034" w:type="dxa"/>
            <w:tcBorders>
              <w:top w:val="nil"/>
              <w:left w:val="nil"/>
              <w:bottom w:val="single" w:sz="4" w:space="0" w:color="auto"/>
              <w:right w:val="single" w:sz="4" w:space="0" w:color="auto"/>
            </w:tcBorders>
            <w:shd w:val="clear" w:color="auto" w:fill="auto"/>
            <w:vAlign w:val="center"/>
            <w:hideMark/>
          </w:tcPr>
          <w:p w14:paraId="048EB202" w14:textId="2F75EEC9" w:rsidR="0017302E" w:rsidRPr="0017302E" w:rsidRDefault="0017302E" w:rsidP="0017302E">
            <w:pPr>
              <w:jc w:val="center"/>
              <w:rPr>
                <w:color w:val="000000"/>
                <w:sz w:val="20"/>
              </w:rPr>
            </w:pPr>
            <w:r w:rsidRPr="0017302E">
              <w:rPr>
                <w:color w:val="000000"/>
                <w:sz w:val="20"/>
              </w:rPr>
              <w:t>Plaque</w:t>
            </w:r>
            <w:r w:rsidR="00F100CF">
              <w:rPr>
                <w:color w:val="000000"/>
                <w:sz w:val="20"/>
              </w:rPr>
              <w:t>-</w:t>
            </w:r>
            <w:r w:rsidRPr="0017302E">
              <w:rPr>
                <w:color w:val="000000"/>
                <w:sz w:val="20"/>
              </w:rPr>
              <w:t>mines Parish</w:t>
            </w:r>
          </w:p>
        </w:tc>
        <w:tc>
          <w:tcPr>
            <w:tcW w:w="1034" w:type="dxa"/>
            <w:tcBorders>
              <w:top w:val="nil"/>
              <w:left w:val="nil"/>
              <w:bottom w:val="single" w:sz="4" w:space="0" w:color="auto"/>
              <w:right w:val="single" w:sz="4" w:space="0" w:color="auto"/>
            </w:tcBorders>
            <w:shd w:val="clear" w:color="auto" w:fill="auto"/>
            <w:vAlign w:val="center"/>
            <w:hideMark/>
          </w:tcPr>
          <w:p w14:paraId="714FBAE9" w14:textId="77777777" w:rsidR="0017302E" w:rsidRPr="0017302E" w:rsidRDefault="0017302E" w:rsidP="0017302E">
            <w:pPr>
              <w:jc w:val="center"/>
              <w:rPr>
                <w:color w:val="000000"/>
                <w:sz w:val="20"/>
              </w:rPr>
            </w:pPr>
            <w:r w:rsidRPr="0017302E">
              <w:rPr>
                <w:color w:val="000000"/>
                <w:sz w:val="20"/>
              </w:rPr>
              <w:t>St. Bernard Parish</w:t>
            </w:r>
          </w:p>
        </w:tc>
        <w:tc>
          <w:tcPr>
            <w:tcW w:w="1035" w:type="dxa"/>
            <w:tcBorders>
              <w:top w:val="nil"/>
              <w:left w:val="nil"/>
              <w:bottom w:val="single" w:sz="4" w:space="0" w:color="auto"/>
              <w:right w:val="single" w:sz="4" w:space="0" w:color="auto"/>
            </w:tcBorders>
            <w:shd w:val="clear" w:color="auto" w:fill="auto"/>
            <w:vAlign w:val="center"/>
            <w:hideMark/>
          </w:tcPr>
          <w:p w14:paraId="1AC261BA" w14:textId="77777777" w:rsidR="0017302E" w:rsidRPr="0017302E" w:rsidRDefault="0017302E" w:rsidP="0017302E">
            <w:pPr>
              <w:jc w:val="center"/>
              <w:rPr>
                <w:color w:val="000000"/>
                <w:sz w:val="20"/>
              </w:rPr>
            </w:pPr>
            <w:r w:rsidRPr="0017302E">
              <w:rPr>
                <w:color w:val="000000"/>
                <w:sz w:val="20"/>
              </w:rPr>
              <w:t>Jefferson Parish HSA</w:t>
            </w:r>
          </w:p>
        </w:tc>
      </w:tr>
      <w:tr w:rsidR="0017302E" w:rsidRPr="0017302E" w14:paraId="68026B17"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620CEBB4" w14:textId="77777777" w:rsidR="0017302E" w:rsidRPr="0017302E" w:rsidRDefault="0017302E" w:rsidP="0017302E">
            <w:pPr>
              <w:rPr>
                <w:color w:val="000000"/>
                <w:sz w:val="20"/>
              </w:rPr>
            </w:pPr>
            <w:r w:rsidRPr="0017302E">
              <w:rPr>
                <w:color w:val="000000"/>
                <w:sz w:val="20"/>
              </w:rPr>
              <w:t xml:space="preserve">   Age 12</w:t>
            </w:r>
            <w:r w:rsidRPr="0017302E">
              <w:rPr>
                <w:color w:val="000000"/>
                <w:sz w:val="20"/>
                <w:vertAlign w:val="superscript"/>
              </w:rPr>
              <w:t>1</w:t>
            </w:r>
          </w:p>
        </w:tc>
        <w:tc>
          <w:tcPr>
            <w:tcW w:w="1034" w:type="dxa"/>
            <w:tcBorders>
              <w:top w:val="single" w:sz="4" w:space="0" w:color="auto"/>
              <w:left w:val="single" w:sz="4" w:space="0" w:color="auto"/>
              <w:bottom w:val="nil"/>
              <w:right w:val="single" w:sz="4" w:space="0" w:color="auto"/>
            </w:tcBorders>
            <w:shd w:val="clear" w:color="auto" w:fill="auto"/>
            <w:noWrap/>
            <w:vAlign w:val="center"/>
            <w:hideMark/>
          </w:tcPr>
          <w:p w14:paraId="24BB3454" w14:textId="252BB558" w:rsidR="0017302E" w:rsidRPr="0017302E" w:rsidRDefault="0017302E" w:rsidP="0017302E">
            <w:pPr>
              <w:jc w:val="right"/>
              <w:rPr>
                <w:color w:val="000000"/>
                <w:sz w:val="20"/>
              </w:rPr>
            </w:pPr>
            <w:r w:rsidRPr="0017302E">
              <w:rPr>
                <w:color w:val="000000"/>
                <w:sz w:val="20"/>
              </w:rPr>
              <w:t>61,344</w:t>
            </w:r>
          </w:p>
        </w:tc>
        <w:tc>
          <w:tcPr>
            <w:tcW w:w="1034" w:type="dxa"/>
            <w:tcBorders>
              <w:top w:val="single" w:sz="4" w:space="0" w:color="auto"/>
              <w:left w:val="single" w:sz="4" w:space="0" w:color="auto"/>
              <w:bottom w:val="nil"/>
              <w:right w:val="single" w:sz="4" w:space="0" w:color="auto"/>
            </w:tcBorders>
            <w:shd w:val="clear" w:color="auto" w:fill="auto"/>
            <w:noWrap/>
            <w:vAlign w:val="center"/>
            <w:hideMark/>
          </w:tcPr>
          <w:p w14:paraId="3CD34F7C" w14:textId="1E85F70D" w:rsidR="0017302E" w:rsidRPr="0017302E" w:rsidRDefault="0017302E" w:rsidP="0017302E">
            <w:pPr>
              <w:jc w:val="right"/>
              <w:rPr>
                <w:color w:val="000000"/>
                <w:sz w:val="20"/>
              </w:rPr>
            </w:pPr>
            <w:r w:rsidRPr="0017302E">
              <w:rPr>
                <w:color w:val="000000"/>
                <w:sz w:val="20"/>
              </w:rPr>
              <w:t>10,628</w:t>
            </w:r>
          </w:p>
        </w:tc>
        <w:tc>
          <w:tcPr>
            <w:tcW w:w="1034" w:type="dxa"/>
            <w:tcBorders>
              <w:top w:val="single" w:sz="4" w:space="0" w:color="auto"/>
              <w:left w:val="single" w:sz="4" w:space="0" w:color="auto"/>
              <w:bottom w:val="nil"/>
              <w:right w:val="single" w:sz="4" w:space="0" w:color="auto"/>
            </w:tcBorders>
            <w:shd w:val="clear" w:color="auto" w:fill="auto"/>
            <w:noWrap/>
            <w:vAlign w:val="center"/>
            <w:hideMark/>
          </w:tcPr>
          <w:p w14:paraId="119D2124" w14:textId="52CA093D" w:rsidR="0017302E" w:rsidRPr="0017302E" w:rsidRDefault="0017302E" w:rsidP="0017302E">
            <w:pPr>
              <w:jc w:val="right"/>
              <w:rPr>
                <w:color w:val="000000"/>
                <w:sz w:val="20"/>
              </w:rPr>
            </w:pPr>
            <w:r w:rsidRPr="0017302E">
              <w:rPr>
                <w:color w:val="000000"/>
                <w:sz w:val="20"/>
              </w:rPr>
              <w:t>5,402</w:t>
            </w:r>
          </w:p>
        </w:tc>
        <w:tc>
          <w:tcPr>
            <w:tcW w:w="1035" w:type="dxa"/>
            <w:tcBorders>
              <w:top w:val="single" w:sz="4" w:space="0" w:color="auto"/>
              <w:left w:val="single" w:sz="4" w:space="0" w:color="auto"/>
              <w:bottom w:val="nil"/>
              <w:right w:val="single" w:sz="4" w:space="0" w:color="auto"/>
            </w:tcBorders>
            <w:shd w:val="clear" w:color="auto" w:fill="auto"/>
            <w:noWrap/>
            <w:vAlign w:val="center"/>
            <w:hideMark/>
          </w:tcPr>
          <w:p w14:paraId="540D146E" w14:textId="6CFB9ED6" w:rsidR="0017302E" w:rsidRPr="0017302E" w:rsidRDefault="0017302E" w:rsidP="0017302E">
            <w:pPr>
              <w:jc w:val="right"/>
              <w:rPr>
                <w:color w:val="000000"/>
                <w:sz w:val="20"/>
              </w:rPr>
            </w:pPr>
            <w:r w:rsidRPr="0017302E">
              <w:rPr>
                <w:color w:val="000000"/>
                <w:sz w:val="20"/>
              </w:rPr>
              <w:t>4,334</w:t>
            </w:r>
          </w:p>
        </w:tc>
        <w:tc>
          <w:tcPr>
            <w:tcW w:w="1034" w:type="dxa"/>
            <w:tcBorders>
              <w:top w:val="single" w:sz="4" w:space="0" w:color="auto"/>
              <w:left w:val="single" w:sz="4" w:space="0" w:color="auto"/>
              <w:bottom w:val="nil"/>
              <w:right w:val="single" w:sz="4" w:space="0" w:color="auto"/>
            </w:tcBorders>
            <w:shd w:val="clear" w:color="auto" w:fill="auto"/>
            <w:noWrap/>
            <w:vAlign w:val="center"/>
            <w:hideMark/>
          </w:tcPr>
          <w:p w14:paraId="14D59C33" w14:textId="3C4ED7E3" w:rsidR="0017302E" w:rsidRPr="0017302E" w:rsidRDefault="0017302E" w:rsidP="0017302E">
            <w:pPr>
              <w:jc w:val="right"/>
              <w:rPr>
                <w:color w:val="000000"/>
                <w:sz w:val="20"/>
              </w:rPr>
            </w:pPr>
            <w:r w:rsidRPr="0017302E">
              <w:rPr>
                <w:color w:val="000000"/>
                <w:sz w:val="20"/>
              </w:rPr>
              <w:t>356</w:t>
            </w:r>
          </w:p>
        </w:tc>
        <w:tc>
          <w:tcPr>
            <w:tcW w:w="1034" w:type="dxa"/>
            <w:tcBorders>
              <w:top w:val="single" w:sz="4" w:space="0" w:color="auto"/>
              <w:left w:val="single" w:sz="4" w:space="0" w:color="auto"/>
              <w:bottom w:val="nil"/>
              <w:right w:val="single" w:sz="4" w:space="0" w:color="auto"/>
            </w:tcBorders>
            <w:shd w:val="clear" w:color="auto" w:fill="auto"/>
            <w:noWrap/>
            <w:vAlign w:val="center"/>
            <w:hideMark/>
          </w:tcPr>
          <w:p w14:paraId="61D61B01" w14:textId="14FEB233" w:rsidR="0017302E" w:rsidRPr="0017302E" w:rsidRDefault="0017302E" w:rsidP="0017302E">
            <w:pPr>
              <w:jc w:val="right"/>
              <w:rPr>
                <w:color w:val="000000"/>
                <w:sz w:val="20"/>
              </w:rPr>
            </w:pPr>
            <w:r w:rsidRPr="0017302E">
              <w:rPr>
                <w:color w:val="000000"/>
                <w:sz w:val="20"/>
              </w:rPr>
              <w:t>712</w:t>
            </w:r>
          </w:p>
        </w:tc>
        <w:tc>
          <w:tcPr>
            <w:tcW w:w="1035" w:type="dxa"/>
            <w:tcBorders>
              <w:top w:val="single" w:sz="4" w:space="0" w:color="auto"/>
              <w:left w:val="single" w:sz="4" w:space="0" w:color="auto"/>
              <w:bottom w:val="nil"/>
              <w:right w:val="single" w:sz="4" w:space="0" w:color="auto"/>
            </w:tcBorders>
            <w:shd w:val="clear" w:color="auto" w:fill="auto"/>
            <w:noWrap/>
            <w:vAlign w:val="center"/>
            <w:hideMark/>
          </w:tcPr>
          <w:p w14:paraId="6DD6E454" w14:textId="2C148604" w:rsidR="0017302E" w:rsidRPr="0017302E" w:rsidRDefault="0017302E" w:rsidP="0017302E">
            <w:pPr>
              <w:jc w:val="right"/>
              <w:rPr>
                <w:color w:val="000000"/>
                <w:sz w:val="20"/>
              </w:rPr>
            </w:pPr>
            <w:r w:rsidRPr="0017302E">
              <w:rPr>
                <w:color w:val="000000"/>
                <w:sz w:val="20"/>
              </w:rPr>
              <w:t>5,226</w:t>
            </w:r>
          </w:p>
        </w:tc>
      </w:tr>
      <w:tr w:rsidR="0017302E" w:rsidRPr="0017302E" w14:paraId="31DCAEE6"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3FD345DF" w14:textId="77777777" w:rsidR="0017302E" w:rsidRPr="0017302E" w:rsidRDefault="0017302E" w:rsidP="0017302E">
            <w:pPr>
              <w:rPr>
                <w:color w:val="000000"/>
                <w:sz w:val="20"/>
              </w:rPr>
            </w:pPr>
            <w:r w:rsidRPr="0017302E">
              <w:rPr>
                <w:color w:val="000000"/>
                <w:sz w:val="20"/>
              </w:rPr>
              <w:t xml:space="preserve">   Age 13</w:t>
            </w:r>
            <w:r w:rsidRPr="0017302E">
              <w:rPr>
                <w:color w:val="000000"/>
                <w:sz w:val="20"/>
                <w:vertAlign w:val="superscript"/>
              </w:rPr>
              <w:t>2</w:t>
            </w:r>
          </w:p>
        </w:tc>
        <w:tc>
          <w:tcPr>
            <w:tcW w:w="1034" w:type="dxa"/>
            <w:tcBorders>
              <w:top w:val="nil"/>
              <w:left w:val="single" w:sz="4" w:space="0" w:color="auto"/>
              <w:bottom w:val="nil"/>
              <w:right w:val="single" w:sz="4" w:space="0" w:color="auto"/>
            </w:tcBorders>
            <w:shd w:val="clear" w:color="auto" w:fill="auto"/>
            <w:noWrap/>
            <w:vAlign w:val="center"/>
            <w:hideMark/>
          </w:tcPr>
          <w:p w14:paraId="272C40CC" w14:textId="5C6C030B" w:rsidR="0017302E" w:rsidRPr="0017302E" w:rsidRDefault="0017302E" w:rsidP="0017302E">
            <w:pPr>
              <w:jc w:val="right"/>
              <w:rPr>
                <w:color w:val="000000"/>
                <w:sz w:val="20"/>
              </w:rPr>
            </w:pPr>
            <w:r w:rsidRPr="0017302E">
              <w:rPr>
                <w:color w:val="000000"/>
                <w:sz w:val="20"/>
              </w:rPr>
              <w:t>60,858</w:t>
            </w:r>
          </w:p>
        </w:tc>
        <w:tc>
          <w:tcPr>
            <w:tcW w:w="1034" w:type="dxa"/>
            <w:tcBorders>
              <w:top w:val="nil"/>
              <w:left w:val="single" w:sz="4" w:space="0" w:color="auto"/>
              <w:bottom w:val="nil"/>
              <w:right w:val="single" w:sz="4" w:space="0" w:color="auto"/>
            </w:tcBorders>
            <w:shd w:val="clear" w:color="auto" w:fill="auto"/>
            <w:noWrap/>
            <w:vAlign w:val="center"/>
            <w:hideMark/>
          </w:tcPr>
          <w:p w14:paraId="67BEA235" w14:textId="2F78E6C0" w:rsidR="0017302E" w:rsidRPr="0017302E" w:rsidRDefault="0017302E" w:rsidP="0017302E">
            <w:pPr>
              <w:jc w:val="right"/>
              <w:rPr>
                <w:color w:val="000000"/>
                <w:sz w:val="20"/>
              </w:rPr>
            </w:pPr>
            <w:r w:rsidRPr="0017302E">
              <w:rPr>
                <w:color w:val="000000"/>
                <w:sz w:val="20"/>
              </w:rPr>
              <w:t>10,457</w:t>
            </w:r>
          </w:p>
        </w:tc>
        <w:tc>
          <w:tcPr>
            <w:tcW w:w="1034" w:type="dxa"/>
            <w:tcBorders>
              <w:top w:val="nil"/>
              <w:left w:val="single" w:sz="4" w:space="0" w:color="auto"/>
              <w:bottom w:val="nil"/>
              <w:right w:val="single" w:sz="4" w:space="0" w:color="auto"/>
            </w:tcBorders>
            <w:shd w:val="clear" w:color="auto" w:fill="auto"/>
            <w:noWrap/>
            <w:vAlign w:val="center"/>
            <w:hideMark/>
          </w:tcPr>
          <w:p w14:paraId="1761ABC4" w14:textId="241BCB54" w:rsidR="0017302E" w:rsidRPr="0017302E" w:rsidRDefault="0017302E" w:rsidP="0017302E">
            <w:pPr>
              <w:jc w:val="right"/>
              <w:rPr>
                <w:color w:val="000000"/>
                <w:sz w:val="20"/>
              </w:rPr>
            </w:pPr>
            <w:r w:rsidRPr="0017302E">
              <w:rPr>
                <w:color w:val="000000"/>
                <w:sz w:val="20"/>
              </w:rPr>
              <w:t>5,296</w:t>
            </w:r>
          </w:p>
        </w:tc>
        <w:tc>
          <w:tcPr>
            <w:tcW w:w="1035" w:type="dxa"/>
            <w:tcBorders>
              <w:top w:val="nil"/>
              <w:left w:val="single" w:sz="4" w:space="0" w:color="auto"/>
              <w:bottom w:val="nil"/>
              <w:right w:val="single" w:sz="4" w:space="0" w:color="auto"/>
            </w:tcBorders>
            <w:shd w:val="clear" w:color="auto" w:fill="auto"/>
            <w:noWrap/>
            <w:vAlign w:val="center"/>
            <w:hideMark/>
          </w:tcPr>
          <w:p w14:paraId="19072FE2" w14:textId="0E14AD93" w:rsidR="0017302E" w:rsidRPr="0017302E" w:rsidRDefault="0017302E" w:rsidP="0017302E">
            <w:pPr>
              <w:jc w:val="right"/>
              <w:rPr>
                <w:color w:val="000000"/>
                <w:sz w:val="20"/>
              </w:rPr>
            </w:pPr>
            <w:r w:rsidRPr="0017302E">
              <w:rPr>
                <w:color w:val="000000"/>
                <w:sz w:val="20"/>
              </w:rPr>
              <w:t>4,247</w:t>
            </w:r>
          </w:p>
        </w:tc>
        <w:tc>
          <w:tcPr>
            <w:tcW w:w="1034" w:type="dxa"/>
            <w:tcBorders>
              <w:top w:val="nil"/>
              <w:left w:val="single" w:sz="4" w:space="0" w:color="auto"/>
              <w:bottom w:val="nil"/>
              <w:right w:val="single" w:sz="4" w:space="0" w:color="auto"/>
            </w:tcBorders>
            <w:shd w:val="clear" w:color="auto" w:fill="auto"/>
            <w:noWrap/>
            <w:vAlign w:val="center"/>
            <w:hideMark/>
          </w:tcPr>
          <w:p w14:paraId="43C4B4FD" w14:textId="64D5B1E0" w:rsidR="0017302E" w:rsidRPr="0017302E" w:rsidRDefault="0017302E" w:rsidP="0017302E">
            <w:pPr>
              <w:jc w:val="right"/>
              <w:rPr>
                <w:color w:val="000000"/>
                <w:sz w:val="20"/>
              </w:rPr>
            </w:pPr>
            <w:r w:rsidRPr="0017302E">
              <w:rPr>
                <w:color w:val="000000"/>
                <w:sz w:val="20"/>
              </w:rPr>
              <w:t>352</w:t>
            </w:r>
          </w:p>
        </w:tc>
        <w:tc>
          <w:tcPr>
            <w:tcW w:w="1034" w:type="dxa"/>
            <w:tcBorders>
              <w:top w:val="nil"/>
              <w:left w:val="single" w:sz="4" w:space="0" w:color="auto"/>
              <w:bottom w:val="nil"/>
              <w:right w:val="single" w:sz="4" w:space="0" w:color="auto"/>
            </w:tcBorders>
            <w:shd w:val="clear" w:color="auto" w:fill="auto"/>
            <w:noWrap/>
            <w:vAlign w:val="center"/>
            <w:hideMark/>
          </w:tcPr>
          <w:p w14:paraId="6C60171D" w14:textId="15E01AF6" w:rsidR="0017302E" w:rsidRPr="0017302E" w:rsidRDefault="0017302E" w:rsidP="0017302E">
            <w:pPr>
              <w:jc w:val="right"/>
              <w:rPr>
                <w:color w:val="000000"/>
                <w:sz w:val="20"/>
              </w:rPr>
            </w:pPr>
            <w:r w:rsidRPr="0017302E">
              <w:rPr>
                <w:color w:val="000000"/>
                <w:sz w:val="20"/>
              </w:rPr>
              <w:t>697</w:t>
            </w:r>
          </w:p>
        </w:tc>
        <w:tc>
          <w:tcPr>
            <w:tcW w:w="1035" w:type="dxa"/>
            <w:tcBorders>
              <w:top w:val="nil"/>
              <w:left w:val="single" w:sz="4" w:space="0" w:color="auto"/>
              <w:bottom w:val="nil"/>
              <w:right w:val="single" w:sz="4" w:space="0" w:color="auto"/>
            </w:tcBorders>
            <w:shd w:val="clear" w:color="auto" w:fill="auto"/>
            <w:noWrap/>
            <w:vAlign w:val="center"/>
            <w:hideMark/>
          </w:tcPr>
          <w:p w14:paraId="3D639F22" w14:textId="6A01AB92" w:rsidR="0017302E" w:rsidRPr="0017302E" w:rsidRDefault="0017302E" w:rsidP="0017302E">
            <w:pPr>
              <w:jc w:val="right"/>
              <w:rPr>
                <w:color w:val="000000"/>
                <w:sz w:val="20"/>
              </w:rPr>
            </w:pPr>
            <w:r w:rsidRPr="0017302E">
              <w:rPr>
                <w:color w:val="000000"/>
                <w:sz w:val="20"/>
              </w:rPr>
              <w:t>5,161</w:t>
            </w:r>
          </w:p>
        </w:tc>
      </w:tr>
      <w:tr w:rsidR="0017302E" w:rsidRPr="0017302E" w14:paraId="60488DD2"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7A2E7555" w14:textId="77777777" w:rsidR="0017302E" w:rsidRPr="0017302E" w:rsidRDefault="0017302E" w:rsidP="0017302E">
            <w:pPr>
              <w:rPr>
                <w:color w:val="000000"/>
                <w:sz w:val="20"/>
              </w:rPr>
            </w:pPr>
            <w:r w:rsidRPr="0017302E">
              <w:rPr>
                <w:color w:val="000000"/>
                <w:sz w:val="20"/>
              </w:rPr>
              <w:t xml:space="preserve">   Ages 14-17</w:t>
            </w:r>
          </w:p>
        </w:tc>
        <w:tc>
          <w:tcPr>
            <w:tcW w:w="1034" w:type="dxa"/>
            <w:tcBorders>
              <w:top w:val="nil"/>
              <w:left w:val="single" w:sz="4" w:space="0" w:color="auto"/>
              <w:bottom w:val="nil"/>
              <w:right w:val="single" w:sz="4" w:space="0" w:color="auto"/>
            </w:tcBorders>
            <w:shd w:val="clear" w:color="auto" w:fill="auto"/>
            <w:noWrap/>
            <w:vAlign w:val="center"/>
            <w:hideMark/>
          </w:tcPr>
          <w:p w14:paraId="63583E87" w14:textId="482C2EBE" w:rsidR="0017302E" w:rsidRPr="0017302E" w:rsidRDefault="0017302E" w:rsidP="0017302E">
            <w:pPr>
              <w:jc w:val="right"/>
              <w:rPr>
                <w:color w:val="000000"/>
                <w:sz w:val="20"/>
              </w:rPr>
            </w:pPr>
            <w:r w:rsidRPr="0017302E">
              <w:rPr>
                <w:color w:val="000000"/>
                <w:sz w:val="20"/>
              </w:rPr>
              <w:t>238,572</w:t>
            </w:r>
          </w:p>
        </w:tc>
        <w:tc>
          <w:tcPr>
            <w:tcW w:w="1034" w:type="dxa"/>
            <w:tcBorders>
              <w:top w:val="nil"/>
              <w:left w:val="single" w:sz="4" w:space="0" w:color="auto"/>
              <w:bottom w:val="nil"/>
              <w:right w:val="single" w:sz="4" w:space="0" w:color="auto"/>
            </w:tcBorders>
            <w:shd w:val="clear" w:color="auto" w:fill="auto"/>
            <w:noWrap/>
            <w:vAlign w:val="center"/>
            <w:hideMark/>
          </w:tcPr>
          <w:p w14:paraId="4B63BC99" w14:textId="442C7498" w:rsidR="0017302E" w:rsidRPr="0017302E" w:rsidRDefault="0017302E" w:rsidP="0017302E">
            <w:pPr>
              <w:jc w:val="right"/>
              <w:rPr>
                <w:color w:val="000000"/>
                <w:sz w:val="20"/>
              </w:rPr>
            </w:pPr>
            <w:r w:rsidRPr="0017302E">
              <w:rPr>
                <w:color w:val="000000"/>
                <w:sz w:val="20"/>
              </w:rPr>
              <w:t>40,122</w:t>
            </w:r>
          </w:p>
        </w:tc>
        <w:tc>
          <w:tcPr>
            <w:tcW w:w="1034" w:type="dxa"/>
            <w:tcBorders>
              <w:top w:val="nil"/>
              <w:left w:val="single" w:sz="4" w:space="0" w:color="auto"/>
              <w:bottom w:val="nil"/>
              <w:right w:val="single" w:sz="4" w:space="0" w:color="auto"/>
            </w:tcBorders>
            <w:shd w:val="clear" w:color="auto" w:fill="auto"/>
            <w:noWrap/>
            <w:vAlign w:val="center"/>
            <w:hideMark/>
          </w:tcPr>
          <w:p w14:paraId="4C472794" w14:textId="457D9155" w:rsidR="0017302E" w:rsidRPr="0017302E" w:rsidRDefault="0017302E" w:rsidP="0017302E">
            <w:pPr>
              <w:jc w:val="right"/>
              <w:rPr>
                <w:color w:val="000000"/>
                <w:sz w:val="20"/>
              </w:rPr>
            </w:pPr>
            <w:r w:rsidRPr="0017302E">
              <w:rPr>
                <w:color w:val="000000"/>
                <w:sz w:val="20"/>
              </w:rPr>
              <w:t>20,125</w:t>
            </w:r>
          </w:p>
        </w:tc>
        <w:tc>
          <w:tcPr>
            <w:tcW w:w="1035" w:type="dxa"/>
            <w:tcBorders>
              <w:top w:val="nil"/>
              <w:left w:val="single" w:sz="4" w:space="0" w:color="auto"/>
              <w:bottom w:val="nil"/>
              <w:right w:val="single" w:sz="4" w:space="0" w:color="auto"/>
            </w:tcBorders>
            <w:shd w:val="clear" w:color="auto" w:fill="auto"/>
            <w:noWrap/>
            <w:vAlign w:val="center"/>
            <w:hideMark/>
          </w:tcPr>
          <w:p w14:paraId="60C6251E" w14:textId="621DA2F4" w:rsidR="0017302E" w:rsidRPr="0017302E" w:rsidRDefault="0017302E" w:rsidP="0017302E">
            <w:pPr>
              <w:jc w:val="right"/>
              <w:rPr>
                <w:color w:val="000000"/>
                <w:sz w:val="20"/>
              </w:rPr>
            </w:pPr>
            <w:r w:rsidRPr="0017302E">
              <w:rPr>
                <w:color w:val="000000"/>
                <w:sz w:val="20"/>
              </w:rPr>
              <w:t>16,116</w:t>
            </w:r>
          </w:p>
        </w:tc>
        <w:tc>
          <w:tcPr>
            <w:tcW w:w="1034" w:type="dxa"/>
            <w:tcBorders>
              <w:top w:val="nil"/>
              <w:left w:val="single" w:sz="4" w:space="0" w:color="auto"/>
              <w:bottom w:val="nil"/>
              <w:right w:val="single" w:sz="4" w:space="0" w:color="auto"/>
            </w:tcBorders>
            <w:shd w:val="clear" w:color="auto" w:fill="auto"/>
            <w:noWrap/>
            <w:vAlign w:val="center"/>
            <w:hideMark/>
          </w:tcPr>
          <w:p w14:paraId="2C8ACD43" w14:textId="4AFEDD74" w:rsidR="0017302E" w:rsidRPr="0017302E" w:rsidRDefault="0017302E" w:rsidP="0017302E">
            <w:pPr>
              <w:jc w:val="right"/>
              <w:rPr>
                <w:color w:val="000000"/>
                <w:sz w:val="20"/>
              </w:rPr>
            </w:pPr>
            <w:r w:rsidRPr="0017302E">
              <w:rPr>
                <w:color w:val="000000"/>
                <w:sz w:val="20"/>
              </w:rPr>
              <w:t>1,373</w:t>
            </w:r>
          </w:p>
        </w:tc>
        <w:tc>
          <w:tcPr>
            <w:tcW w:w="1034" w:type="dxa"/>
            <w:tcBorders>
              <w:top w:val="nil"/>
              <w:left w:val="single" w:sz="4" w:space="0" w:color="auto"/>
              <w:bottom w:val="nil"/>
              <w:right w:val="single" w:sz="4" w:space="0" w:color="auto"/>
            </w:tcBorders>
            <w:shd w:val="clear" w:color="auto" w:fill="auto"/>
            <w:noWrap/>
            <w:vAlign w:val="center"/>
            <w:hideMark/>
          </w:tcPr>
          <w:p w14:paraId="63F14340" w14:textId="44E0994A" w:rsidR="0017302E" w:rsidRPr="0017302E" w:rsidRDefault="0017302E" w:rsidP="0017302E">
            <w:pPr>
              <w:jc w:val="right"/>
              <w:rPr>
                <w:color w:val="000000"/>
                <w:sz w:val="20"/>
              </w:rPr>
            </w:pPr>
            <w:r w:rsidRPr="0017302E">
              <w:rPr>
                <w:color w:val="000000"/>
                <w:sz w:val="20"/>
              </w:rPr>
              <w:t>2,636</w:t>
            </w:r>
          </w:p>
        </w:tc>
        <w:tc>
          <w:tcPr>
            <w:tcW w:w="1035" w:type="dxa"/>
            <w:tcBorders>
              <w:top w:val="nil"/>
              <w:left w:val="single" w:sz="4" w:space="0" w:color="auto"/>
              <w:bottom w:val="nil"/>
              <w:right w:val="single" w:sz="4" w:space="0" w:color="auto"/>
            </w:tcBorders>
            <w:shd w:val="clear" w:color="auto" w:fill="auto"/>
            <w:noWrap/>
            <w:vAlign w:val="center"/>
            <w:hideMark/>
          </w:tcPr>
          <w:p w14:paraId="39ADEC21" w14:textId="4344B80B" w:rsidR="0017302E" w:rsidRPr="0017302E" w:rsidRDefault="0017302E" w:rsidP="0017302E">
            <w:pPr>
              <w:jc w:val="right"/>
              <w:rPr>
                <w:color w:val="000000"/>
                <w:sz w:val="20"/>
              </w:rPr>
            </w:pPr>
            <w:r w:rsidRPr="0017302E">
              <w:rPr>
                <w:color w:val="000000"/>
                <w:sz w:val="20"/>
              </w:rPr>
              <w:t>19,997</w:t>
            </w:r>
          </w:p>
        </w:tc>
      </w:tr>
      <w:tr w:rsidR="0017302E" w:rsidRPr="0017302E" w14:paraId="5FFA6D4C"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5A759757" w14:textId="0188F750" w:rsidR="0017302E" w:rsidRPr="0017302E" w:rsidRDefault="0017302E" w:rsidP="0017302E">
            <w:pPr>
              <w:rPr>
                <w:b/>
                <w:bCs/>
                <w:color w:val="000000"/>
                <w:sz w:val="20"/>
              </w:rPr>
            </w:pPr>
            <w:r w:rsidRPr="0017302E">
              <w:rPr>
                <w:b/>
                <w:bCs/>
                <w:color w:val="000000"/>
                <w:sz w:val="20"/>
              </w:rPr>
              <w:t xml:space="preserve">Adolescents 12-17 </w:t>
            </w:r>
          </w:p>
        </w:tc>
        <w:tc>
          <w:tcPr>
            <w:tcW w:w="1034" w:type="dxa"/>
            <w:tcBorders>
              <w:top w:val="nil"/>
              <w:left w:val="single" w:sz="4" w:space="0" w:color="auto"/>
              <w:bottom w:val="nil"/>
              <w:right w:val="single" w:sz="4" w:space="0" w:color="auto"/>
            </w:tcBorders>
            <w:shd w:val="clear" w:color="auto" w:fill="auto"/>
            <w:noWrap/>
            <w:vAlign w:val="center"/>
            <w:hideMark/>
          </w:tcPr>
          <w:p w14:paraId="6C3BCD94" w14:textId="203D47DA" w:rsidR="0017302E" w:rsidRPr="0017302E" w:rsidRDefault="0017302E" w:rsidP="0017302E">
            <w:pPr>
              <w:jc w:val="right"/>
              <w:rPr>
                <w:b/>
                <w:bCs/>
                <w:color w:val="000000"/>
                <w:sz w:val="20"/>
              </w:rPr>
            </w:pPr>
            <w:r w:rsidRPr="0017302E">
              <w:rPr>
                <w:b/>
                <w:bCs/>
                <w:color w:val="000000"/>
                <w:sz w:val="20"/>
              </w:rPr>
              <w:t>360,774</w:t>
            </w:r>
          </w:p>
        </w:tc>
        <w:tc>
          <w:tcPr>
            <w:tcW w:w="1034" w:type="dxa"/>
            <w:tcBorders>
              <w:top w:val="nil"/>
              <w:left w:val="single" w:sz="4" w:space="0" w:color="auto"/>
              <w:bottom w:val="nil"/>
              <w:right w:val="single" w:sz="4" w:space="0" w:color="auto"/>
            </w:tcBorders>
            <w:shd w:val="clear" w:color="auto" w:fill="auto"/>
            <w:noWrap/>
            <w:vAlign w:val="center"/>
            <w:hideMark/>
          </w:tcPr>
          <w:p w14:paraId="4D4A92F6" w14:textId="7F682253" w:rsidR="0017302E" w:rsidRPr="0017302E" w:rsidRDefault="0017302E" w:rsidP="0017302E">
            <w:pPr>
              <w:jc w:val="right"/>
              <w:rPr>
                <w:b/>
                <w:bCs/>
                <w:color w:val="000000"/>
                <w:sz w:val="20"/>
              </w:rPr>
            </w:pPr>
            <w:r w:rsidRPr="0017302E">
              <w:rPr>
                <w:b/>
                <w:bCs/>
                <w:color w:val="000000"/>
                <w:sz w:val="20"/>
              </w:rPr>
              <w:t>61,207</w:t>
            </w:r>
          </w:p>
        </w:tc>
        <w:tc>
          <w:tcPr>
            <w:tcW w:w="1034" w:type="dxa"/>
            <w:tcBorders>
              <w:top w:val="nil"/>
              <w:left w:val="single" w:sz="4" w:space="0" w:color="auto"/>
              <w:bottom w:val="nil"/>
              <w:right w:val="single" w:sz="4" w:space="0" w:color="auto"/>
            </w:tcBorders>
            <w:shd w:val="clear" w:color="auto" w:fill="auto"/>
            <w:noWrap/>
            <w:vAlign w:val="center"/>
            <w:hideMark/>
          </w:tcPr>
          <w:p w14:paraId="40F4CC4C" w14:textId="39EB1E13" w:rsidR="0017302E" w:rsidRPr="0017302E" w:rsidRDefault="0017302E" w:rsidP="0017302E">
            <w:pPr>
              <w:jc w:val="right"/>
              <w:rPr>
                <w:b/>
                <w:bCs/>
                <w:color w:val="000000"/>
                <w:sz w:val="20"/>
              </w:rPr>
            </w:pPr>
            <w:r w:rsidRPr="0017302E">
              <w:rPr>
                <w:b/>
                <w:bCs/>
                <w:color w:val="000000"/>
                <w:sz w:val="20"/>
              </w:rPr>
              <w:t>30,822</w:t>
            </w:r>
          </w:p>
        </w:tc>
        <w:tc>
          <w:tcPr>
            <w:tcW w:w="1035" w:type="dxa"/>
            <w:tcBorders>
              <w:top w:val="nil"/>
              <w:left w:val="single" w:sz="4" w:space="0" w:color="auto"/>
              <w:bottom w:val="nil"/>
              <w:right w:val="single" w:sz="4" w:space="0" w:color="auto"/>
            </w:tcBorders>
            <w:shd w:val="clear" w:color="auto" w:fill="auto"/>
            <w:noWrap/>
            <w:vAlign w:val="center"/>
            <w:hideMark/>
          </w:tcPr>
          <w:p w14:paraId="0A4E4CCA" w14:textId="7F1C6021" w:rsidR="0017302E" w:rsidRPr="0017302E" w:rsidRDefault="0017302E" w:rsidP="0017302E">
            <w:pPr>
              <w:jc w:val="right"/>
              <w:rPr>
                <w:b/>
                <w:bCs/>
                <w:color w:val="000000"/>
                <w:sz w:val="20"/>
              </w:rPr>
            </w:pPr>
            <w:r w:rsidRPr="0017302E">
              <w:rPr>
                <w:b/>
                <w:bCs/>
                <w:color w:val="000000"/>
                <w:sz w:val="20"/>
              </w:rPr>
              <w:t>24,697</w:t>
            </w:r>
          </w:p>
        </w:tc>
        <w:tc>
          <w:tcPr>
            <w:tcW w:w="1034" w:type="dxa"/>
            <w:tcBorders>
              <w:top w:val="nil"/>
              <w:left w:val="single" w:sz="4" w:space="0" w:color="auto"/>
              <w:bottom w:val="nil"/>
              <w:right w:val="single" w:sz="4" w:space="0" w:color="auto"/>
            </w:tcBorders>
            <w:shd w:val="clear" w:color="auto" w:fill="auto"/>
            <w:noWrap/>
            <w:vAlign w:val="center"/>
            <w:hideMark/>
          </w:tcPr>
          <w:p w14:paraId="78E4984D" w14:textId="3902FF50" w:rsidR="0017302E" w:rsidRPr="0017302E" w:rsidRDefault="0017302E" w:rsidP="0017302E">
            <w:pPr>
              <w:jc w:val="right"/>
              <w:rPr>
                <w:b/>
                <w:bCs/>
                <w:color w:val="000000"/>
                <w:sz w:val="20"/>
              </w:rPr>
            </w:pPr>
            <w:r w:rsidRPr="0017302E">
              <w:rPr>
                <w:b/>
                <w:bCs/>
                <w:color w:val="000000"/>
                <w:sz w:val="20"/>
              </w:rPr>
              <w:t>2,081</w:t>
            </w:r>
          </w:p>
        </w:tc>
        <w:tc>
          <w:tcPr>
            <w:tcW w:w="1034" w:type="dxa"/>
            <w:tcBorders>
              <w:top w:val="nil"/>
              <w:left w:val="single" w:sz="4" w:space="0" w:color="auto"/>
              <w:bottom w:val="nil"/>
              <w:right w:val="single" w:sz="4" w:space="0" w:color="auto"/>
            </w:tcBorders>
            <w:shd w:val="clear" w:color="auto" w:fill="auto"/>
            <w:noWrap/>
            <w:vAlign w:val="center"/>
            <w:hideMark/>
          </w:tcPr>
          <w:p w14:paraId="74B3C7A4" w14:textId="7010A156" w:rsidR="0017302E" w:rsidRPr="0017302E" w:rsidRDefault="0017302E" w:rsidP="0017302E">
            <w:pPr>
              <w:jc w:val="right"/>
              <w:rPr>
                <w:b/>
                <w:bCs/>
                <w:color w:val="000000"/>
                <w:sz w:val="20"/>
              </w:rPr>
            </w:pPr>
            <w:r w:rsidRPr="0017302E">
              <w:rPr>
                <w:b/>
                <w:bCs/>
                <w:color w:val="000000"/>
                <w:sz w:val="20"/>
              </w:rPr>
              <w:t>4,044</w:t>
            </w:r>
          </w:p>
        </w:tc>
        <w:tc>
          <w:tcPr>
            <w:tcW w:w="1035" w:type="dxa"/>
            <w:tcBorders>
              <w:top w:val="nil"/>
              <w:left w:val="single" w:sz="4" w:space="0" w:color="auto"/>
              <w:bottom w:val="nil"/>
              <w:right w:val="single" w:sz="4" w:space="0" w:color="auto"/>
            </w:tcBorders>
            <w:shd w:val="clear" w:color="auto" w:fill="auto"/>
            <w:noWrap/>
            <w:vAlign w:val="center"/>
            <w:hideMark/>
          </w:tcPr>
          <w:p w14:paraId="2FFEE094" w14:textId="6D23874A" w:rsidR="0017302E" w:rsidRPr="0017302E" w:rsidRDefault="0017302E" w:rsidP="0017302E">
            <w:pPr>
              <w:jc w:val="right"/>
              <w:rPr>
                <w:b/>
                <w:bCs/>
                <w:color w:val="000000"/>
                <w:sz w:val="20"/>
              </w:rPr>
            </w:pPr>
            <w:r w:rsidRPr="0017302E">
              <w:rPr>
                <w:b/>
                <w:bCs/>
                <w:color w:val="000000"/>
                <w:sz w:val="20"/>
              </w:rPr>
              <w:t>30,385</w:t>
            </w:r>
          </w:p>
        </w:tc>
      </w:tr>
      <w:tr w:rsidR="0017302E" w:rsidRPr="0017302E" w14:paraId="12FDCF11"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253FED27" w14:textId="77777777" w:rsidR="0017302E" w:rsidRPr="0017302E" w:rsidRDefault="0017302E" w:rsidP="0017302E">
            <w:pPr>
              <w:rPr>
                <w:color w:val="000000"/>
                <w:sz w:val="20"/>
              </w:rPr>
            </w:pPr>
            <w:r w:rsidRPr="0017302E">
              <w:rPr>
                <w:color w:val="000000"/>
                <w:sz w:val="20"/>
              </w:rPr>
              <w:t xml:space="preserve">   Ages 18-24</w:t>
            </w:r>
          </w:p>
        </w:tc>
        <w:tc>
          <w:tcPr>
            <w:tcW w:w="1034" w:type="dxa"/>
            <w:tcBorders>
              <w:top w:val="nil"/>
              <w:left w:val="single" w:sz="4" w:space="0" w:color="auto"/>
              <w:bottom w:val="nil"/>
              <w:right w:val="single" w:sz="4" w:space="0" w:color="auto"/>
            </w:tcBorders>
            <w:shd w:val="clear" w:color="auto" w:fill="auto"/>
            <w:noWrap/>
            <w:vAlign w:val="center"/>
            <w:hideMark/>
          </w:tcPr>
          <w:p w14:paraId="2079C444" w14:textId="77C40A9C" w:rsidR="0017302E" w:rsidRPr="0017302E" w:rsidRDefault="0017302E" w:rsidP="0017302E">
            <w:pPr>
              <w:jc w:val="right"/>
              <w:rPr>
                <w:color w:val="000000"/>
                <w:sz w:val="20"/>
              </w:rPr>
            </w:pPr>
            <w:r w:rsidRPr="0017302E">
              <w:rPr>
                <w:color w:val="000000"/>
                <w:sz w:val="20"/>
              </w:rPr>
              <w:t>419,043</w:t>
            </w:r>
          </w:p>
        </w:tc>
        <w:tc>
          <w:tcPr>
            <w:tcW w:w="1034" w:type="dxa"/>
            <w:tcBorders>
              <w:top w:val="nil"/>
              <w:left w:val="single" w:sz="4" w:space="0" w:color="auto"/>
              <w:bottom w:val="nil"/>
              <w:right w:val="single" w:sz="4" w:space="0" w:color="auto"/>
            </w:tcBorders>
            <w:shd w:val="clear" w:color="auto" w:fill="auto"/>
            <w:noWrap/>
            <w:vAlign w:val="center"/>
            <w:hideMark/>
          </w:tcPr>
          <w:p w14:paraId="7A6B2909" w14:textId="6D017E05" w:rsidR="0017302E" w:rsidRPr="0017302E" w:rsidRDefault="0017302E" w:rsidP="0017302E">
            <w:pPr>
              <w:jc w:val="right"/>
              <w:rPr>
                <w:color w:val="000000"/>
                <w:sz w:val="20"/>
              </w:rPr>
            </w:pPr>
            <w:r w:rsidRPr="0017302E">
              <w:rPr>
                <w:color w:val="000000"/>
                <w:sz w:val="20"/>
              </w:rPr>
              <w:t>69,954</w:t>
            </w:r>
          </w:p>
        </w:tc>
        <w:tc>
          <w:tcPr>
            <w:tcW w:w="1034" w:type="dxa"/>
            <w:tcBorders>
              <w:top w:val="nil"/>
              <w:left w:val="single" w:sz="4" w:space="0" w:color="auto"/>
              <w:bottom w:val="nil"/>
              <w:right w:val="single" w:sz="4" w:space="0" w:color="auto"/>
            </w:tcBorders>
            <w:shd w:val="clear" w:color="auto" w:fill="auto"/>
            <w:noWrap/>
            <w:vAlign w:val="center"/>
            <w:hideMark/>
          </w:tcPr>
          <w:p w14:paraId="7C123148" w14:textId="1A9B4DC2" w:rsidR="0017302E" w:rsidRPr="0017302E" w:rsidRDefault="0017302E" w:rsidP="0017302E">
            <w:pPr>
              <w:jc w:val="right"/>
              <w:rPr>
                <w:color w:val="000000"/>
                <w:sz w:val="20"/>
              </w:rPr>
            </w:pPr>
            <w:r w:rsidRPr="0017302E">
              <w:rPr>
                <w:color w:val="000000"/>
                <w:sz w:val="20"/>
              </w:rPr>
              <w:t>37,977</w:t>
            </w:r>
          </w:p>
        </w:tc>
        <w:tc>
          <w:tcPr>
            <w:tcW w:w="1035" w:type="dxa"/>
            <w:tcBorders>
              <w:top w:val="nil"/>
              <w:left w:val="single" w:sz="4" w:space="0" w:color="auto"/>
              <w:bottom w:val="nil"/>
              <w:right w:val="single" w:sz="4" w:space="0" w:color="auto"/>
            </w:tcBorders>
            <w:shd w:val="clear" w:color="auto" w:fill="auto"/>
            <w:noWrap/>
            <w:vAlign w:val="center"/>
            <w:hideMark/>
          </w:tcPr>
          <w:p w14:paraId="60F99077" w14:textId="2233920D" w:rsidR="0017302E" w:rsidRPr="0017302E" w:rsidRDefault="0017302E" w:rsidP="0017302E">
            <w:pPr>
              <w:jc w:val="right"/>
              <w:rPr>
                <w:color w:val="000000"/>
                <w:sz w:val="20"/>
              </w:rPr>
            </w:pPr>
            <w:r w:rsidRPr="0017302E">
              <w:rPr>
                <w:color w:val="000000"/>
                <w:sz w:val="20"/>
              </w:rPr>
              <w:t>32,529</w:t>
            </w:r>
          </w:p>
        </w:tc>
        <w:tc>
          <w:tcPr>
            <w:tcW w:w="1034" w:type="dxa"/>
            <w:tcBorders>
              <w:top w:val="nil"/>
              <w:left w:val="single" w:sz="4" w:space="0" w:color="auto"/>
              <w:bottom w:val="nil"/>
              <w:right w:val="single" w:sz="4" w:space="0" w:color="auto"/>
            </w:tcBorders>
            <w:shd w:val="clear" w:color="auto" w:fill="auto"/>
            <w:noWrap/>
            <w:vAlign w:val="center"/>
            <w:hideMark/>
          </w:tcPr>
          <w:p w14:paraId="61280211" w14:textId="1400F412" w:rsidR="0017302E" w:rsidRPr="0017302E" w:rsidRDefault="0017302E" w:rsidP="0017302E">
            <w:pPr>
              <w:jc w:val="right"/>
              <w:rPr>
                <w:color w:val="000000"/>
                <w:sz w:val="20"/>
              </w:rPr>
            </w:pPr>
            <w:r w:rsidRPr="0017302E">
              <w:rPr>
                <w:color w:val="000000"/>
                <w:sz w:val="20"/>
              </w:rPr>
              <w:t>1,969</w:t>
            </w:r>
          </w:p>
        </w:tc>
        <w:tc>
          <w:tcPr>
            <w:tcW w:w="1034" w:type="dxa"/>
            <w:tcBorders>
              <w:top w:val="nil"/>
              <w:left w:val="single" w:sz="4" w:space="0" w:color="auto"/>
              <w:bottom w:val="nil"/>
              <w:right w:val="single" w:sz="4" w:space="0" w:color="auto"/>
            </w:tcBorders>
            <w:shd w:val="clear" w:color="auto" w:fill="auto"/>
            <w:noWrap/>
            <w:vAlign w:val="center"/>
            <w:hideMark/>
          </w:tcPr>
          <w:p w14:paraId="56E42209" w14:textId="7ADA0043" w:rsidR="0017302E" w:rsidRPr="0017302E" w:rsidRDefault="0017302E" w:rsidP="0017302E">
            <w:pPr>
              <w:jc w:val="right"/>
              <w:rPr>
                <w:color w:val="000000"/>
                <w:sz w:val="20"/>
              </w:rPr>
            </w:pPr>
            <w:r w:rsidRPr="0017302E">
              <w:rPr>
                <w:color w:val="000000"/>
                <w:sz w:val="20"/>
              </w:rPr>
              <w:t>3,479</w:t>
            </w:r>
          </w:p>
        </w:tc>
        <w:tc>
          <w:tcPr>
            <w:tcW w:w="1035" w:type="dxa"/>
            <w:tcBorders>
              <w:top w:val="nil"/>
              <w:left w:val="single" w:sz="4" w:space="0" w:color="auto"/>
              <w:bottom w:val="nil"/>
              <w:right w:val="single" w:sz="4" w:space="0" w:color="auto"/>
            </w:tcBorders>
            <w:shd w:val="clear" w:color="auto" w:fill="auto"/>
            <w:noWrap/>
            <w:vAlign w:val="center"/>
            <w:hideMark/>
          </w:tcPr>
          <w:p w14:paraId="08FAA7A3" w14:textId="422B9557" w:rsidR="0017302E" w:rsidRPr="0017302E" w:rsidRDefault="0017302E" w:rsidP="0017302E">
            <w:pPr>
              <w:jc w:val="right"/>
              <w:rPr>
                <w:color w:val="000000"/>
                <w:sz w:val="20"/>
              </w:rPr>
            </w:pPr>
            <w:r w:rsidRPr="0017302E">
              <w:rPr>
                <w:color w:val="000000"/>
                <w:sz w:val="20"/>
              </w:rPr>
              <w:t>31,977</w:t>
            </w:r>
          </w:p>
        </w:tc>
      </w:tr>
      <w:tr w:rsidR="0017302E" w:rsidRPr="0017302E" w14:paraId="17A6804C"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2DFD7128" w14:textId="77777777" w:rsidR="0017302E" w:rsidRPr="0017302E" w:rsidRDefault="0017302E" w:rsidP="0017302E">
            <w:pPr>
              <w:rPr>
                <w:color w:val="000000"/>
                <w:sz w:val="20"/>
              </w:rPr>
            </w:pPr>
            <w:r w:rsidRPr="0017302E">
              <w:rPr>
                <w:color w:val="000000"/>
                <w:sz w:val="20"/>
              </w:rPr>
              <w:t xml:space="preserve">   Age 25</w:t>
            </w:r>
            <w:r w:rsidRPr="0017302E">
              <w:rPr>
                <w:color w:val="000000"/>
                <w:sz w:val="20"/>
                <w:vertAlign w:val="superscript"/>
              </w:rPr>
              <w:t>3</w:t>
            </w:r>
          </w:p>
        </w:tc>
        <w:tc>
          <w:tcPr>
            <w:tcW w:w="1034" w:type="dxa"/>
            <w:tcBorders>
              <w:top w:val="nil"/>
              <w:left w:val="single" w:sz="4" w:space="0" w:color="auto"/>
              <w:bottom w:val="nil"/>
              <w:right w:val="single" w:sz="4" w:space="0" w:color="auto"/>
            </w:tcBorders>
            <w:shd w:val="clear" w:color="auto" w:fill="auto"/>
            <w:noWrap/>
            <w:vAlign w:val="center"/>
            <w:hideMark/>
          </w:tcPr>
          <w:p w14:paraId="6EEAC4EC" w14:textId="14632A39" w:rsidR="0017302E" w:rsidRPr="0017302E" w:rsidRDefault="0017302E" w:rsidP="0017302E">
            <w:pPr>
              <w:jc w:val="right"/>
              <w:rPr>
                <w:color w:val="000000"/>
                <w:sz w:val="20"/>
              </w:rPr>
            </w:pPr>
            <w:r w:rsidRPr="0017302E">
              <w:rPr>
                <w:color w:val="000000"/>
                <w:sz w:val="20"/>
              </w:rPr>
              <w:t>64,654</w:t>
            </w:r>
          </w:p>
        </w:tc>
        <w:tc>
          <w:tcPr>
            <w:tcW w:w="1034" w:type="dxa"/>
            <w:tcBorders>
              <w:top w:val="nil"/>
              <w:left w:val="single" w:sz="4" w:space="0" w:color="auto"/>
              <w:bottom w:val="nil"/>
              <w:right w:val="single" w:sz="4" w:space="0" w:color="auto"/>
            </w:tcBorders>
            <w:shd w:val="clear" w:color="auto" w:fill="auto"/>
            <w:noWrap/>
            <w:vAlign w:val="center"/>
            <w:hideMark/>
          </w:tcPr>
          <w:p w14:paraId="3F91972F" w14:textId="26D964B0" w:rsidR="0017302E" w:rsidRPr="0017302E" w:rsidRDefault="0017302E" w:rsidP="0017302E">
            <w:pPr>
              <w:jc w:val="right"/>
              <w:rPr>
                <w:color w:val="000000"/>
                <w:sz w:val="20"/>
              </w:rPr>
            </w:pPr>
            <w:r w:rsidRPr="0017302E">
              <w:rPr>
                <w:color w:val="000000"/>
                <w:sz w:val="20"/>
              </w:rPr>
              <w:t>12,453</w:t>
            </w:r>
          </w:p>
        </w:tc>
        <w:tc>
          <w:tcPr>
            <w:tcW w:w="1034" w:type="dxa"/>
            <w:tcBorders>
              <w:top w:val="nil"/>
              <w:left w:val="single" w:sz="4" w:space="0" w:color="auto"/>
              <w:bottom w:val="nil"/>
              <w:right w:val="single" w:sz="4" w:space="0" w:color="auto"/>
            </w:tcBorders>
            <w:shd w:val="clear" w:color="auto" w:fill="auto"/>
            <w:noWrap/>
            <w:vAlign w:val="center"/>
            <w:hideMark/>
          </w:tcPr>
          <w:p w14:paraId="4F61ACE1" w14:textId="3F8B3FC8" w:rsidR="0017302E" w:rsidRPr="0017302E" w:rsidRDefault="0017302E" w:rsidP="0017302E">
            <w:pPr>
              <w:jc w:val="right"/>
              <w:rPr>
                <w:color w:val="000000"/>
                <w:sz w:val="20"/>
              </w:rPr>
            </w:pPr>
            <w:r w:rsidRPr="0017302E">
              <w:rPr>
                <w:color w:val="000000"/>
                <w:sz w:val="20"/>
              </w:rPr>
              <w:t>6,813</w:t>
            </w:r>
          </w:p>
        </w:tc>
        <w:tc>
          <w:tcPr>
            <w:tcW w:w="1035" w:type="dxa"/>
            <w:tcBorders>
              <w:top w:val="nil"/>
              <w:left w:val="single" w:sz="4" w:space="0" w:color="auto"/>
              <w:bottom w:val="nil"/>
              <w:right w:val="single" w:sz="4" w:space="0" w:color="auto"/>
            </w:tcBorders>
            <w:shd w:val="clear" w:color="auto" w:fill="auto"/>
            <w:noWrap/>
            <w:vAlign w:val="center"/>
            <w:hideMark/>
          </w:tcPr>
          <w:p w14:paraId="71322687" w14:textId="64479713" w:rsidR="0017302E" w:rsidRPr="0017302E" w:rsidRDefault="0017302E" w:rsidP="0017302E">
            <w:pPr>
              <w:jc w:val="right"/>
              <w:rPr>
                <w:color w:val="000000"/>
                <w:sz w:val="20"/>
              </w:rPr>
            </w:pPr>
            <w:r w:rsidRPr="0017302E">
              <w:rPr>
                <w:color w:val="000000"/>
                <w:sz w:val="20"/>
              </w:rPr>
              <w:t>5,863</w:t>
            </w:r>
          </w:p>
        </w:tc>
        <w:tc>
          <w:tcPr>
            <w:tcW w:w="1034" w:type="dxa"/>
            <w:tcBorders>
              <w:top w:val="nil"/>
              <w:left w:val="single" w:sz="4" w:space="0" w:color="auto"/>
              <w:bottom w:val="nil"/>
              <w:right w:val="single" w:sz="4" w:space="0" w:color="auto"/>
            </w:tcBorders>
            <w:shd w:val="clear" w:color="auto" w:fill="auto"/>
            <w:noWrap/>
            <w:vAlign w:val="center"/>
            <w:hideMark/>
          </w:tcPr>
          <w:p w14:paraId="2BFCED60" w14:textId="5C782FB0" w:rsidR="0017302E" w:rsidRPr="0017302E" w:rsidRDefault="0017302E" w:rsidP="0017302E">
            <w:pPr>
              <w:jc w:val="right"/>
              <w:rPr>
                <w:color w:val="000000"/>
                <w:sz w:val="20"/>
              </w:rPr>
            </w:pPr>
            <w:r w:rsidRPr="0017302E">
              <w:rPr>
                <w:color w:val="000000"/>
                <w:sz w:val="20"/>
              </w:rPr>
              <w:t>296</w:t>
            </w:r>
          </w:p>
        </w:tc>
        <w:tc>
          <w:tcPr>
            <w:tcW w:w="1034" w:type="dxa"/>
            <w:tcBorders>
              <w:top w:val="nil"/>
              <w:left w:val="single" w:sz="4" w:space="0" w:color="auto"/>
              <w:bottom w:val="nil"/>
              <w:right w:val="single" w:sz="4" w:space="0" w:color="auto"/>
            </w:tcBorders>
            <w:shd w:val="clear" w:color="auto" w:fill="auto"/>
            <w:noWrap/>
            <w:vAlign w:val="center"/>
            <w:hideMark/>
          </w:tcPr>
          <w:p w14:paraId="212B37BF" w14:textId="40C16DD7" w:rsidR="0017302E" w:rsidRPr="0017302E" w:rsidRDefault="0017302E" w:rsidP="0017302E">
            <w:pPr>
              <w:jc w:val="right"/>
              <w:rPr>
                <w:color w:val="000000"/>
                <w:sz w:val="20"/>
              </w:rPr>
            </w:pPr>
            <w:r w:rsidRPr="0017302E">
              <w:rPr>
                <w:color w:val="000000"/>
                <w:sz w:val="20"/>
              </w:rPr>
              <w:t>654</w:t>
            </w:r>
          </w:p>
        </w:tc>
        <w:tc>
          <w:tcPr>
            <w:tcW w:w="1035" w:type="dxa"/>
            <w:tcBorders>
              <w:top w:val="nil"/>
              <w:left w:val="single" w:sz="4" w:space="0" w:color="auto"/>
              <w:bottom w:val="nil"/>
              <w:right w:val="single" w:sz="4" w:space="0" w:color="auto"/>
            </w:tcBorders>
            <w:shd w:val="clear" w:color="auto" w:fill="auto"/>
            <w:noWrap/>
            <w:vAlign w:val="center"/>
            <w:hideMark/>
          </w:tcPr>
          <w:p w14:paraId="120652E3" w14:textId="13AEE626" w:rsidR="0017302E" w:rsidRPr="0017302E" w:rsidRDefault="0017302E" w:rsidP="0017302E">
            <w:pPr>
              <w:jc w:val="right"/>
              <w:rPr>
                <w:color w:val="000000"/>
                <w:sz w:val="20"/>
              </w:rPr>
            </w:pPr>
            <w:r w:rsidRPr="0017302E">
              <w:rPr>
                <w:color w:val="000000"/>
                <w:sz w:val="20"/>
              </w:rPr>
              <w:t>5,640</w:t>
            </w:r>
          </w:p>
        </w:tc>
      </w:tr>
      <w:tr w:rsidR="0017302E" w:rsidRPr="0017302E" w14:paraId="28AC932D"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69948F11" w14:textId="24879C6E" w:rsidR="0017302E" w:rsidRPr="0017302E" w:rsidRDefault="0017302E" w:rsidP="0017302E">
            <w:pPr>
              <w:rPr>
                <w:b/>
                <w:bCs/>
                <w:color w:val="000000"/>
                <w:sz w:val="20"/>
              </w:rPr>
            </w:pPr>
            <w:r w:rsidRPr="0017302E">
              <w:rPr>
                <w:b/>
                <w:bCs/>
                <w:color w:val="000000"/>
                <w:sz w:val="20"/>
              </w:rPr>
              <w:t xml:space="preserve">Young Adults 18-25 </w:t>
            </w:r>
          </w:p>
        </w:tc>
        <w:tc>
          <w:tcPr>
            <w:tcW w:w="1034" w:type="dxa"/>
            <w:tcBorders>
              <w:top w:val="nil"/>
              <w:left w:val="single" w:sz="4" w:space="0" w:color="auto"/>
              <w:bottom w:val="nil"/>
              <w:right w:val="single" w:sz="4" w:space="0" w:color="auto"/>
            </w:tcBorders>
            <w:shd w:val="clear" w:color="auto" w:fill="auto"/>
            <w:noWrap/>
            <w:vAlign w:val="center"/>
            <w:hideMark/>
          </w:tcPr>
          <w:p w14:paraId="03416682" w14:textId="133F7601" w:rsidR="0017302E" w:rsidRPr="0017302E" w:rsidRDefault="0017302E" w:rsidP="0017302E">
            <w:pPr>
              <w:jc w:val="right"/>
              <w:rPr>
                <w:b/>
                <w:bCs/>
                <w:color w:val="000000"/>
                <w:sz w:val="20"/>
              </w:rPr>
            </w:pPr>
            <w:r w:rsidRPr="0017302E">
              <w:rPr>
                <w:b/>
                <w:bCs/>
                <w:color w:val="000000"/>
                <w:sz w:val="20"/>
              </w:rPr>
              <w:t>483,697</w:t>
            </w:r>
          </w:p>
        </w:tc>
        <w:tc>
          <w:tcPr>
            <w:tcW w:w="1034" w:type="dxa"/>
            <w:tcBorders>
              <w:top w:val="nil"/>
              <w:left w:val="single" w:sz="4" w:space="0" w:color="auto"/>
              <w:bottom w:val="nil"/>
              <w:right w:val="single" w:sz="4" w:space="0" w:color="auto"/>
            </w:tcBorders>
            <w:shd w:val="clear" w:color="auto" w:fill="auto"/>
            <w:noWrap/>
            <w:vAlign w:val="center"/>
            <w:hideMark/>
          </w:tcPr>
          <w:p w14:paraId="7F0628D8" w14:textId="21EE7A9C" w:rsidR="0017302E" w:rsidRPr="0017302E" w:rsidRDefault="0017302E" w:rsidP="0017302E">
            <w:pPr>
              <w:jc w:val="right"/>
              <w:rPr>
                <w:b/>
                <w:bCs/>
                <w:color w:val="000000"/>
                <w:sz w:val="20"/>
              </w:rPr>
            </w:pPr>
            <w:r w:rsidRPr="0017302E">
              <w:rPr>
                <w:b/>
                <w:bCs/>
                <w:color w:val="000000"/>
                <w:sz w:val="20"/>
              </w:rPr>
              <w:t>82,407</w:t>
            </w:r>
          </w:p>
        </w:tc>
        <w:tc>
          <w:tcPr>
            <w:tcW w:w="1034" w:type="dxa"/>
            <w:tcBorders>
              <w:top w:val="nil"/>
              <w:left w:val="single" w:sz="4" w:space="0" w:color="auto"/>
              <w:bottom w:val="nil"/>
              <w:right w:val="single" w:sz="4" w:space="0" w:color="auto"/>
            </w:tcBorders>
            <w:shd w:val="clear" w:color="auto" w:fill="auto"/>
            <w:noWrap/>
            <w:vAlign w:val="center"/>
            <w:hideMark/>
          </w:tcPr>
          <w:p w14:paraId="2A59D956" w14:textId="6C912565" w:rsidR="0017302E" w:rsidRPr="0017302E" w:rsidRDefault="0017302E" w:rsidP="0017302E">
            <w:pPr>
              <w:jc w:val="right"/>
              <w:rPr>
                <w:b/>
                <w:bCs/>
                <w:color w:val="000000"/>
                <w:sz w:val="20"/>
              </w:rPr>
            </w:pPr>
            <w:r w:rsidRPr="0017302E">
              <w:rPr>
                <w:b/>
                <w:bCs/>
                <w:color w:val="000000"/>
                <w:sz w:val="20"/>
              </w:rPr>
              <w:t>44,790</w:t>
            </w:r>
          </w:p>
        </w:tc>
        <w:tc>
          <w:tcPr>
            <w:tcW w:w="1035" w:type="dxa"/>
            <w:tcBorders>
              <w:top w:val="nil"/>
              <w:left w:val="single" w:sz="4" w:space="0" w:color="auto"/>
              <w:bottom w:val="nil"/>
              <w:right w:val="single" w:sz="4" w:space="0" w:color="auto"/>
            </w:tcBorders>
            <w:shd w:val="clear" w:color="auto" w:fill="auto"/>
            <w:noWrap/>
            <w:vAlign w:val="center"/>
            <w:hideMark/>
          </w:tcPr>
          <w:p w14:paraId="53F3942E" w14:textId="62D79F2D" w:rsidR="0017302E" w:rsidRPr="0017302E" w:rsidRDefault="0017302E" w:rsidP="0017302E">
            <w:pPr>
              <w:jc w:val="right"/>
              <w:rPr>
                <w:b/>
                <w:bCs/>
                <w:color w:val="000000"/>
                <w:sz w:val="20"/>
              </w:rPr>
            </w:pPr>
            <w:r w:rsidRPr="0017302E">
              <w:rPr>
                <w:b/>
                <w:bCs/>
                <w:color w:val="000000"/>
                <w:sz w:val="20"/>
              </w:rPr>
              <w:t>38,392</w:t>
            </w:r>
          </w:p>
        </w:tc>
        <w:tc>
          <w:tcPr>
            <w:tcW w:w="1034" w:type="dxa"/>
            <w:tcBorders>
              <w:top w:val="nil"/>
              <w:left w:val="single" w:sz="4" w:space="0" w:color="auto"/>
              <w:bottom w:val="nil"/>
              <w:right w:val="single" w:sz="4" w:space="0" w:color="auto"/>
            </w:tcBorders>
            <w:shd w:val="clear" w:color="auto" w:fill="auto"/>
            <w:noWrap/>
            <w:vAlign w:val="center"/>
            <w:hideMark/>
          </w:tcPr>
          <w:p w14:paraId="42887DAE" w14:textId="7AFFF989" w:rsidR="0017302E" w:rsidRPr="0017302E" w:rsidRDefault="0017302E" w:rsidP="0017302E">
            <w:pPr>
              <w:jc w:val="right"/>
              <w:rPr>
                <w:b/>
                <w:bCs/>
                <w:color w:val="000000"/>
                <w:sz w:val="20"/>
              </w:rPr>
            </w:pPr>
            <w:r w:rsidRPr="0017302E">
              <w:rPr>
                <w:b/>
                <w:bCs/>
                <w:color w:val="000000"/>
                <w:sz w:val="20"/>
              </w:rPr>
              <w:t>2,265</w:t>
            </w:r>
          </w:p>
        </w:tc>
        <w:tc>
          <w:tcPr>
            <w:tcW w:w="1034" w:type="dxa"/>
            <w:tcBorders>
              <w:top w:val="nil"/>
              <w:left w:val="single" w:sz="4" w:space="0" w:color="auto"/>
              <w:bottom w:val="nil"/>
              <w:right w:val="single" w:sz="4" w:space="0" w:color="auto"/>
            </w:tcBorders>
            <w:shd w:val="clear" w:color="auto" w:fill="auto"/>
            <w:noWrap/>
            <w:vAlign w:val="center"/>
            <w:hideMark/>
          </w:tcPr>
          <w:p w14:paraId="094A554E" w14:textId="19323CC1" w:rsidR="0017302E" w:rsidRPr="0017302E" w:rsidRDefault="0017302E" w:rsidP="0017302E">
            <w:pPr>
              <w:jc w:val="right"/>
              <w:rPr>
                <w:b/>
                <w:bCs/>
                <w:color w:val="000000"/>
                <w:sz w:val="20"/>
              </w:rPr>
            </w:pPr>
            <w:r w:rsidRPr="0017302E">
              <w:rPr>
                <w:b/>
                <w:bCs/>
                <w:color w:val="000000"/>
                <w:sz w:val="20"/>
              </w:rPr>
              <w:t>4,133</w:t>
            </w:r>
          </w:p>
        </w:tc>
        <w:tc>
          <w:tcPr>
            <w:tcW w:w="1035" w:type="dxa"/>
            <w:tcBorders>
              <w:top w:val="nil"/>
              <w:left w:val="single" w:sz="4" w:space="0" w:color="auto"/>
              <w:bottom w:val="nil"/>
              <w:right w:val="single" w:sz="4" w:space="0" w:color="auto"/>
            </w:tcBorders>
            <w:shd w:val="clear" w:color="auto" w:fill="auto"/>
            <w:noWrap/>
            <w:vAlign w:val="center"/>
            <w:hideMark/>
          </w:tcPr>
          <w:p w14:paraId="03B743B1" w14:textId="32C22952" w:rsidR="0017302E" w:rsidRPr="0017302E" w:rsidRDefault="0017302E" w:rsidP="0017302E">
            <w:pPr>
              <w:jc w:val="right"/>
              <w:rPr>
                <w:b/>
                <w:bCs/>
                <w:color w:val="000000"/>
                <w:sz w:val="20"/>
              </w:rPr>
            </w:pPr>
            <w:r w:rsidRPr="0017302E">
              <w:rPr>
                <w:b/>
                <w:bCs/>
                <w:color w:val="000000"/>
                <w:sz w:val="20"/>
              </w:rPr>
              <w:t>37,617</w:t>
            </w:r>
          </w:p>
        </w:tc>
      </w:tr>
      <w:tr w:rsidR="0017302E" w:rsidRPr="0017302E" w14:paraId="13B27D37"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7F96EFD3" w14:textId="7E84793F" w:rsidR="0017302E" w:rsidRPr="0017302E" w:rsidRDefault="0017302E" w:rsidP="0017302E">
            <w:pPr>
              <w:rPr>
                <w:b/>
                <w:bCs/>
                <w:color w:val="000000"/>
                <w:sz w:val="20"/>
              </w:rPr>
            </w:pPr>
            <w:r w:rsidRPr="0017302E">
              <w:rPr>
                <w:b/>
                <w:bCs/>
                <w:color w:val="000000"/>
                <w:sz w:val="20"/>
              </w:rPr>
              <w:t>Older Adults 26+</w:t>
            </w:r>
            <w:r w:rsidRPr="00240C80">
              <w:rPr>
                <w:b/>
                <w:bCs/>
                <w:color w:val="000000"/>
                <w:sz w:val="20"/>
                <w:vertAlign w:val="superscript"/>
              </w:rPr>
              <w:t>4</w:t>
            </w:r>
            <w:r w:rsidRPr="0017302E">
              <w:rPr>
                <w:b/>
                <w:bCs/>
                <w:color w:val="000000"/>
                <w:sz w:val="20"/>
              </w:rPr>
              <w:t xml:space="preserve"> </w:t>
            </w:r>
          </w:p>
        </w:tc>
        <w:tc>
          <w:tcPr>
            <w:tcW w:w="1034" w:type="dxa"/>
            <w:tcBorders>
              <w:top w:val="nil"/>
              <w:left w:val="single" w:sz="4" w:space="0" w:color="auto"/>
              <w:bottom w:val="nil"/>
              <w:right w:val="single" w:sz="4" w:space="0" w:color="auto"/>
            </w:tcBorders>
            <w:shd w:val="clear" w:color="auto" w:fill="auto"/>
            <w:noWrap/>
            <w:vAlign w:val="center"/>
            <w:hideMark/>
          </w:tcPr>
          <w:p w14:paraId="5C7B609F" w14:textId="6E683619" w:rsidR="0017302E" w:rsidRPr="0017302E" w:rsidRDefault="0017302E" w:rsidP="0017302E">
            <w:pPr>
              <w:jc w:val="right"/>
              <w:rPr>
                <w:b/>
                <w:bCs/>
                <w:color w:val="000000"/>
                <w:sz w:val="20"/>
              </w:rPr>
            </w:pPr>
            <w:r w:rsidRPr="0017302E">
              <w:rPr>
                <w:b/>
                <w:bCs/>
                <w:color w:val="000000"/>
                <w:sz w:val="20"/>
              </w:rPr>
              <w:t>3,077,467</w:t>
            </w:r>
          </w:p>
        </w:tc>
        <w:tc>
          <w:tcPr>
            <w:tcW w:w="1034" w:type="dxa"/>
            <w:tcBorders>
              <w:top w:val="nil"/>
              <w:left w:val="single" w:sz="4" w:space="0" w:color="auto"/>
              <w:bottom w:val="nil"/>
              <w:right w:val="single" w:sz="4" w:space="0" w:color="auto"/>
            </w:tcBorders>
            <w:shd w:val="clear" w:color="auto" w:fill="auto"/>
            <w:noWrap/>
            <w:vAlign w:val="center"/>
            <w:hideMark/>
          </w:tcPr>
          <w:p w14:paraId="04368E0E" w14:textId="6B8883F9" w:rsidR="0017302E" w:rsidRPr="0017302E" w:rsidRDefault="0017302E" w:rsidP="0017302E">
            <w:pPr>
              <w:jc w:val="right"/>
              <w:rPr>
                <w:b/>
                <w:bCs/>
                <w:color w:val="000000"/>
                <w:sz w:val="20"/>
              </w:rPr>
            </w:pPr>
            <w:r w:rsidRPr="0017302E">
              <w:rPr>
                <w:b/>
                <w:bCs/>
                <w:color w:val="000000"/>
                <w:sz w:val="20"/>
              </w:rPr>
              <w:t>619,618</w:t>
            </w:r>
          </w:p>
        </w:tc>
        <w:tc>
          <w:tcPr>
            <w:tcW w:w="1034" w:type="dxa"/>
            <w:tcBorders>
              <w:top w:val="nil"/>
              <w:left w:val="single" w:sz="4" w:space="0" w:color="auto"/>
              <w:bottom w:val="nil"/>
              <w:right w:val="single" w:sz="4" w:space="0" w:color="auto"/>
            </w:tcBorders>
            <w:shd w:val="clear" w:color="auto" w:fill="auto"/>
            <w:noWrap/>
            <w:vAlign w:val="center"/>
            <w:hideMark/>
          </w:tcPr>
          <w:p w14:paraId="3BF45DD7" w14:textId="75C2E273" w:rsidR="0017302E" w:rsidRPr="0017302E" w:rsidRDefault="0017302E" w:rsidP="0017302E">
            <w:pPr>
              <w:jc w:val="right"/>
              <w:rPr>
                <w:b/>
                <w:bCs/>
                <w:color w:val="000000"/>
                <w:sz w:val="20"/>
              </w:rPr>
            </w:pPr>
            <w:r w:rsidRPr="0017302E">
              <w:rPr>
                <w:b/>
                <w:bCs/>
                <w:color w:val="000000"/>
                <w:sz w:val="20"/>
              </w:rPr>
              <w:t>320,039</w:t>
            </w:r>
          </w:p>
        </w:tc>
        <w:tc>
          <w:tcPr>
            <w:tcW w:w="1035" w:type="dxa"/>
            <w:tcBorders>
              <w:top w:val="nil"/>
              <w:left w:val="single" w:sz="4" w:space="0" w:color="auto"/>
              <w:bottom w:val="nil"/>
              <w:right w:val="single" w:sz="4" w:space="0" w:color="auto"/>
            </w:tcBorders>
            <w:shd w:val="clear" w:color="auto" w:fill="auto"/>
            <w:noWrap/>
            <w:vAlign w:val="center"/>
            <w:hideMark/>
          </w:tcPr>
          <w:p w14:paraId="28C0E822" w14:textId="7BA90F06" w:rsidR="0017302E" w:rsidRPr="0017302E" w:rsidRDefault="0017302E" w:rsidP="0017302E">
            <w:pPr>
              <w:jc w:val="right"/>
              <w:rPr>
                <w:b/>
                <w:bCs/>
                <w:color w:val="000000"/>
                <w:sz w:val="20"/>
              </w:rPr>
            </w:pPr>
            <w:r w:rsidRPr="0017302E">
              <w:rPr>
                <w:b/>
                <w:bCs/>
                <w:color w:val="000000"/>
                <w:sz w:val="20"/>
              </w:rPr>
              <w:t>274,472</w:t>
            </w:r>
          </w:p>
        </w:tc>
        <w:tc>
          <w:tcPr>
            <w:tcW w:w="1034" w:type="dxa"/>
            <w:tcBorders>
              <w:top w:val="nil"/>
              <w:left w:val="single" w:sz="4" w:space="0" w:color="auto"/>
              <w:bottom w:val="nil"/>
              <w:right w:val="single" w:sz="4" w:space="0" w:color="auto"/>
            </w:tcBorders>
            <w:shd w:val="clear" w:color="auto" w:fill="auto"/>
            <w:noWrap/>
            <w:vAlign w:val="center"/>
            <w:hideMark/>
          </w:tcPr>
          <w:p w14:paraId="0B9630D4" w14:textId="03EC202A" w:rsidR="0017302E" w:rsidRPr="0017302E" w:rsidRDefault="0017302E" w:rsidP="0017302E">
            <w:pPr>
              <w:jc w:val="right"/>
              <w:rPr>
                <w:b/>
                <w:bCs/>
                <w:color w:val="000000"/>
                <w:sz w:val="20"/>
              </w:rPr>
            </w:pPr>
            <w:r w:rsidRPr="0017302E">
              <w:rPr>
                <w:b/>
                <w:bCs/>
                <w:color w:val="000000"/>
                <w:sz w:val="20"/>
              </w:rPr>
              <w:t>14,956</w:t>
            </w:r>
          </w:p>
        </w:tc>
        <w:tc>
          <w:tcPr>
            <w:tcW w:w="1034" w:type="dxa"/>
            <w:tcBorders>
              <w:top w:val="nil"/>
              <w:left w:val="single" w:sz="4" w:space="0" w:color="auto"/>
              <w:bottom w:val="nil"/>
              <w:right w:val="single" w:sz="4" w:space="0" w:color="auto"/>
            </w:tcBorders>
            <w:shd w:val="clear" w:color="auto" w:fill="auto"/>
            <w:noWrap/>
            <w:vAlign w:val="center"/>
            <w:hideMark/>
          </w:tcPr>
          <w:p w14:paraId="1BDBEBA4" w14:textId="23F18F2D" w:rsidR="0017302E" w:rsidRPr="0017302E" w:rsidRDefault="0017302E" w:rsidP="0017302E">
            <w:pPr>
              <w:jc w:val="right"/>
              <w:rPr>
                <w:b/>
                <w:bCs/>
                <w:color w:val="000000"/>
                <w:sz w:val="20"/>
              </w:rPr>
            </w:pPr>
            <w:r w:rsidRPr="0017302E">
              <w:rPr>
                <w:b/>
                <w:bCs/>
                <w:color w:val="000000"/>
                <w:sz w:val="20"/>
              </w:rPr>
              <w:t>30,611</w:t>
            </w:r>
          </w:p>
        </w:tc>
        <w:tc>
          <w:tcPr>
            <w:tcW w:w="1035" w:type="dxa"/>
            <w:tcBorders>
              <w:top w:val="nil"/>
              <w:left w:val="single" w:sz="4" w:space="0" w:color="auto"/>
              <w:bottom w:val="nil"/>
              <w:right w:val="single" w:sz="4" w:space="0" w:color="auto"/>
            </w:tcBorders>
            <w:shd w:val="clear" w:color="auto" w:fill="auto"/>
            <w:noWrap/>
            <w:vAlign w:val="center"/>
            <w:hideMark/>
          </w:tcPr>
          <w:p w14:paraId="5EEBB603" w14:textId="44945DD3" w:rsidR="0017302E" w:rsidRPr="0017302E" w:rsidRDefault="0017302E" w:rsidP="0017302E">
            <w:pPr>
              <w:jc w:val="right"/>
              <w:rPr>
                <w:b/>
                <w:bCs/>
                <w:color w:val="000000"/>
                <w:sz w:val="20"/>
              </w:rPr>
            </w:pPr>
            <w:r w:rsidRPr="0017302E">
              <w:rPr>
                <w:b/>
                <w:bCs/>
                <w:color w:val="000000"/>
                <w:sz w:val="20"/>
              </w:rPr>
              <w:t>299,579</w:t>
            </w:r>
          </w:p>
        </w:tc>
      </w:tr>
      <w:tr w:rsidR="0017302E" w:rsidRPr="0017302E" w14:paraId="388B5F4B" w14:textId="77777777" w:rsidTr="00CE532F">
        <w:trPr>
          <w:cantSplit/>
          <w:trHeight w:val="288"/>
          <w:jc w:val="center"/>
        </w:trPr>
        <w:tc>
          <w:tcPr>
            <w:tcW w:w="2046" w:type="dxa"/>
            <w:tcBorders>
              <w:top w:val="nil"/>
              <w:left w:val="single" w:sz="4" w:space="0" w:color="auto"/>
              <w:bottom w:val="nil"/>
              <w:right w:val="single" w:sz="4" w:space="0" w:color="auto"/>
            </w:tcBorders>
            <w:shd w:val="clear" w:color="auto" w:fill="auto"/>
            <w:vAlign w:val="center"/>
            <w:hideMark/>
          </w:tcPr>
          <w:p w14:paraId="417A5E94" w14:textId="3B2C6724" w:rsidR="0017302E" w:rsidRPr="0017302E" w:rsidRDefault="0017302E" w:rsidP="0017302E">
            <w:pPr>
              <w:rPr>
                <w:b/>
                <w:bCs/>
                <w:color w:val="000000"/>
                <w:sz w:val="20"/>
              </w:rPr>
            </w:pPr>
            <w:r w:rsidRPr="0017302E">
              <w:rPr>
                <w:b/>
                <w:bCs/>
                <w:color w:val="000000"/>
                <w:sz w:val="20"/>
              </w:rPr>
              <w:t xml:space="preserve">All Adults 18+ </w:t>
            </w:r>
          </w:p>
        </w:tc>
        <w:tc>
          <w:tcPr>
            <w:tcW w:w="1034" w:type="dxa"/>
            <w:tcBorders>
              <w:top w:val="nil"/>
              <w:left w:val="single" w:sz="4" w:space="0" w:color="auto"/>
              <w:bottom w:val="nil"/>
              <w:right w:val="single" w:sz="4" w:space="0" w:color="auto"/>
            </w:tcBorders>
            <w:shd w:val="clear" w:color="auto" w:fill="auto"/>
            <w:noWrap/>
            <w:vAlign w:val="center"/>
            <w:hideMark/>
          </w:tcPr>
          <w:p w14:paraId="0E8B2511" w14:textId="11C864DF" w:rsidR="0017302E" w:rsidRPr="0017302E" w:rsidRDefault="0017302E" w:rsidP="0017302E">
            <w:pPr>
              <w:jc w:val="right"/>
              <w:rPr>
                <w:b/>
                <w:bCs/>
                <w:color w:val="000000"/>
                <w:sz w:val="20"/>
              </w:rPr>
            </w:pPr>
            <w:r w:rsidRPr="0017302E">
              <w:rPr>
                <w:b/>
                <w:bCs/>
                <w:color w:val="000000"/>
                <w:sz w:val="20"/>
              </w:rPr>
              <w:t>3,561,164</w:t>
            </w:r>
          </w:p>
        </w:tc>
        <w:tc>
          <w:tcPr>
            <w:tcW w:w="1034" w:type="dxa"/>
            <w:tcBorders>
              <w:top w:val="nil"/>
              <w:left w:val="single" w:sz="4" w:space="0" w:color="auto"/>
              <w:bottom w:val="nil"/>
              <w:right w:val="single" w:sz="4" w:space="0" w:color="auto"/>
            </w:tcBorders>
            <w:shd w:val="clear" w:color="auto" w:fill="auto"/>
            <w:noWrap/>
            <w:vAlign w:val="center"/>
            <w:hideMark/>
          </w:tcPr>
          <w:p w14:paraId="0B19B3BA" w14:textId="43135250" w:rsidR="0017302E" w:rsidRPr="0017302E" w:rsidRDefault="0017302E" w:rsidP="0017302E">
            <w:pPr>
              <w:jc w:val="right"/>
              <w:rPr>
                <w:b/>
                <w:bCs/>
                <w:color w:val="000000"/>
                <w:sz w:val="20"/>
              </w:rPr>
            </w:pPr>
            <w:r w:rsidRPr="0017302E">
              <w:rPr>
                <w:b/>
                <w:bCs/>
                <w:color w:val="000000"/>
                <w:sz w:val="20"/>
              </w:rPr>
              <w:t>702,025</w:t>
            </w:r>
          </w:p>
        </w:tc>
        <w:tc>
          <w:tcPr>
            <w:tcW w:w="1034" w:type="dxa"/>
            <w:tcBorders>
              <w:top w:val="nil"/>
              <w:left w:val="single" w:sz="4" w:space="0" w:color="auto"/>
              <w:bottom w:val="nil"/>
              <w:right w:val="single" w:sz="4" w:space="0" w:color="auto"/>
            </w:tcBorders>
            <w:shd w:val="clear" w:color="auto" w:fill="auto"/>
            <w:noWrap/>
            <w:vAlign w:val="center"/>
            <w:hideMark/>
          </w:tcPr>
          <w:p w14:paraId="7410A309" w14:textId="319E8EEF" w:rsidR="0017302E" w:rsidRPr="0017302E" w:rsidRDefault="0017302E" w:rsidP="0017302E">
            <w:pPr>
              <w:jc w:val="right"/>
              <w:rPr>
                <w:b/>
                <w:bCs/>
                <w:color w:val="000000"/>
                <w:sz w:val="20"/>
              </w:rPr>
            </w:pPr>
            <w:r w:rsidRPr="0017302E">
              <w:rPr>
                <w:b/>
                <w:bCs/>
                <w:color w:val="000000"/>
                <w:sz w:val="20"/>
              </w:rPr>
              <w:t>364,829</w:t>
            </w:r>
          </w:p>
        </w:tc>
        <w:tc>
          <w:tcPr>
            <w:tcW w:w="1035" w:type="dxa"/>
            <w:tcBorders>
              <w:top w:val="nil"/>
              <w:left w:val="single" w:sz="4" w:space="0" w:color="auto"/>
              <w:bottom w:val="nil"/>
              <w:right w:val="single" w:sz="4" w:space="0" w:color="auto"/>
            </w:tcBorders>
            <w:shd w:val="clear" w:color="auto" w:fill="auto"/>
            <w:noWrap/>
            <w:vAlign w:val="center"/>
            <w:hideMark/>
          </w:tcPr>
          <w:p w14:paraId="3D4B8083" w14:textId="7A2E08CF" w:rsidR="0017302E" w:rsidRPr="0017302E" w:rsidRDefault="0017302E" w:rsidP="0017302E">
            <w:pPr>
              <w:jc w:val="right"/>
              <w:rPr>
                <w:b/>
                <w:bCs/>
                <w:color w:val="000000"/>
                <w:sz w:val="20"/>
              </w:rPr>
            </w:pPr>
            <w:r w:rsidRPr="0017302E">
              <w:rPr>
                <w:b/>
                <w:bCs/>
                <w:color w:val="000000"/>
                <w:sz w:val="20"/>
              </w:rPr>
              <w:t>312,864</w:t>
            </w:r>
          </w:p>
        </w:tc>
        <w:tc>
          <w:tcPr>
            <w:tcW w:w="1034" w:type="dxa"/>
            <w:tcBorders>
              <w:top w:val="nil"/>
              <w:left w:val="single" w:sz="4" w:space="0" w:color="auto"/>
              <w:bottom w:val="nil"/>
              <w:right w:val="single" w:sz="4" w:space="0" w:color="auto"/>
            </w:tcBorders>
            <w:shd w:val="clear" w:color="auto" w:fill="auto"/>
            <w:noWrap/>
            <w:vAlign w:val="center"/>
            <w:hideMark/>
          </w:tcPr>
          <w:p w14:paraId="148DFF54" w14:textId="140A467E" w:rsidR="0017302E" w:rsidRPr="0017302E" w:rsidRDefault="0017302E" w:rsidP="0017302E">
            <w:pPr>
              <w:jc w:val="right"/>
              <w:rPr>
                <w:b/>
                <w:bCs/>
                <w:color w:val="000000"/>
                <w:sz w:val="20"/>
              </w:rPr>
            </w:pPr>
            <w:r w:rsidRPr="0017302E">
              <w:rPr>
                <w:b/>
                <w:bCs/>
                <w:color w:val="000000"/>
                <w:sz w:val="20"/>
              </w:rPr>
              <w:t>17,221</w:t>
            </w:r>
          </w:p>
        </w:tc>
        <w:tc>
          <w:tcPr>
            <w:tcW w:w="1034" w:type="dxa"/>
            <w:tcBorders>
              <w:top w:val="nil"/>
              <w:left w:val="single" w:sz="4" w:space="0" w:color="auto"/>
              <w:bottom w:val="nil"/>
              <w:right w:val="single" w:sz="4" w:space="0" w:color="auto"/>
            </w:tcBorders>
            <w:shd w:val="clear" w:color="auto" w:fill="auto"/>
            <w:noWrap/>
            <w:vAlign w:val="center"/>
            <w:hideMark/>
          </w:tcPr>
          <w:p w14:paraId="2688F5E9" w14:textId="6681268C" w:rsidR="0017302E" w:rsidRPr="0017302E" w:rsidRDefault="0017302E" w:rsidP="0017302E">
            <w:pPr>
              <w:jc w:val="right"/>
              <w:rPr>
                <w:b/>
                <w:bCs/>
                <w:color w:val="000000"/>
                <w:sz w:val="20"/>
              </w:rPr>
            </w:pPr>
            <w:r w:rsidRPr="0017302E">
              <w:rPr>
                <w:b/>
                <w:bCs/>
                <w:color w:val="000000"/>
                <w:sz w:val="20"/>
              </w:rPr>
              <w:t>34,744</w:t>
            </w:r>
          </w:p>
        </w:tc>
        <w:tc>
          <w:tcPr>
            <w:tcW w:w="1035" w:type="dxa"/>
            <w:tcBorders>
              <w:top w:val="nil"/>
              <w:left w:val="single" w:sz="4" w:space="0" w:color="auto"/>
              <w:bottom w:val="nil"/>
              <w:right w:val="single" w:sz="4" w:space="0" w:color="auto"/>
            </w:tcBorders>
            <w:shd w:val="clear" w:color="auto" w:fill="auto"/>
            <w:noWrap/>
            <w:vAlign w:val="center"/>
            <w:hideMark/>
          </w:tcPr>
          <w:p w14:paraId="6F4EAE8E" w14:textId="4B27634A" w:rsidR="0017302E" w:rsidRPr="0017302E" w:rsidRDefault="0017302E" w:rsidP="0017302E">
            <w:pPr>
              <w:jc w:val="right"/>
              <w:rPr>
                <w:b/>
                <w:bCs/>
                <w:color w:val="000000"/>
                <w:sz w:val="20"/>
              </w:rPr>
            </w:pPr>
            <w:r w:rsidRPr="0017302E">
              <w:rPr>
                <w:b/>
                <w:bCs/>
                <w:color w:val="000000"/>
                <w:sz w:val="20"/>
              </w:rPr>
              <w:t>337,196</w:t>
            </w:r>
          </w:p>
        </w:tc>
      </w:tr>
      <w:tr w:rsidR="0017302E" w:rsidRPr="0017302E" w14:paraId="56F2EB18" w14:textId="77777777" w:rsidTr="00CE532F">
        <w:trPr>
          <w:cantSplit/>
          <w:trHeight w:val="288"/>
          <w:jc w:val="center"/>
        </w:trPr>
        <w:tc>
          <w:tcPr>
            <w:tcW w:w="2046" w:type="dxa"/>
            <w:tcBorders>
              <w:top w:val="nil"/>
              <w:left w:val="single" w:sz="4" w:space="0" w:color="auto"/>
              <w:bottom w:val="single" w:sz="4" w:space="0" w:color="auto"/>
              <w:right w:val="single" w:sz="4" w:space="0" w:color="auto"/>
            </w:tcBorders>
            <w:shd w:val="clear" w:color="auto" w:fill="auto"/>
            <w:noWrap/>
            <w:vAlign w:val="center"/>
            <w:hideMark/>
          </w:tcPr>
          <w:p w14:paraId="55D394B0" w14:textId="77777777" w:rsidR="0017302E" w:rsidRPr="0017302E" w:rsidRDefault="0017302E" w:rsidP="0017302E">
            <w:pPr>
              <w:rPr>
                <w:color w:val="000000"/>
                <w:sz w:val="20"/>
              </w:rPr>
            </w:pPr>
            <w:r w:rsidRPr="0017302E">
              <w:rPr>
                <w:color w:val="000000"/>
                <w:sz w:val="20"/>
              </w:rPr>
              <w:t xml:space="preserve">   Total Population</w:t>
            </w:r>
          </w:p>
        </w:tc>
        <w:tc>
          <w:tcPr>
            <w:tcW w:w="1034" w:type="dxa"/>
            <w:tcBorders>
              <w:top w:val="nil"/>
              <w:left w:val="single" w:sz="4" w:space="0" w:color="auto"/>
              <w:bottom w:val="single" w:sz="4" w:space="0" w:color="auto"/>
              <w:right w:val="single" w:sz="4" w:space="0" w:color="auto"/>
            </w:tcBorders>
            <w:shd w:val="clear" w:color="auto" w:fill="auto"/>
            <w:noWrap/>
            <w:vAlign w:val="center"/>
            <w:hideMark/>
          </w:tcPr>
          <w:p w14:paraId="30FC18FA" w14:textId="06B83558" w:rsidR="0017302E" w:rsidRPr="0017302E" w:rsidRDefault="0017302E" w:rsidP="0017302E">
            <w:pPr>
              <w:jc w:val="right"/>
              <w:rPr>
                <w:color w:val="000000"/>
                <w:sz w:val="20"/>
              </w:rPr>
            </w:pPr>
            <w:r w:rsidRPr="0017302E">
              <w:rPr>
                <w:color w:val="000000"/>
                <w:sz w:val="20"/>
              </w:rPr>
              <w:t>4,648,794</w:t>
            </w:r>
          </w:p>
        </w:tc>
        <w:tc>
          <w:tcPr>
            <w:tcW w:w="1034" w:type="dxa"/>
            <w:tcBorders>
              <w:top w:val="nil"/>
              <w:left w:val="single" w:sz="4" w:space="0" w:color="auto"/>
              <w:bottom w:val="single" w:sz="4" w:space="0" w:color="auto"/>
              <w:right w:val="single" w:sz="4" w:space="0" w:color="auto"/>
            </w:tcBorders>
            <w:shd w:val="clear" w:color="auto" w:fill="auto"/>
            <w:noWrap/>
            <w:vAlign w:val="center"/>
            <w:hideMark/>
          </w:tcPr>
          <w:p w14:paraId="5256FE05" w14:textId="495BF40D" w:rsidR="0017302E" w:rsidRPr="0017302E" w:rsidRDefault="0017302E" w:rsidP="0017302E">
            <w:pPr>
              <w:jc w:val="right"/>
              <w:rPr>
                <w:color w:val="000000"/>
                <w:sz w:val="20"/>
              </w:rPr>
            </w:pPr>
            <w:r w:rsidRPr="0017302E">
              <w:rPr>
                <w:color w:val="000000"/>
                <w:sz w:val="20"/>
              </w:rPr>
              <w:t>893,078</w:t>
            </w:r>
          </w:p>
        </w:tc>
        <w:tc>
          <w:tcPr>
            <w:tcW w:w="1034" w:type="dxa"/>
            <w:tcBorders>
              <w:top w:val="nil"/>
              <w:left w:val="single" w:sz="4" w:space="0" w:color="auto"/>
              <w:bottom w:val="single" w:sz="4" w:space="0" w:color="auto"/>
              <w:right w:val="single" w:sz="4" w:space="0" w:color="auto"/>
            </w:tcBorders>
            <w:shd w:val="clear" w:color="auto" w:fill="auto"/>
            <w:noWrap/>
            <w:vAlign w:val="center"/>
            <w:hideMark/>
          </w:tcPr>
          <w:p w14:paraId="6E5BDF6E" w14:textId="631D47DD" w:rsidR="0017302E" w:rsidRPr="0017302E" w:rsidRDefault="0017302E" w:rsidP="0017302E">
            <w:pPr>
              <w:jc w:val="right"/>
              <w:rPr>
                <w:color w:val="000000"/>
                <w:sz w:val="20"/>
              </w:rPr>
            </w:pPr>
            <w:r w:rsidRPr="0017302E">
              <w:rPr>
                <w:color w:val="000000"/>
                <w:sz w:val="20"/>
              </w:rPr>
              <w:t>460,585</w:t>
            </w:r>
          </w:p>
        </w:tc>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55976217" w14:textId="5F2EB0FB" w:rsidR="0017302E" w:rsidRPr="0017302E" w:rsidRDefault="0017302E" w:rsidP="0017302E">
            <w:pPr>
              <w:jc w:val="right"/>
              <w:rPr>
                <w:color w:val="000000"/>
                <w:sz w:val="20"/>
              </w:rPr>
            </w:pPr>
            <w:r w:rsidRPr="0017302E">
              <w:rPr>
                <w:color w:val="000000"/>
                <w:sz w:val="20"/>
              </w:rPr>
              <w:t>390,144</w:t>
            </w:r>
          </w:p>
        </w:tc>
        <w:tc>
          <w:tcPr>
            <w:tcW w:w="1034" w:type="dxa"/>
            <w:tcBorders>
              <w:top w:val="nil"/>
              <w:left w:val="single" w:sz="4" w:space="0" w:color="auto"/>
              <w:bottom w:val="single" w:sz="4" w:space="0" w:color="auto"/>
              <w:right w:val="single" w:sz="4" w:space="0" w:color="auto"/>
            </w:tcBorders>
            <w:shd w:val="clear" w:color="auto" w:fill="auto"/>
            <w:noWrap/>
            <w:vAlign w:val="center"/>
            <w:hideMark/>
          </w:tcPr>
          <w:p w14:paraId="2B9AF22F" w14:textId="655AF84C" w:rsidR="0017302E" w:rsidRPr="0017302E" w:rsidRDefault="0017302E" w:rsidP="0017302E">
            <w:pPr>
              <w:jc w:val="right"/>
              <w:rPr>
                <w:color w:val="000000"/>
                <w:sz w:val="20"/>
              </w:rPr>
            </w:pPr>
            <w:r w:rsidRPr="0017302E">
              <w:rPr>
                <w:color w:val="000000"/>
                <w:sz w:val="20"/>
              </w:rPr>
              <w:t>23,197</w:t>
            </w:r>
          </w:p>
        </w:tc>
        <w:tc>
          <w:tcPr>
            <w:tcW w:w="1034" w:type="dxa"/>
            <w:tcBorders>
              <w:top w:val="nil"/>
              <w:left w:val="single" w:sz="4" w:space="0" w:color="auto"/>
              <w:bottom w:val="single" w:sz="4" w:space="0" w:color="auto"/>
              <w:right w:val="single" w:sz="4" w:space="0" w:color="auto"/>
            </w:tcBorders>
            <w:shd w:val="clear" w:color="auto" w:fill="auto"/>
            <w:noWrap/>
            <w:vAlign w:val="center"/>
            <w:hideMark/>
          </w:tcPr>
          <w:p w14:paraId="7249C924" w14:textId="4954679A" w:rsidR="0017302E" w:rsidRPr="0017302E" w:rsidRDefault="0017302E" w:rsidP="0017302E">
            <w:pPr>
              <w:jc w:val="right"/>
              <w:rPr>
                <w:color w:val="000000"/>
                <w:sz w:val="20"/>
              </w:rPr>
            </w:pPr>
            <w:r w:rsidRPr="0017302E">
              <w:rPr>
                <w:color w:val="000000"/>
                <w:sz w:val="20"/>
              </w:rPr>
              <w:t>47,244</w:t>
            </w:r>
          </w:p>
        </w:tc>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13B662A4" w14:textId="3E4AF01B" w:rsidR="0017302E" w:rsidRPr="0017302E" w:rsidRDefault="0017302E" w:rsidP="0017302E">
            <w:pPr>
              <w:jc w:val="right"/>
              <w:rPr>
                <w:color w:val="000000"/>
                <w:sz w:val="20"/>
              </w:rPr>
            </w:pPr>
            <w:r w:rsidRPr="0017302E">
              <w:rPr>
                <w:color w:val="000000"/>
                <w:sz w:val="20"/>
              </w:rPr>
              <w:t>432,493</w:t>
            </w:r>
          </w:p>
        </w:tc>
      </w:tr>
      <w:bookmarkEnd w:id="25"/>
      <w:tr w:rsidR="0017302E" w:rsidRPr="0017302E" w14:paraId="52FC0437" w14:textId="77777777" w:rsidTr="005A6E21">
        <w:trPr>
          <w:cantSplit/>
          <w:trHeight w:val="3563"/>
          <w:jc w:val="center"/>
        </w:trPr>
        <w:tc>
          <w:tcPr>
            <w:tcW w:w="9286" w:type="dxa"/>
            <w:gridSpan w:val="8"/>
            <w:tcBorders>
              <w:top w:val="nil"/>
              <w:left w:val="nil"/>
              <w:bottom w:val="nil"/>
              <w:right w:val="nil"/>
            </w:tcBorders>
            <w:shd w:val="clear" w:color="auto" w:fill="auto"/>
            <w:hideMark/>
          </w:tcPr>
          <w:p w14:paraId="4031D66E" w14:textId="2F1A02BD" w:rsidR="0017302E" w:rsidRPr="0017302E" w:rsidRDefault="0017302E" w:rsidP="0017302E">
            <w:pPr>
              <w:rPr>
                <w:color w:val="000000"/>
                <w:sz w:val="20"/>
              </w:rPr>
            </w:pPr>
            <w:r w:rsidRPr="0017302E">
              <w:rPr>
                <w:b/>
                <w:bCs/>
                <w:color w:val="000000"/>
                <w:sz w:val="20"/>
              </w:rPr>
              <w:t>Notes:</w:t>
            </w:r>
            <w:r w:rsidRPr="0017302E">
              <w:rPr>
                <w:color w:val="000000"/>
                <w:sz w:val="20"/>
              </w:rPr>
              <w:br/>
              <w:t xml:space="preserve">1. The U.S. Census provides parish/county-level population estimates by various age categories </w:t>
            </w:r>
            <w:r>
              <w:rPr>
                <w:color w:val="000000"/>
                <w:sz w:val="20"/>
              </w:rPr>
              <w:t>for</w:t>
            </w:r>
            <w:r w:rsidRPr="0017302E">
              <w:rPr>
                <w:color w:val="000000"/>
                <w:sz w:val="20"/>
              </w:rPr>
              <w:t xml:space="preserve"> July 1st of intercensal years. NSDUH provides estimates for ages 12-17, 18-25 and 26 and older. These do not correspond to U.S. Census age groups. Therefore, populations for NSDUH age groups are further estimated by </w:t>
            </w:r>
            <w:r w:rsidRPr="0017302E">
              <w:rPr>
                <w:b/>
                <w:bCs/>
                <w:color w:val="000000"/>
                <w:sz w:val="20"/>
              </w:rPr>
              <w:t>interpolation</w:t>
            </w:r>
            <w:r w:rsidRPr="0017302E">
              <w:rPr>
                <w:color w:val="000000"/>
                <w:sz w:val="20"/>
              </w:rPr>
              <w:t>. Age 12 is the midpoint of the Census age 10-14 group; age 12 is estimated as one-fifth of the population for ages 10-14.</w:t>
            </w:r>
            <w:r w:rsidRPr="0017302E">
              <w:rPr>
                <w:color w:val="000000"/>
                <w:sz w:val="20"/>
              </w:rPr>
              <w:br/>
              <w:t>2. Age 13 population is estimated from the mid-points of the Census age 10-14 and age 14-17 groups.</w:t>
            </w:r>
            <w:r w:rsidRPr="0017302E">
              <w:rPr>
                <w:color w:val="000000"/>
                <w:sz w:val="20"/>
              </w:rPr>
              <w:br/>
              <w:t>3. Age 25 population is estimated from the mid-points of the Census age 18-24 and age 25-29 groups.</w:t>
            </w:r>
            <w:r w:rsidRPr="0017302E">
              <w:rPr>
                <w:color w:val="000000"/>
                <w:sz w:val="20"/>
              </w:rPr>
              <w:br/>
              <w:t xml:space="preserve">4. The "Older Adults 26+" population is estimated by subtracting age 18-24 and age 25 from the </w:t>
            </w:r>
            <w:r w:rsidR="0066100E" w:rsidRPr="0017302E">
              <w:rPr>
                <w:color w:val="000000"/>
                <w:sz w:val="20"/>
              </w:rPr>
              <w:t>Census</w:t>
            </w:r>
            <w:r w:rsidRPr="0017302E">
              <w:rPr>
                <w:color w:val="000000"/>
                <w:sz w:val="20"/>
              </w:rPr>
              <w:t xml:space="preserve"> population for Ages 18 and older.</w:t>
            </w:r>
            <w:r w:rsidRPr="0017302E">
              <w:rPr>
                <w:color w:val="000000"/>
                <w:sz w:val="20"/>
              </w:rPr>
              <w:br/>
              <w:t>5. "Louisiana Statewide" population is estimated by summing the population estimates across all 64 parishes.</w:t>
            </w:r>
            <w:r w:rsidRPr="0017302E">
              <w:rPr>
                <w:color w:val="000000"/>
                <w:sz w:val="20"/>
              </w:rPr>
              <w:br/>
              <w:t>6. Subcategories in this table may not sum precisely to totals due to rounding of fractional estimates.</w:t>
            </w:r>
            <w:r w:rsidRPr="0017302E">
              <w:rPr>
                <w:color w:val="000000"/>
                <w:sz w:val="20"/>
              </w:rPr>
              <w:br/>
            </w:r>
            <w:r w:rsidRPr="0017302E">
              <w:rPr>
                <w:b/>
                <w:bCs/>
                <w:color w:val="000000"/>
                <w:sz w:val="20"/>
              </w:rPr>
              <w:t>Source:</w:t>
            </w:r>
            <w:r w:rsidRPr="0017302E">
              <w:rPr>
                <w:color w:val="000000"/>
                <w:sz w:val="20"/>
              </w:rPr>
              <w:t xml:space="preserve"> </w:t>
            </w:r>
            <w:r w:rsidRPr="0017302E">
              <w:rPr>
                <w:color w:val="000000"/>
                <w:sz w:val="20"/>
              </w:rPr>
              <w:br/>
              <w:t>U.S.</w:t>
            </w:r>
            <w:r w:rsidR="0066100E">
              <w:rPr>
                <w:color w:val="000000"/>
                <w:sz w:val="20"/>
              </w:rPr>
              <w:t xml:space="preserve"> </w:t>
            </w:r>
            <w:r w:rsidRPr="0017302E">
              <w:rPr>
                <w:color w:val="000000"/>
                <w:sz w:val="20"/>
              </w:rPr>
              <w:t xml:space="preserve">Census: County Population by Characteristics: 2010-2019: </w:t>
            </w:r>
            <w:hyperlink r:id="rId10" w:history="1">
              <w:r w:rsidR="00F100CF" w:rsidRPr="0017302E">
                <w:rPr>
                  <w:rStyle w:val="Hyperlink"/>
                  <w:sz w:val="20"/>
                </w:rPr>
                <w:t>https://www.census.gov/data/tables/time-series/demo/popest/2010s-counties-detail.html</w:t>
              </w:r>
            </w:hyperlink>
            <w:r w:rsidRPr="0017302E">
              <w:rPr>
                <w:color w:val="000000"/>
                <w:sz w:val="20"/>
              </w:rPr>
              <w:t>, November 27, 2020.</w:t>
            </w:r>
          </w:p>
        </w:tc>
      </w:tr>
    </w:tbl>
    <w:p w14:paraId="3DB6CF9E" w14:textId="2947BF09" w:rsidR="00C17DDD" w:rsidRDefault="00C17DDD"/>
    <w:p w14:paraId="40787F8E" w14:textId="77777777" w:rsidR="00C17DDD" w:rsidRDefault="00C17DDD"/>
    <w:p w14:paraId="7BB6949D" w14:textId="2F240AB9" w:rsidR="005A6E21" w:rsidRDefault="005A6E21">
      <w:r>
        <w:br w:type="page"/>
      </w:r>
    </w:p>
    <w:p w14:paraId="7491FC89" w14:textId="77777777" w:rsidR="00196D47" w:rsidRPr="00196D47" w:rsidRDefault="005A6E21" w:rsidP="005A6E21">
      <w:pPr>
        <w:jc w:val="center"/>
        <w:rPr>
          <w:b/>
          <w:bCs/>
          <w:szCs w:val="24"/>
        </w:rPr>
      </w:pPr>
      <w:r w:rsidRPr="00196D47">
        <w:rPr>
          <w:b/>
          <w:bCs/>
          <w:szCs w:val="24"/>
        </w:rPr>
        <w:lastRenderedPageBreak/>
        <w:t xml:space="preserve">Appendix B: </w:t>
      </w:r>
    </w:p>
    <w:p w14:paraId="6AD67619" w14:textId="3481D9EC" w:rsidR="005A6E21" w:rsidRPr="00196D47" w:rsidRDefault="005A6E21" w:rsidP="005A6E21">
      <w:pPr>
        <w:jc w:val="center"/>
        <w:rPr>
          <w:b/>
          <w:bCs/>
          <w:szCs w:val="24"/>
        </w:rPr>
      </w:pPr>
      <w:r w:rsidRPr="00196D47">
        <w:rPr>
          <w:b/>
          <w:bCs/>
          <w:szCs w:val="24"/>
        </w:rPr>
        <w:t xml:space="preserve">Comparison of Certain Prevalence Rates for Adolescents between the </w:t>
      </w:r>
    </w:p>
    <w:p w14:paraId="09220530" w14:textId="53A4D714" w:rsidR="005A6E21" w:rsidRPr="00196D47" w:rsidRDefault="005A6E21" w:rsidP="005A6E21">
      <w:pPr>
        <w:jc w:val="center"/>
        <w:rPr>
          <w:b/>
          <w:bCs/>
          <w:szCs w:val="24"/>
        </w:rPr>
      </w:pPr>
      <w:r w:rsidRPr="00196D47">
        <w:rPr>
          <w:b/>
          <w:bCs/>
          <w:szCs w:val="24"/>
        </w:rPr>
        <w:t xml:space="preserve">National Survey on Drug Use </w:t>
      </w:r>
      <w:r w:rsidR="00DC655C">
        <w:rPr>
          <w:b/>
          <w:bCs/>
          <w:szCs w:val="24"/>
        </w:rPr>
        <w:t xml:space="preserve">and Health </w:t>
      </w:r>
      <w:r w:rsidRPr="00196D47">
        <w:rPr>
          <w:b/>
          <w:bCs/>
          <w:szCs w:val="24"/>
        </w:rPr>
        <w:t xml:space="preserve">(NSDUH) and the </w:t>
      </w:r>
    </w:p>
    <w:p w14:paraId="14BC2371" w14:textId="1F9210C1" w:rsidR="00E8405F" w:rsidRDefault="005A6E21" w:rsidP="005A6E21">
      <w:pPr>
        <w:jc w:val="center"/>
        <w:rPr>
          <w:b/>
          <w:bCs/>
          <w:szCs w:val="24"/>
        </w:rPr>
      </w:pPr>
      <w:r w:rsidRPr="00196D47">
        <w:rPr>
          <w:b/>
          <w:bCs/>
          <w:szCs w:val="24"/>
        </w:rPr>
        <w:t>Louisiana Caring Communities Youth Survey (CCYS)</w:t>
      </w:r>
    </w:p>
    <w:p w14:paraId="41996EB1" w14:textId="36384715" w:rsidR="00196D47" w:rsidRDefault="00196D47" w:rsidP="00196D47">
      <w:pPr>
        <w:rPr>
          <w:b/>
          <w:bCs/>
          <w:szCs w:val="24"/>
        </w:rPr>
      </w:pPr>
    </w:p>
    <w:p w14:paraId="280BAEBF" w14:textId="633B9F1D" w:rsidR="00196D47" w:rsidRDefault="00196D47" w:rsidP="00196D47">
      <w:pPr>
        <w:rPr>
          <w:b/>
          <w:bCs/>
          <w:szCs w:val="24"/>
        </w:rPr>
      </w:pPr>
    </w:p>
    <w:tbl>
      <w:tblPr>
        <w:tblW w:w="7470" w:type="dxa"/>
        <w:jc w:val="center"/>
        <w:tblLook w:val="04A0" w:firstRow="1" w:lastRow="0" w:firstColumn="1" w:lastColumn="0" w:noHBand="0" w:noVBand="1"/>
      </w:tblPr>
      <w:tblGrid>
        <w:gridCol w:w="1890"/>
        <w:gridCol w:w="2970"/>
        <w:gridCol w:w="1305"/>
        <w:gridCol w:w="1305"/>
      </w:tblGrid>
      <w:tr w:rsidR="00351824" w:rsidRPr="00351824" w14:paraId="7A3E534B" w14:textId="77777777" w:rsidTr="00AB2926">
        <w:trPr>
          <w:trHeight w:val="945"/>
          <w:jc w:val="center"/>
        </w:trPr>
        <w:tc>
          <w:tcPr>
            <w:tcW w:w="7470" w:type="dxa"/>
            <w:gridSpan w:val="4"/>
            <w:tcBorders>
              <w:top w:val="nil"/>
              <w:left w:val="nil"/>
              <w:bottom w:val="single" w:sz="4" w:space="0" w:color="auto"/>
              <w:right w:val="nil"/>
            </w:tcBorders>
            <w:shd w:val="clear" w:color="auto" w:fill="auto"/>
            <w:vAlign w:val="center"/>
            <w:hideMark/>
          </w:tcPr>
          <w:p w14:paraId="58E87228" w14:textId="77777777" w:rsidR="00351824" w:rsidRDefault="00351824" w:rsidP="00351824">
            <w:pPr>
              <w:jc w:val="center"/>
              <w:rPr>
                <w:b/>
                <w:bCs/>
                <w:color w:val="000000"/>
                <w:sz w:val="20"/>
              </w:rPr>
            </w:pPr>
            <w:r w:rsidRPr="00351824">
              <w:rPr>
                <w:b/>
                <w:bCs/>
                <w:color w:val="000000"/>
                <w:sz w:val="20"/>
              </w:rPr>
              <w:t xml:space="preserve">Comparison of Certain Prevalence Rates for Adolescents between the </w:t>
            </w:r>
          </w:p>
          <w:p w14:paraId="23D33FAB" w14:textId="0EB53615" w:rsidR="00351824" w:rsidRPr="00351824" w:rsidRDefault="00351824" w:rsidP="00351824">
            <w:pPr>
              <w:jc w:val="center"/>
              <w:rPr>
                <w:b/>
                <w:bCs/>
                <w:color w:val="000000"/>
                <w:sz w:val="20"/>
              </w:rPr>
            </w:pPr>
            <w:r w:rsidRPr="00351824">
              <w:rPr>
                <w:b/>
                <w:bCs/>
                <w:color w:val="000000"/>
                <w:sz w:val="20"/>
              </w:rPr>
              <w:t xml:space="preserve">National Survey on Drug Use and Health (NSDUH) and the </w:t>
            </w:r>
            <w:r w:rsidRPr="00351824">
              <w:rPr>
                <w:b/>
                <w:bCs/>
                <w:color w:val="000000"/>
                <w:sz w:val="20"/>
              </w:rPr>
              <w:br/>
              <w:t>Louisiana Caring Communities Youth Survey (CCYS)</w:t>
            </w:r>
          </w:p>
        </w:tc>
      </w:tr>
      <w:tr w:rsidR="00351824" w:rsidRPr="00351824" w14:paraId="02554619" w14:textId="77777777" w:rsidTr="00AB2926">
        <w:trPr>
          <w:trHeight w:val="1020"/>
          <w:jc w:val="center"/>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40E4BB9" w14:textId="77777777" w:rsidR="00351824" w:rsidRPr="00351824" w:rsidRDefault="00351824" w:rsidP="00351824">
            <w:pPr>
              <w:jc w:val="center"/>
              <w:rPr>
                <w:b/>
                <w:bCs/>
                <w:color w:val="000000"/>
                <w:sz w:val="20"/>
              </w:rPr>
            </w:pPr>
            <w:r w:rsidRPr="00351824">
              <w:rPr>
                <w:b/>
                <w:bCs/>
                <w:color w:val="000000"/>
                <w:sz w:val="20"/>
              </w:rPr>
              <w:t>Prevalence Indicator</w:t>
            </w:r>
          </w:p>
        </w:tc>
        <w:tc>
          <w:tcPr>
            <w:tcW w:w="2970" w:type="dxa"/>
            <w:tcBorders>
              <w:top w:val="nil"/>
              <w:left w:val="nil"/>
              <w:bottom w:val="nil"/>
              <w:right w:val="single" w:sz="4" w:space="0" w:color="auto"/>
            </w:tcBorders>
            <w:shd w:val="clear" w:color="auto" w:fill="auto"/>
            <w:vAlign w:val="center"/>
            <w:hideMark/>
          </w:tcPr>
          <w:p w14:paraId="737BCC33" w14:textId="77777777" w:rsidR="00351824" w:rsidRPr="00351824" w:rsidRDefault="00351824" w:rsidP="00351824">
            <w:pPr>
              <w:jc w:val="center"/>
              <w:rPr>
                <w:b/>
                <w:bCs/>
                <w:color w:val="000000"/>
                <w:sz w:val="20"/>
              </w:rPr>
            </w:pPr>
            <w:r w:rsidRPr="00351824">
              <w:rPr>
                <w:b/>
                <w:bCs/>
                <w:color w:val="000000"/>
                <w:sz w:val="20"/>
              </w:rPr>
              <w:t>Area</w:t>
            </w:r>
          </w:p>
        </w:tc>
        <w:tc>
          <w:tcPr>
            <w:tcW w:w="1305" w:type="dxa"/>
            <w:tcBorders>
              <w:top w:val="nil"/>
              <w:left w:val="nil"/>
              <w:bottom w:val="nil"/>
              <w:right w:val="single" w:sz="4" w:space="0" w:color="auto"/>
            </w:tcBorders>
            <w:shd w:val="clear" w:color="auto" w:fill="auto"/>
            <w:vAlign w:val="center"/>
            <w:hideMark/>
          </w:tcPr>
          <w:p w14:paraId="6F55B21E" w14:textId="77777777" w:rsidR="00351824" w:rsidRPr="00351824" w:rsidRDefault="00351824" w:rsidP="00351824">
            <w:pPr>
              <w:jc w:val="center"/>
              <w:rPr>
                <w:b/>
                <w:bCs/>
                <w:color w:val="000000"/>
                <w:sz w:val="20"/>
              </w:rPr>
            </w:pPr>
            <w:r w:rsidRPr="00351824">
              <w:rPr>
                <w:b/>
                <w:bCs/>
                <w:color w:val="000000"/>
                <w:sz w:val="20"/>
              </w:rPr>
              <w:t xml:space="preserve">Adolescents </w:t>
            </w:r>
            <w:proofErr w:type="gramStart"/>
            <w:r w:rsidRPr="00351824">
              <w:rPr>
                <w:b/>
                <w:bCs/>
                <w:color w:val="000000"/>
                <w:sz w:val="20"/>
              </w:rPr>
              <w:t>Age</w:t>
            </w:r>
            <w:proofErr w:type="gramEnd"/>
            <w:r w:rsidRPr="00351824">
              <w:rPr>
                <w:b/>
                <w:bCs/>
                <w:color w:val="000000"/>
                <w:sz w:val="20"/>
              </w:rPr>
              <w:t xml:space="preserve"> 12-17, NSDUH </w:t>
            </w:r>
            <w:r w:rsidRPr="00351824">
              <w:rPr>
                <w:b/>
                <w:bCs/>
                <w:color w:val="000000"/>
                <w:sz w:val="20"/>
              </w:rPr>
              <w:br/>
              <w:t>2016-2018</w:t>
            </w:r>
          </w:p>
        </w:tc>
        <w:tc>
          <w:tcPr>
            <w:tcW w:w="1305" w:type="dxa"/>
            <w:tcBorders>
              <w:top w:val="nil"/>
              <w:left w:val="nil"/>
              <w:bottom w:val="nil"/>
              <w:right w:val="single" w:sz="4" w:space="0" w:color="auto"/>
            </w:tcBorders>
            <w:shd w:val="clear" w:color="auto" w:fill="auto"/>
            <w:vAlign w:val="center"/>
            <w:hideMark/>
          </w:tcPr>
          <w:p w14:paraId="459F10D3" w14:textId="77777777" w:rsidR="00351824" w:rsidRPr="00351824" w:rsidRDefault="00351824" w:rsidP="00351824">
            <w:pPr>
              <w:jc w:val="center"/>
              <w:rPr>
                <w:b/>
                <w:bCs/>
                <w:color w:val="000000"/>
                <w:sz w:val="20"/>
              </w:rPr>
            </w:pPr>
            <w:r w:rsidRPr="00351824">
              <w:rPr>
                <w:b/>
                <w:bCs/>
                <w:color w:val="000000"/>
                <w:sz w:val="20"/>
              </w:rPr>
              <w:t xml:space="preserve">Students in 10th Grade, CCYS </w:t>
            </w:r>
            <w:r w:rsidRPr="00351824">
              <w:rPr>
                <w:b/>
                <w:bCs/>
                <w:color w:val="000000"/>
                <w:sz w:val="20"/>
              </w:rPr>
              <w:br/>
              <w:t>2018 *</w:t>
            </w:r>
          </w:p>
        </w:tc>
      </w:tr>
      <w:tr w:rsidR="00351824" w:rsidRPr="00351824" w14:paraId="1CD93915" w14:textId="77777777" w:rsidTr="00AB2926">
        <w:trPr>
          <w:trHeight w:val="282"/>
          <w:jc w:val="center"/>
        </w:trPr>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1C6EDF96" w14:textId="77777777" w:rsidR="00351824" w:rsidRPr="00351824" w:rsidRDefault="00351824" w:rsidP="00351824">
            <w:pPr>
              <w:jc w:val="center"/>
              <w:rPr>
                <w:b/>
                <w:bCs/>
                <w:color w:val="000000"/>
                <w:sz w:val="20"/>
              </w:rPr>
            </w:pPr>
            <w:r w:rsidRPr="00351824">
              <w:rPr>
                <w:b/>
                <w:bCs/>
                <w:color w:val="000000"/>
                <w:sz w:val="20"/>
              </w:rPr>
              <w:t>Any Substance</w:t>
            </w:r>
            <w:r w:rsidRPr="00351824">
              <w:rPr>
                <w:b/>
                <w:bCs/>
                <w:color w:val="000000"/>
                <w:sz w:val="20"/>
              </w:rPr>
              <w:br/>
              <w:t>Use Disorder**</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484414D" w14:textId="77777777" w:rsidR="00351824" w:rsidRPr="00351824" w:rsidRDefault="00351824" w:rsidP="00351824">
            <w:pPr>
              <w:rPr>
                <w:b/>
                <w:bCs/>
                <w:color w:val="000000"/>
                <w:sz w:val="20"/>
              </w:rPr>
            </w:pPr>
            <w:r w:rsidRPr="00351824">
              <w:rPr>
                <w:b/>
                <w:bCs/>
                <w:color w:val="000000"/>
                <w:sz w:val="20"/>
              </w:rPr>
              <w:t>Statewide</w:t>
            </w:r>
          </w:p>
        </w:tc>
        <w:tc>
          <w:tcPr>
            <w:tcW w:w="1305" w:type="dxa"/>
            <w:tcBorders>
              <w:top w:val="single" w:sz="4" w:space="0" w:color="auto"/>
              <w:left w:val="nil"/>
              <w:bottom w:val="single" w:sz="4" w:space="0" w:color="auto"/>
              <w:right w:val="nil"/>
            </w:tcBorders>
            <w:shd w:val="clear" w:color="auto" w:fill="auto"/>
            <w:noWrap/>
            <w:vAlign w:val="center"/>
            <w:hideMark/>
          </w:tcPr>
          <w:p w14:paraId="40CA2693" w14:textId="77777777" w:rsidR="00351824" w:rsidRPr="00351824" w:rsidRDefault="00351824" w:rsidP="00351824">
            <w:pPr>
              <w:jc w:val="center"/>
              <w:rPr>
                <w:color w:val="000000"/>
                <w:sz w:val="20"/>
              </w:rPr>
            </w:pPr>
            <w:r w:rsidRPr="00351824">
              <w:rPr>
                <w:color w:val="000000"/>
                <w:sz w:val="20"/>
              </w:rPr>
              <w:t>3.74%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6BC0E" w14:textId="77777777" w:rsidR="00351824" w:rsidRPr="00351824" w:rsidRDefault="00351824" w:rsidP="00351824">
            <w:pPr>
              <w:jc w:val="center"/>
              <w:rPr>
                <w:color w:val="000000"/>
                <w:sz w:val="20"/>
              </w:rPr>
            </w:pPr>
            <w:r w:rsidRPr="00351824">
              <w:rPr>
                <w:color w:val="000000"/>
                <w:sz w:val="20"/>
              </w:rPr>
              <w:t>7.2%</w:t>
            </w:r>
          </w:p>
        </w:tc>
      </w:tr>
      <w:tr w:rsidR="00351824" w:rsidRPr="00351824" w14:paraId="7F9EDFB5"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546FA5DB" w14:textId="77777777" w:rsidR="00351824" w:rsidRPr="00351824" w:rsidRDefault="00351824" w:rsidP="00351824">
            <w:pPr>
              <w:rPr>
                <w:b/>
                <w:bCs/>
                <w:color w:val="000000"/>
                <w:sz w:val="20"/>
              </w:rPr>
            </w:pPr>
          </w:p>
        </w:tc>
        <w:tc>
          <w:tcPr>
            <w:tcW w:w="2970" w:type="dxa"/>
            <w:tcBorders>
              <w:top w:val="nil"/>
              <w:left w:val="nil"/>
              <w:bottom w:val="single" w:sz="4" w:space="0" w:color="auto"/>
              <w:right w:val="single" w:sz="4" w:space="0" w:color="auto"/>
            </w:tcBorders>
            <w:shd w:val="clear" w:color="auto" w:fill="auto"/>
            <w:noWrap/>
            <w:vAlign w:val="center"/>
            <w:hideMark/>
          </w:tcPr>
          <w:p w14:paraId="5A3AAA7C" w14:textId="77777777" w:rsidR="00351824" w:rsidRPr="00351824" w:rsidRDefault="00351824" w:rsidP="00351824">
            <w:pPr>
              <w:rPr>
                <w:b/>
                <w:bCs/>
                <w:color w:val="000000"/>
                <w:sz w:val="20"/>
              </w:rPr>
            </w:pPr>
            <w:r w:rsidRPr="00351824">
              <w:rPr>
                <w:b/>
                <w:bCs/>
                <w:color w:val="000000"/>
                <w:sz w:val="20"/>
              </w:rPr>
              <w:t>Greater New Orleans</w:t>
            </w:r>
          </w:p>
        </w:tc>
        <w:tc>
          <w:tcPr>
            <w:tcW w:w="1305" w:type="dxa"/>
            <w:tcBorders>
              <w:top w:val="nil"/>
              <w:left w:val="nil"/>
              <w:bottom w:val="single" w:sz="4" w:space="0" w:color="auto"/>
              <w:right w:val="nil"/>
            </w:tcBorders>
            <w:shd w:val="clear" w:color="auto" w:fill="auto"/>
            <w:noWrap/>
            <w:vAlign w:val="center"/>
            <w:hideMark/>
          </w:tcPr>
          <w:p w14:paraId="17AB2E6B" w14:textId="77777777" w:rsidR="00351824" w:rsidRPr="00351824" w:rsidRDefault="00351824" w:rsidP="00351824">
            <w:pPr>
              <w:jc w:val="center"/>
              <w:rPr>
                <w:color w:val="000000"/>
                <w:sz w:val="20"/>
              </w:rPr>
            </w:pPr>
            <w:r w:rsidRPr="00351824">
              <w:rPr>
                <w:color w:val="000000"/>
                <w:sz w:val="20"/>
              </w:rPr>
              <w:t>3.53%</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1D206A68" w14:textId="77777777" w:rsidR="00351824" w:rsidRPr="00351824" w:rsidRDefault="00351824" w:rsidP="00351824">
            <w:pPr>
              <w:jc w:val="center"/>
              <w:rPr>
                <w:color w:val="000000"/>
                <w:sz w:val="20"/>
              </w:rPr>
            </w:pPr>
            <w:proofErr w:type="spellStart"/>
            <w:r w:rsidRPr="00351824">
              <w:rPr>
                <w:color w:val="000000"/>
                <w:sz w:val="20"/>
              </w:rPr>
              <w:t>na</w:t>
            </w:r>
            <w:proofErr w:type="spellEnd"/>
          </w:p>
        </w:tc>
      </w:tr>
      <w:tr w:rsidR="00351824" w:rsidRPr="00351824" w14:paraId="41D842C4"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0CF93159" w14:textId="77777777" w:rsidR="00351824" w:rsidRPr="00351824" w:rsidRDefault="00351824" w:rsidP="00351824">
            <w:pPr>
              <w:rPr>
                <w:b/>
                <w:bCs/>
                <w:color w:val="000000"/>
                <w:sz w:val="20"/>
              </w:rPr>
            </w:pPr>
          </w:p>
        </w:tc>
        <w:tc>
          <w:tcPr>
            <w:tcW w:w="2970" w:type="dxa"/>
            <w:tcBorders>
              <w:top w:val="nil"/>
              <w:left w:val="nil"/>
              <w:bottom w:val="single" w:sz="4" w:space="0" w:color="auto"/>
              <w:right w:val="single" w:sz="4" w:space="0" w:color="auto"/>
            </w:tcBorders>
            <w:shd w:val="clear" w:color="auto" w:fill="auto"/>
            <w:noWrap/>
            <w:vAlign w:val="center"/>
            <w:hideMark/>
          </w:tcPr>
          <w:p w14:paraId="4EE6C9EB" w14:textId="77777777" w:rsidR="00351824" w:rsidRPr="00351824" w:rsidRDefault="00351824" w:rsidP="00351824">
            <w:pPr>
              <w:rPr>
                <w:b/>
                <w:bCs/>
                <w:color w:val="000000"/>
                <w:sz w:val="20"/>
              </w:rPr>
            </w:pPr>
            <w:r w:rsidRPr="00351824">
              <w:rPr>
                <w:b/>
                <w:bCs/>
                <w:color w:val="000000"/>
                <w:sz w:val="20"/>
              </w:rPr>
              <w:t>Metropolitan HSD</w:t>
            </w:r>
          </w:p>
        </w:tc>
        <w:tc>
          <w:tcPr>
            <w:tcW w:w="1305" w:type="dxa"/>
            <w:tcBorders>
              <w:top w:val="nil"/>
              <w:left w:val="nil"/>
              <w:bottom w:val="single" w:sz="4" w:space="0" w:color="auto"/>
              <w:right w:val="nil"/>
            </w:tcBorders>
            <w:shd w:val="clear" w:color="auto" w:fill="auto"/>
            <w:noWrap/>
            <w:vAlign w:val="center"/>
            <w:hideMark/>
          </w:tcPr>
          <w:p w14:paraId="06DD2B1E" w14:textId="77777777" w:rsidR="00351824" w:rsidRPr="00351824" w:rsidRDefault="00351824" w:rsidP="00351824">
            <w:pPr>
              <w:jc w:val="center"/>
              <w:rPr>
                <w:color w:val="000000"/>
                <w:sz w:val="20"/>
              </w:rPr>
            </w:pPr>
            <w:r w:rsidRPr="00351824">
              <w:rPr>
                <w:color w:val="000000"/>
                <w:sz w:val="20"/>
              </w:rPr>
              <w:t>3.73%</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6DCBE334" w14:textId="77777777" w:rsidR="00351824" w:rsidRPr="00351824" w:rsidRDefault="00351824" w:rsidP="00351824">
            <w:pPr>
              <w:jc w:val="center"/>
              <w:rPr>
                <w:color w:val="000000"/>
                <w:sz w:val="20"/>
              </w:rPr>
            </w:pPr>
            <w:r w:rsidRPr="00351824">
              <w:rPr>
                <w:color w:val="000000"/>
                <w:sz w:val="20"/>
              </w:rPr>
              <w:t>6.2%</w:t>
            </w:r>
          </w:p>
        </w:tc>
      </w:tr>
      <w:tr w:rsidR="00351824" w:rsidRPr="00351824" w14:paraId="33031F62"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2086433B" w14:textId="77777777" w:rsidR="00351824" w:rsidRPr="00351824" w:rsidRDefault="00351824" w:rsidP="00351824">
            <w:pPr>
              <w:rPr>
                <w:b/>
                <w:bCs/>
                <w:color w:val="000000"/>
                <w:sz w:val="20"/>
              </w:rPr>
            </w:pPr>
          </w:p>
        </w:tc>
        <w:tc>
          <w:tcPr>
            <w:tcW w:w="2970" w:type="dxa"/>
            <w:tcBorders>
              <w:top w:val="nil"/>
              <w:left w:val="nil"/>
              <w:bottom w:val="nil"/>
              <w:right w:val="single" w:sz="4" w:space="0" w:color="auto"/>
            </w:tcBorders>
            <w:shd w:val="clear" w:color="auto" w:fill="auto"/>
            <w:noWrap/>
            <w:vAlign w:val="center"/>
            <w:hideMark/>
          </w:tcPr>
          <w:p w14:paraId="59CDE2BB" w14:textId="77777777" w:rsidR="00351824" w:rsidRPr="00351824" w:rsidRDefault="00351824" w:rsidP="00351824">
            <w:pPr>
              <w:rPr>
                <w:b/>
                <w:bCs/>
                <w:color w:val="000000"/>
                <w:sz w:val="20"/>
              </w:rPr>
            </w:pPr>
            <w:r w:rsidRPr="00351824">
              <w:rPr>
                <w:b/>
                <w:bCs/>
                <w:color w:val="000000"/>
                <w:sz w:val="20"/>
              </w:rPr>
              <w:t xml:space="preserve">    Orleans Parish</w:t>
            </w:r>
          </w:p>
        </w:tc>
        <w:tc>
          <w:tcPr>
            <w:tcW w:w="1305" w:type="dxa"/>
            <w:tcBorders>
              <w:top w:val="nil"/>
              <w:left w:val="nil"/>
              <w:bottom w:val="nil"/>
              <w:right w:val="nil"/>
            </w:tcBorders>
            <w:shd w:val="clear" w:color="auto" w:fill="auto"/>
            <w:noWrap/>
            <w:vAlign w:val="center"/>
            <w:hideMark/>
          </w:tcPr>
          <w:p w14:paraId="4A8017E5"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2F217E9D" w14:textId="77777777" w:rsidR="00351824" w:rsidRPr="00351824" w:rsidRDefault="00351824" w:rsidP="00351824">
            <w:pPr>
              <w:jc w:val="center"/>
              <w:rPr>
                <w:color w:val="000000"/>
                <w:sz w:val="20"/>
              </w:rPr>
            </w:pPr>
            <w:r w:rsidRPr="00351824">
              <w:rPr>
                <w:color w:val="000000"/>
                <w:sz w:val="20"/>
              </w:rPr>
              <w:t>7.1%</w:t>
            </w:r>
          </w:p>
        </w:tc>
      </w:tr>
      <w:tr w:rsidR="00351824" w:rsidRPr="00351824" w14:paraId="6C214FBC"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19D7BDFB" w14:textId="77777777" w:rsidR="00351824" w:rsidRPr="00351824" w:rsidRDefault="00351824" w:rsidP="00351824">
            <w:pPr>
              <w:rPr>
                <w:b/>
                <w:bCs/>
                <w:color w:val="000000"/>
                <w:sz w:val="20"/>
              </w:rPr>
            </w:pPr>
          </w:p>
        </w:tc>
        <w:tc>
          <w:tcPr>
            <w:tcW w:w="2970" w:type="dxa"/>
            <w:tcBorders>
              <w:top w:val="single" w:sz="4" w:space="0" w:color="auto"/>
              <w:left w:val="nil"/>
              <w:bottom w:val="nil"/>
              <w:right w:val="single" w:sz="4" w:space="0" w:color="auto"/>
            </w:tcBorders>
            <w:shd w:val="clear" w:color="auto" w:fill="auto"/>
            <w:noWrap/>
            <w:vAlign w:val="center"/>
            <w:hideMark/>
          </w:tcPr>
          <w:p w14:paraId="04A015B0" w14:textId="77777777" w:rsidR="00351824" w:rsidRPr="00351824" w:rsidRDefault="00351824" w:rsidP="00351824">
            <w:pPr>
              <w:rPr>
                <w:b/>
                <w:bCs/>
                <w:color w:val="000000"/>
                <w:sz w:val="20"/>
              </w:rPr>
            </w:pPr>
            <w:r w:rsidRPr="00351824">
              <w:rPr>
                <w:b/>
                <w:bCs/>
                <w:color w:val="000000"/>
                <w:sz w:val="20"/>
              </w:rPr>
              <w:t xml:space="preserve">    Plaquemines Parish</w:t>
            </w:r>
          </w:p>
        </w:tc>
        <w:tc>
          <w:tcPr>
            <w:tcW w:w="1305" w:type="dxa"/>
            <w:tcBorders>
              <w:top w:val="single" w:sz="4" w:space="0" w:color="auto"/>
              <w:left w:val="nil"/>
              <w:bottom w:val="nil"/>
              <w:right w:val="nil"/>
            </w:tcBorders>
            <w:shd w:val="clear" w:color="auto" w:fill="auto"/>
            <w:noWrap/>
            <w:vAlign w:val="center"/>
            <w:hideMark/>
          </w:tcPr>
          <w:p w14:paraId="0C6CA9B4"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3FB70AAC" w14:textId="77777777" w:rsidR="00351824" w:rsidRPr="00351824" w:rsidRDefault="00351824" w:rsidP="00351824">
            <w:pPr>
              <w:jc w:val="center"/>
              <w:rPr>
                <w:color w:val="000000"/>
                <w:sz w:val="20"/>
              </w:rPr>
            </w:pPr>
            <w:r w:rsidRPr="00351824">
              <w:rPr>
                <w:color w:val="000000"/>
                <w:sz w:val="20"/>
              </w:rPr>
              <w:t>3.7%</w:t>
            </w:r>
          </w:p>
        </w:tc>
      </w:tr>
      <w:tr w:rsidR="00351824" w:rsidRPr="00351824" w14:paraId="2F1275F0"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54FCC4AD" w14:textId="77777777" w:rsidR="00351824" w:rsidRPr="00351824" w:rsidRDefault="00351824" w:rsidP="00351824">
            <w:pPr>
              <w:rPr>
                <w:b/>
                <w:bCs/>
                <w:color w:val="000000"/>
                <w:sz w:val="20"/>
              </w:rPr>
            </w:pPr>
          </w:p>
        </w:tc>
        <w:tc>
          <w:tcPr>
            <w:tcW w:w="2970" w:type="dxa"/>
            <w:tcBorders>
              <w:top w:val="single" w:sz="4" w:space="0" w:color="auto"/>
              <w:left w:val="nil"/>
              <w:bottom w:val="nil"/>
              <w:right w:val="single" w:sz="4" w:space="0" w:color="auto"/>
            </w:tcBorders>
            <w:shd w:val="clear" w:color="auto" w:fill="auto"/>
            <w:noWrap/>
            <w:vAlign w:val="center"/>
            <w:hideMark/>
          </w:tcPr>
          <w:p w14:paraId="0011F18D" w14:textId="77777777" w:rsidR="00351824" w:rsidRPr="00351824" w:rsidRDefault="00351824" w:rsidP="00351824">
            <w:pPr>
              <w:rPr>
                <w:b/>
                <w:bCs/>
                <w:color w:val="000000"/>
                <w:sz w:val="20"/>
              </w:rPr>
            </w:pPr>
            <w:r w:rsidRPr="00351824">
              <w:rPr>
                <w:b/>
                <w:bCs/>
                <w:color w:val="000000"/>
                <w:sz w:val="20"/>
              </w:rPr>
              <w:t xml:space="preserve">    St. Bernard Parish</w:t>
            </w:r>
          </w:p>
        </w:tc>
        <w:tc>
          <w:tcPr>
            <w:tcW w:w="1305" w:type="dxa"/>
            <w:tcBorders>
              <w:top w:val="single" w:sz="4" w:space="0" w:color="auto"/>
              <w:left w:val="nil"/>
              <w:bottom w:val="nil"/>
              <w:right w:val="nil"/>
            </w:tcBorders>
            <w:shd w:val="clear" w:color="auto" w:fill="auto"/>
            <w:noWrap/>
            <w:vAlign w:val="center"/>
            <w:hideMark/>
          </w:tcPr>
          <w:p w14:paraId="4B6C5363"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15C7DA68" w14:textId="77777777" w:rsidR="00351824" w:rsidRPr="00351824" w:rsidRDefault="00351824" w:rsidP="00351824">
            <w:pPr>
              <w:jc w:val="center"/>
              <w:rPr>
                <w:color w:val="000000"/>
                <w:sz w:val="20"/>
              </w:rPr>
            </w:pPr>
            <w:proofErr w:type="spellStart"/>
            <w:r w:rsidRPr="00351824">
              <w:rPr>
                <w:color w:val="000000"/>
                <w:sz w:val="20"/>
              </w:rPr>
              <w:t>na</w:t>
            </w:r>
            <w:proofErr w:type="spellEnd"/>
          </w:p>
        </w:tc>
      </w:tr>
      <w:tr w:rsidR="00351824" w:rsidRPr="00351824" w14:paraId="5508CEAE"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72434DD4" w14:textId="77777777" w:rsidR="00351824" w:rsidRPr="00351824" w:rsidRDefault="00351824" w:rsidP="00351824">
            <w:pPr>
              <w:rPr>
                <w:b/>
                <w:bCs/>
                <w:color w:val="000000"/>
                <w:sz w:val="20"/>
              </w:rPr>
            </w:pPr>
          </w:p>
        </w:tc>
        <w:tc>
          <w:tcPr>
            <w:tcW w:w="2970" w:type="dxa"/>
            <w:tcBorders>
              <w:top w:val="single" w:sz="4" w:space="0" w:color="auto"/>
              <w:left w:val="nil"/>
              <w:bottom w:val="nil"/>
              <w:right w:val="single" w:sz="4" w:space="0" w:color="auto"/>
            </w:tcBorders>
            <w:shd w:val="clear" w:color="auto" w:fill="auto"/>
            <w:noWrap/>
            <w:vAlign w:val="center"/>
            <w:hideMark/>
          </w:tcPr>
          <w:p w14:paraId="1B0DAF76" w14:textId="77777777" w:rsidR="00351824" w:rsidRPr="00351824" w:rsidRDefault="00351824" w:rsidP="00351824">
            <w:pPr>
              <w:rPr>
                <w:b/>
                <w:bCs/>
                <w:color w:val="000000"/>
                <w:sz w:val="20"/>
              </w:rPr>
            </w:pPr>
            <w:r w:rsidRPr="00351824">
              <w:rPr>
                <w:b/>
                <w:bCs/>
                <w:color w:val="000000"/>
                <w:sz w:val="20"/>
              </w:rPr>
              <w:t>Jefferson Parish</w:t>
            </w:r>
          </w:p>
        </w:tc>
        <w:tc>
          <w:tcPr>
            <w:tcW w:w="1305" w:type="dxa"/>
            <w:tcBorders>
              <w:top w:val="single" w:sz="4" w:space="0" w:color="auto"/>
              <w:left w:val="nil"/>
              <w:bottom w:val="nil"/>
              <w:right w:val="nil"/>
            </w:tcBorders>
            <w:shd w:val="clear" w:color="auto" w:fill="auto"/>
            <w:noWrap/>
            <w:vAlign w:val="center"/>
            <w:hideMark/>
          </w:tcPr>
          <w:p w14:paraId="7710F5A4" w14:textId="77777777" w:rsidR="00351824" w:rsidRPr="00351824" w:rsidRDefault="00351824" w:rsidP="00351824">
            <w:pPr>
              <w:jc w:val="center"/>
              <w:rPr>
                <w:color w:val="000000"/>
                <w:sz w:val="20"/>
              </w:rPr>
            </w:pPr>
            <w:r w:rsidRPr="00351824">
              <w:rPr>
                <w:color w:val="000000"/>
                <w:sz w:val="20"/>
              </w:rPr>
              <w:t>3.32%</w:t>
            </w:r>
          </w:p>
        </w:tc>
        <w:tc>
          <w:tcPr>
            <w:tcW w:w="1305" w:type="dxa"/>
            <w:tcBorders>
              <w:top w:val="nil"/>
              <w:left w:val="single" w:sz="4" w:space="0" w:color="auto"/>
              <w:bottom w:val="nil"/>
              <w:right w:val="single" w:sz="4" w:space="0" w:color="auto"/>
            </w:tcBorders>
            <w:shd w:val="clear" w:color="auto" w:fill="auto"/>
            <w:vAlign w:val="center"/>
            <w:hideMark/>
          </w:tcPr>
          <w:p w14:paraId="60AC821F" w14:textId="77777777" w:rsidR="00351824" w:rsidRPr="00351824" w:rsidRDefault="00351824" w:rsidP="00351824">
            <w:pPr>
              <w:jc w:val="center"/>
              <w:rPr>
                <w:color w:val="000000"/>
                <w:sz w:val="20"/>
              </w:rPr>
            </w:pPr>
            <w:r w:rsidRPr="00351824">
              <w:rPr>
                <w:color w:val="000000"/>
                <w:sz w:val="20"/>
              </w:rPr>
              <w:t>8.1%</w:t>
            </w:r>
          </w:p>
        </w:tc>
      </w:tr>
      <w:tr w:rsidR="00351824" w:rsidRPr="00351824" w14:paraId="5B15AF21" w14:textId="77777777" w:rsidTr="00AB2926">
        <w:trPr>
          <w:trHeight w:val="282"/>
          <w:jc w:val="center"/>
        </w:trPr>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4DEDC6DF" w14:textId="77777777" w:rsidR="00351824" w:rsidRPr="00351824" w:rsidRDefault="00351824" w:rsidP="00351824">
            <w:pPr>
              <w:jc w:val="center"/>
              <w:rPr>
                <w:b/>
                <w:bCs/>
                <w:color w:val="000000"/>
                <w:sz w:val="20"/>
              </w:rPr>
            </w:pPr>
            <w:r w:rsidRPr="00351824">
              <w:rPr>
                <w:b/>
                <w:bCs/>
                <w:color w:val="000000"/>
                <w:sz w:val="20"/>
              </w:rPr>
              <w:t xml:space="preserve">Alcohol </w:t>
            </w:r>
            <w:r w:rsidRPr="00351824">
              <w:rPr>
                <w:b/>
                <w:bCs/>
                <w:color w:val="000000"/>
                <w:sz w:val="20"/>
              </w:rPr>
              <w:br/>
              <w:t>Use Disorder**</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5F334CD" w14:textId="77777777" w:rsidR="00351824" w:rsidRPr="00351824" w:rsidRDefault="00351824" w:rsidP="00351824">
            <w:pPr>
              <w:rPr>
                <w:b/>
                <w:bCs/>
                <w:color w:val="000000"/>
                <w:sz w:val="20"/>
              </w:rPr>
            </w:pPr>
            <w:r w:rsidRPr="00351824">
              <w:rPr>
                <w:b/>
                <w:bCs/>
                <w:color w:val="000000"/>
                <w:sz w:val="20"/>
              </w:rPr>
              <w:t>Statewide</w:t>
            </w:r>
          </w:p>
        </w:tc>
        <w:tc>
          <w:tcPr>
            <w:tcW w:w="1305" w:type="dxa"/>
            <w:tcBorders>
              <w:top w:val="single" w:sz="4" w:space="0" w:color="auto"/>
              <w:left w:val="nil"/>
              <w:bottom w:val="single" w:sz="4" w:space="0" w:color="auto"/>
              <w:right w:val="nil"/>
            </w:tcBorders>
            <w:shd w:val="clear" w:color="auto" w:fill="auto"/>
            <w:noWrap/>
            <w:vAlign w:val="center"/>
            <w:hideMark/>
          </w:tcPr>
          <w:p w14:paraId="4E3D6381" w14:textId="77777777" w:rsidR="00351824" w:rsidRPr="00351824" w:rsidRDefault="00351824" w:rsidP="00351824">
            <w:pPr>
              <w:jc w:val="center"/>
              <w:rPr>
                <w:color w:val="000000"/>
                <w:sz w:val="20"/>
              </w:rPr>
            </w:pPr>
            <w:r w:rsidRPr="00351824">
              <w:rPr>
                <w:color w:val="000000"/>
                <w:sz w:val="20"/>
              </w:rPr>
              <w:t>2.29%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F2D32" w14:textId="77777777" w:rsidR="00351824" w:rsidRPr="00351824" w:rsidRDefault="00351824" w:rsidP="00351824">
            <w:pPr>
              <w:jc w:val="center"/>
              <w:rPr>
                <w:color w:val="000000"/>
                <w:sz w:val="20"/>
              </w:rPr>
            </w:pPr>
            <w:r w:rsidRPr="00351824">
              <w:rPr>
                <w:color w:val="000000"/>
                <w:sz w:val="20"/>
              </w:rPr>
              <w:t>5.0%</w:t>
            </w:r>
          </w:p>
        </w:tc>
      </w:tr>
      <w:tr w:rsidR="00351824" w:rsidRPr="00351824" w14:paraId="1C1F0646"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69EC6844" w14:textId="77777777" w:rsidR="00351824" w:rsidRPr="00351824" w:rsidRDefault="00351824" w:rsidP="00351824">
            <w:pPr>
              <w:rPr>
                <w:b/>
                <w:bCs/>
                <w:color w:val="000000"/>
                <w:sz w:val="20"/>
              </w:rPr>
            </w:pPr>
          </w:p>
        </w:tc>
        <w:tc>
          <w:tcPr>
            <w:tcW w:w="2970" w:type="dxa"/>
            <w:tcBorders>
              <w:top w:val="nil"/>
              <w:left w:val="nil"/>
              <w:bottom w:val="single" w:sz="4" w:space="0" w:color="auto"/>
              <w:right w:val="single" w:sz="4" w:space="0" w:color="auto"/>
            </w:tcBorders>
            <w:shd w:val="clear" w:color="auto" w:fill="auto"/>
            <w:noWrap/>
            <w:vAlign w:val="center"/>
            <w:hideMark/>
          </w:tcPr>
          <w:p w14:paraId="2D68EC65" w14:textId="77777777" w:rsidR="00351824" w:rsidRPr="00351824" w:rsidRDefault="00351824" w:rsidP="00351824">
            <w:pPr>
              <w:rPr>
                <w:b/>
                <w:bCs/>
                <w:color w:val="000000"/>
                <w:sz w:val="20"/>
              </w:rPr>
            </w:pPr>
            <w:r w:rsidRPr="00351824">
              <w:rPr>
                <w:b/>
                <w:bCs/>
                <w:color w:val="000000"/>
                <w:sz w:val="20"/>
              </w:rPr>
              <w:t>Greater New Orleans</w:t>
            </w:r>
          </w:p>
        </w:tc>
        <w:tc>
          <w:tcPr>
            <w:tcW w:w="1305" w:type="dxa"/>
            <w:tcBorders>
              <w:top w:val="nil"/>
              <w:left w:val="nil"/>
              <w:bottom w:val="single" w:sz="4" w:space="0" w:color="auto"/>
              <w:right w:val="nil"/>
            </w:tcBorders>
            <w:shd w:val="clear" w:color="auto" w:fill="auto"/>
            <w:noWrap/>
            <w:vAlign w:val="center"/>
            <w:hideMark/>
          </w:tcPr>
          <w:p w14:paraId="2D41A38D" w14:textId="77777777" w:rsidR="00351824" w:rsidRPr="00351824" w:rsidRDefault="00351824" w:rsidP="00351824">
            <w:pPr>
              <w:jc w:val="center"/>
              <w:rPr>
                <w:color w:val="000000"/>
                <w:sz w:val="20"/>
              </w:rPr>
            </w:pPr>
            <w:r w:rsidRPr="00351824">
              <w:rPr>
                <w:color w:val="000000"/>
                <w:sz w:val="20"/>
              </w:rPr>
              <w:t>1.99%</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4A2C2F4A" w14:textId="77777777" w:rsidR="00351824" w:rsidRPr="00351824" w:rsidRDefault="00351824" w:rsidP="00351824">
            <w:pPr>
              <w:jc w:val="center"/>
              <w:rPr>
                <w:color w:val="000000"/>
                <w:sz w:val="20"/>
              </w:rPr>
            </w:pPr>
            <w:proofErr w:type="spellStart"/>
            <w:r w:rsidRPr="00351824">
              <w:rPr>
                <w:color w:val="000000"/>
                <w:sz w:val="20"/>
              </w:rPr>
              <w:t>na</w:t>
            </w:r>
            <w:proofErr w:type="spellEnd"/>
          </w:p>
        </w:tc>
      </w:tr>
      <w:tr w:rsidR="00351824" w:rsidRPr="00351824" w14:paraId="39678FFC"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6D405D7B" w14:textId="77777777" w:rsidR="00351824" w:rsidRPr="00351824" w:rsidRDefault="00351824" w:rsidP="00351824">
            <w:pPr>
              <w:rPr>
                <w:b/>
                <w:bCs/>
                <w:color w:val="000000"/>
                <w:sz w:val="20"/>
              </w:rPr>
            </w:pPr>
          </w:p>
        </w:tc>
        <w:tc>
          <w:tcPr>
            <w:tcW w:w="2970" w:type="dxa"/>
            <w:tcBorders>
              <w:top w:val="nil"/>
              <w:left w:val="nil"/>
              <w:bottom w:val="single" w:sz="4" w:space="0" w:color="auto"/>
              <w:right w:val="single" w:sz="4" w:space="0" w:color="auto"/>
            </w:tcBorders>
            <w:shd w:val="clear" w:color="auto" w:fill="auto"/>
            <w:noWrap/>
            <w:vAlign w:val="center"/>
            <w:hideMark/>
          </w:tcPr>
          <w:p w14:paraId="594F1E69" w14:textId="77777777" w:rsidR="00351824" w:rsidRPr="00351824" w:rsidRDefault="00351824" w:rsidP="00351824">
            <w:pPr>
              <w:rPr>
                <w:b/>
                <w:bCs/>
                <w:color w:val="000000"/>
                <w:sz w:val="20"/>
              </w:rPr>
            </w:pPr>
            <w:r w:rsidRPr="00351824">
              <w:rPr>
                <w:b/>
                <w:bCs/>
                <w:color w:val="000000"/>
                <w:sz w:val="20"/>
              </w:rPr>
              <w:t>Metropolitan HSD</w:t>
            </w:r>
          </w:p>
        </w:tc>
        <w:tc>
          <w:tcPr>
            <w:tcW w:w="1305" w:type="dxa"/>
            <w:tcBorders>
              <w:top w:val="nil"/>
              <w:left w:val="nil"/>
              <w:bottom w:val="single" w:sz="4" w:space="0" w:color="auto"/>
              <w:right w:val="nil"/>
            </w:tcBorders>
            <w:shd w:val="clear" w:color="auto" w:fill="auto"/>
            <w:noWrap/>
            <w:vAlign w:val="center"/>
            <w:hideMark/>
          </w:tcPr>
          <w:p w14:paraId="4B4E7D2F" w14:textId="77777777" w:rsidR="00351824" w:rsidRPr="00351824" w:rsidRDefault="00351824" w:rsidP="00351824">
            <w:pPr>
              <w:jc w:val="center"/>
              <w:rPr>
                <w:color w:val="000000"/>
                <w:sz w:val="20"/>
              </w:rPr>
            </w:pPr>
            <w:r w:rsidRPr="00351824">
              <w:rPr>
                <w:color w:val="000000"/>
                <w:sz w:val="20"/>
              </w:rPr>
              <w:t>1.91%</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1D254227" w14:textId="77777777" w:rsidR="00351824" w:rsidRPr="00351824" w:rsidRDefault="00351824" w:rsidP="00351824">
            <w:pPr>
              <w:jc w:val="center"/>
              <w:rPr>
                <w:color w:val="000000"/>
                <w:sz w:val="20"/>
              </w:rPr>
            </w:pPr>
            <w:r w:rsidRPr="00351824">
              <w:rPr>
                <w:color w:val="000000"/>
                <w:sz w:val="20"/>
              </w:rPr>
              <w:t>3.3%</w:t>
            </w:r>
          </w:p>
        </w:tc>
      </w:tr>
      <w:tr w:rsidR="00351824" w:rsidRPr="00351824" w14:paraId="4A9DEBEC"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550B8AC4" w14:textId="77777777" w:rsidR="00351824" w:rsidRPr="00351824" w:rsidRDefault="00351824" w:rsidP="00351824">
            <w:pPr>
              <w:rPr>
                <w:b/>
                <w:bCs/>
                <w:color w:val="000000"/>
                <w:sz w:val="20"/>
              </w:rPr>
            </w:pPr>
          </w:p>
        </w:tc>
        <w:tc>
          <w:tcPr>
            <w:tcW w:w="2970" w:type="dxa"/>
            <w:tcBorders>
              <w:top w:val="nil"/>
              <w:left w:val="nil"/>
              <w:bottom w:val="nil"/>
              <w:right w:val="single" w:sz="4" w:space="0" w:color="auto"/>
            </w:tcBorders>
            <w:shd w:val="clear" w:color="auto" w:fill="auto"/>
            <w:noWrap/>
            <w:vAlign w:val="center"/>
            <w:hideMark/>
          </w:tcPr>
          <w:p w14:paraId="36D76156" w14:textId="77777777" w:rsidR="00351824" w:rsidRPr="00351824" w:rsidRDefault="00351824" w:rsidP="00351824">
            <w:pPr>
              <w:rPr>
                <w:b/>
                <w:bCs/>
                <w:color w:val="000000"/>
                <w:sz w:val="20"/>
              </w:rPr>
            </w:pPr>
            <w:r w:rsidRPr="00351824">
              <w:rPr>
                <w:b/>
                <w:bCs/>
                <w:color w:val="000000"/>
                <w:sz w:val="20"/>
              </w:rPr>
              <w:t xml:space="preserve">    Orleans Parish</w:t>
            </w:r>
          </w:p>
        </w:tc>
        <w:tc>
          <w:tcPr>
            <w:tcW w:w="1305" w:type="dxa"/>
            <w:tcBorders>
              <w:top w:val="nil"/>
              <w:left w:val="nil"/>
              <w:bottom w:val="nil"/>
              <w:right w:val="nil"/>
            </w:tcBorders>
            <w:shd w:val="clear" w:color="auto" w:fill="auto"/>
            <w:noWrap/>
            <w:vAlign w:val="center"/>
            <w:hideMark/>
          </w:tcPr>
          <w:p w14:paraId="7FBDFBCD"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3671E654" w14:textId="77777777" w:rsidR="00351824" w:rsidRPr="00351824" w:rsidRDefault="00351824" w:rsidP="00351824">
            <w:pPr>
              <w:jc w:val="center"/>
              <w:rPr>
                <w:color w:val="000000"/>
                <w:sz w:val="20"/>
              </w:rPr>
            </w:pPr>
            <w:r w:rsidRPr="00351824">
              <w:rPr>
                <w:color w:val="000000"/>
                <w:sz w:val="20"/>
              </w:rPr>
              <w:t>3.8%</w:t>
            </w:r>
          </w:p>
        </w:tc>
      </w:tr>
      <w:tr w:rsidR="00351824" w:rsidRPr="00351824" w14:paraId="6300F857"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27709A8C" w14:textId="77777777" w:rsidR="00351824" w:rsidRPr="00351824" w:rsidRDefault="00351824" w:rsidP="00351824">
            <w:pPr>
              <w:rPr>
                <w:b/>
                <w:bCs/>
                <w:color w:val="000000"/>
                <w:sz w:val="20"/>
              </w:rPr>
            </w:pPr>
          </w:p>
        </w:tc>
        <w:tc>
          <w:tcPr>
            <w:tcW w:w="2970" w:type="dxa"/>
            <w:tcBorders>
              <w:top w:val="single" w:sz="4" w:space="0" w:color="auto"/>
              <w:left w:val="nil"/>
              <w:bottom w:val="nil"/>
              <w:right w:val="single" w:sz="4" w:space="0" w:color="auto"/>
            </w:tcBorders>
            <w:shd w:val="clear" w:color="auto" w:fill="auto"/>
            <w:noWrap/>
            <w:vAlign w:val="center"/>
            <w:hideMark/>
          </w:tcPr>
          <w:p w14:paraId="25E5B039" w14:textId="77777777" w:rsidR="00351824" w:rsidRPr="00351824" w:rsidRDefault="00351824" w:rsidP="00351824">
            <w:pPr>
              <w:rPr>
                <w:b/>
                <w:bCs/>
                <w:color w:val="000000"/>
                <w:sz w:val="20"/>
              </w:rPr>
            </w:pPr>
            <w:r w:rsidRPr="00351824">
              <w:rPr>
                <w:b/>
                <w:bCs/>
                <w:color w:val="000000"/>
                <w:sz w:val="20"/>
              </w:rPr>
              <w:t xml:space="preserve">    Plaquemines Parish</w:t>
            </w:r>
          </w:p>
        </w:tc>
        <w:tc>
          <w:tcPr>
            <w:tcW w:w="1305" w:type="dxa"/>
            <w:tcBorders>
              <w:top w:val="single" w:sz="4" w:space="0" w:color="auto"/>
              <w:left w:val="nil"/>
              <w:bottom w:val="nil"/>
              <w:right w:val="nil"/>
            </w:tcBorders>
            <w:shd w:val="clear" w:color="auto" w:fill="auto"/>
            <w:noWrap/>
            <w:vAlign w:val="center"/>
            <w:hideMark/>
          </w:tcPr>
          <w:p w14:paraId="77A6397E"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3EF89F38" w14:textId="77777777" w:rsidR="00351824" w:rsidRPr="00351824" w:rsidRDefault="00351824" w:rsidP="00351824">
            <w:pPr>
              <w:jc w:val="center"/>
              <w:rPr>
                <w:color w:val="000000"/>
                <w:sz w:val="20"/>
              </w:rPr>
            </w:pPr>
            <w:r w:rsidRPr="00351824">
              <w:rPr>
                <w:color w:val="000000"/>
                <w:sz w:val="20"/>
              </w:rPr>
              <w:t>2.1%</w:t>
            </w:r>
          </w:p>
        </w:tc>
      </w:tr>
      <w:tr w:rsidR="00351824" w:rsidRPr="00351824" w14:paraId="1FF7BA8F"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37440902" w14:textId="77777777" w:rsidR="00351824" w:rsidRPr="00351824" w:rsidRDefault="00351824" w:rsidP="00351824">
            <w:pPr>
              <w:rPr>
                <w:b/>
                <w:bCs/>
                <w:color w:val="000000"/>
                <w:sz w:val="20"/>
              </w:rPr>
            </w:pPr>
          </w:p>
        </w:tc>
        <w:tc>
          <w:tcPr>
            <w:tcW w:w="2970" w:type="dxa"/>
            <w:tcBorders>
              <w:top w:val="single" w:sz="4" w:space="0" w:color="auto"/>
              <w:left w:val="nil"/>
              <w:bottom w:val="nil"/>
              <w:right w:val="single" w:sz="4" w:space="0" w:color="auto"/>
            </w:tcBorders>
            <w:shd w:val="clear" w:color="auto" w:fill="auto"/>
            <w:noWrap/>
            <w:vAlign w:val="center"/>
            <w:hideMark/>
          </w:tcPr>
          <w:p w14:paraId="481A5EAE" w14:textId="77777777" w:rsidR="00351824" w:rsidRPr="00351824" w:rsidRDefault="00351824" w:rsidP="00351824">
            <w:pPr>
              <w:rPr>
                <w:b/>
                <w:bCs/>
                <w:color w:val="000000"/>
                <w:sz w:val="20"/>
              </w:rPr>
            </w:pPr>
            <w:r w:rsidRPr="00351824">
              <w:rPr>
                <w:b/>
                <w:bCs/>
                <w:color w:val="000000"/>
                <w:sz w:val="20"/>
              </w:rPr>
              <w:t xml:space="preserve">    St. Bernard Parish</w:t>
            </w:r>
          </w:p>
        </w:tc>
        <w:tc>
          <w:tcPr>
            <w:tcW w:w="1305" w:type="dxa"/>
            <w:tcBorders>
              <w:top w:val="single" w:sz="4" w:space="0" w:color="auto"/>
              <w:left w:val="nil"/>
              <w:bottom w:val="nil"/>
              <w:right w:val="nil"/>
            </w:tcBorders>
            <w:shd w:val="clear" w:color="auto" w:fill="auto"/>
            <w:noWrap/>
            <w:vAlign w:val="center"/>
            <w:hideMark/>
          </w:tcPr>
          <w:p w14:paraId="36AF0198"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72DCE986" w14:textId="77777777" w:rsidR="00351824" w:rsidRPr="00351824" w:rsidRDefault="00351824" w:rsidP="00351824">
            <w:pPr>
              <w:jc w:val="center"/>
              <w:rPr>
                <w:color w:val="000000"/>
                <w:sz w:val="20"/>
              </w:rPr>
            </w:pPr>
            <w:proofErr w:type="spellStart"/>
            <w:r w:rsidRPr="00351824">
              <w:rPr>
                <w:color w:val="000000"/>
                <w:sz w:val="20"/>
              </w:rPr>
              <w:t>na</w:t>
            </w:r>
            <w:proofErr w:type="spellEnd"/>
          </w:p>
        </w:tc>
      </w:tr>
      <w:tr w:rsidR="00351824" w:rsidRPr="00351824" w14:paraId="03F6312D"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7DBCC39B" w14:textId="77777777" w:rsidR="00351824" w:rsidRPr="00351824" w:rsidRDefault="00351824" w:rsidP="00351824">
            <w:pPr>
              <w:rPr>
                <w:b/>
                <w:bCs/>
                <w:color w:val="000000"/>
                <w:sz w:val="20"/>
              </w:rPr>
            </w:pP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DA91256" w14:textId="77777777" w:rsidR="00351824" w:rsidRPr="00351824" w:rsidRDefault="00351824" w:rsidP="00351824">
            <w:pPr>
              <w:rPr>
                <w:b/>
                <w:bCs/>
                <w:color w:val="000000"/>
                <w:sz w:val="20"/>
              </w:rPr>
            </w:pPr>
            <w:r w:rsidRPr="00351824">
              <w:rPr>
                <w:b/>
                <w:bCs/>
                <w:color w:val="000000"/>
                <w:sz w:val="20"/>
              </w:rPr>
              <w:t>Jefferson Parish</w:t>
            </w:r>
          </w:p>
        </w:tc>
        <w:tc>
          <w:tcPr>
            <w:tcW w:w="1305" w:type="dxa"/>
            <w:tcBorders>
              <w:top w:val="single" w:sz="4" w:space="0" w:color="auto"/>
              <w:left w:val="nil"/>
              <w:bottom w:val="single" w:sz="4" w:space="0" w:color="auto"/>
              <w:right w:val="nil"/>
            </w:tcBorders>
            <w:shd w:val="clear" w:color="auto" w:fill="auto"/>
            <w:noWrap/>
            <w:vAlign w:val="center"/>
            <w:hideMark/>
          </w:tcPr>
          <w:p w14:paraId="6A313EFD"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7E4A5044" w14:textId="77777777" w:rsidR="00351824" w:rsidRPr="00351824" w:rsidRDefault="00351824" w:rsidP="00351824">
            <w:pPr>
              <w:jc w:val="center"/>
              <w:rPr>
                <w:color w:val="000000"/>
                <w:sz w:val="20"/>
              </w:rPr>
            </w:pPr>
            <w:r w:rsidRPr="00351824">
              <w:rPr>
                <w:color w:val="000000"/>
                <w:sz w:val="20"/>
              </w:rPr>
              <w:t>5.0%</w:t>
            </w:r>
          </w:p>
        </w:tc>
      </w:tr>
      <w:tr w:rsidR="00351824" w:rsidRPr="00351824" w14:paraId="086E60CE" w14:textId="77777777" w:rsidTr="00AB2926">
        <w:trPr>
          <w:trHeight w:val="282"/>
          <w:jc w:val="center"/>
        </w:trPr>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16C93130" w14:textId="77777777" w:rsidR="00351824" w:rsidRPr="00351824" w:rsidRDefault="00351824" w:rsidP="00351824">
            <w:pPr>
              <w:jc w:val="center"/>
              <w:rPr>
                <w:b/>
                <w:bCs/>
                <w:color w:val="000000"/>
                <w:sz w:val="20"/>
              </w:rPr>
            </w:pPr>
            <w:r w:rsidRPr="00351824">
              <w:rPr>
                <w:b/>
                <w:bCs/>
                <w:color w:val="000000"/>
                <w:sz w:val="20"/>
              </w:rPr>
              <w:t xml:space="preserve">Illicit Drug </w:t>
            </w:r>
            <w:r w:rsidRPr="00351824">
              <w:rPr>
                <w:b/>
                <w:bCs/>
                <w:color w:val="000000"/>
                <w:sz w:val="20"/>
              </w:rPr>
              <w:br/>
              <w:t>Use Disorder**</w:t>
            </w:r>
          </w:p>
        </w:tc>
        <w:tc>
          <w:tcPr>
            <w:tcW w:w="2970" w:type="dxa"/>
            <w:tcBorders>
              <w:top w:val="nil"/>
              <w:left w:val="nil"/>
              <w:bottom w:val="single" w:sz="4" w:space="0" w:color="auto"/>
              <w:right w:val="single" w:sz="4" w:space="0" w:color="auto"/>
            </w:tcBorders>
            <w:shd w:val="clear" w:color="auto" w:fill="auto"/>
            <w:noWrap/>
            <w:vAlign w:val="center"/>
            <w:hideMark/>
          </w:tcPr>
          <w:p w14:paraId="3F70CDDD" w14:textId="77777777" w:rsidR="00351824" w:rsidRPr="00351824" w:rsidRDefault="00351824" w:rsidP="00351824">
            <w:pPr>
              <w:rPr>
                <w:b/>
                <w:bCs/>
                <w:color w:val="000000"/>
                <w:sz w:val="20"/>
              </w:rPr>
            </w:pPr>
            <w:r w:rsidRPr="00351824">
              <w:rPr>
                <w:b/>
                <w:bCs/>
                <w:color w:val="000000"/>
                <w:sz w:val="20"/>
              </w:rPr>
              <w:t>Statewide</w:t>
            </w:r>
          </w:p>
        </w:tc>
        <w:tc>
          <w:tcPr>
            <w:tcW w:w="1305" w:type="dxa"/>
            <w:tcBorders>
              <w:top w:val="nil"/>
              <w:left w:val="nil"/>
              <w:bottom w:val="single" w:sz="4" w:space="0" w:color="auto"/>
              <w:right w:val="nil"/>
            </w:tcBorders>
            <w:shd w:val="clear" w:color="auto" w:fill="auto"/>
            <w:noWrap/>
            <w:vAlign w:val="center"/>
            <w:hideMark/>
          </w:tcPr>
          <w:p w14:paraId="65965F70" w14:textId="77777777" w:rsidR="00351824" w:rsidRPr="00351824" w:rsidRDefault="00351824" w:rsidP="00351824">
            <w:pPr>
              <w:jc w:val="center"/>
              <w:rPr>
                <w:color w:val="000000"/>
                <w:sz w:val="20"/>
              </w:rPr>
            </w:pPr>
            <w:r w:rsidRPr="00351824">
              <w:rPr>
                <w:color w:val="000000"/>
                <w:sz w:val="20"/>
              </w:rPr>
              <w:t>2.30%</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54D848D1" w14:textId="77777777" w:rsidR="00351824" w:rsidRPr="00351824" w:rsidRDefault="00351824" w:rsidP="00351824">
            <w:pPr>
              <w:jc w:val="center"/>
              <w:rPr>
                <w:color w:val="000000"/>
                <w:sz w:val="20"/>
              </w:rPr>
            </w:pPr>
            <w:r w:rsidRPr="00351824">
              <w:rPr>
                <w:color w:val="000000"/>
                <w:sz w:val="20"/>
              </w:rPr>
              <w:t>4.0%</w:t>
            </w:r>
          </w:p>
        </w:tc>
      </w:tr>
      <w:tr w:rsidR="00351824" w:rsidRPr="00351824" w14:paraId="19BCEB2E"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0D848160" w14:textId="77777777" w:rsidR="00351824" w:rsidRPr="00351824" w:rsidRDefault="00351824" w:rsidP="00351824">
            <w:pPr>
              <w:rPr>
                <w:b/>
                <w:bCs/>
                <w:color w:val="000000"/>
                <w:sz w:val="20"/>
              </w:rPr>
            </w:pPr>
          </w:p>
        </w:tc>
        <w:tc>
          <w:tcPr>
            <w:tcW w:w="2970" w:type="dxa"/>
            <w:tcBorders>
              <w:top w:val="nil"/>
              <w:left w:val="nil"/>
              <w:bottom w:val="single" w:sz="4" w:space="0" w:color="auto"/>
              <w:right w:val="single" w:sz="4" w:space="0" w:color="auto"/>
            </w:tcBorders>
            <w:shd w:val="clear" w:color="auto" w:fill="auto"/>
            <w:noWrap/>
            <w:vAlign w:val="center"/>
            <w:hideMark/>
          </w:tcPr>
          <w:p w14:paraId="2F63FEBE" w14:textId="77777777" w:rsidR="00351824" w:rsidRPr="00351824" w:rsidRDefault="00351824" w:rsidP="00351824">
            <w:pPr>
              <w:rPr>
                <w:b/>
                <w:bCs/>
                <w:color w:val="000000"/>
                <w:sz w:val="20"/>
              </w:rPr>
            </w:pPr>
            <w:r w:rsidRPr="00351824">
              <w:rPr>
                <w:b/>
                <w:bCs/>
                <w:color w:val="000000"/>
                <w:sz w:val="20"/>
              </w:rPr>
              <w:t>Greater New Orleans</w:t>
            </w:r>
          </w:p>
        </w:tc>
        <w:tc>
          <w:tcPr>
            <w:tcW w:w="1305" w:type="dxa"/>
            <w:tcBorders>
              <w:top w:val="nil"/>
              <w:left w:val="nil"/>
              <w:bottom w:val="single" w:sz="4" w:space="0" w:color="auto"/>
              <w:right w:val="nil"/>
            </w:tcBorders>
            <w:shd w:val="clear" w:color="auto" w:fill="auto"/>
            <w:noWrap/>
            <w:vAlign w:val="center"/>
            <w:hideMark/>
          </w:tcPr>
          <w:p w14:paraId="2A3081B6" w14:textId="77777777" w:rsidR="00351824" w:rsidRPr="00351824" w:rsidRDefault="00351824" w:rsidP="00351824">
            <w:pPr>
              <w:jc w:val="center"/>
              <w:rPr>
                <w:color w:val="000000"/>
                <w:sz w:val="20"/>
              </w:rPr>
            </w:pPr>
            <w:r w:rsidRPr="00351824">
              <w:rPr>
                <w:color w:val="000000"/>
                <w:sz w:val="20"/>
              </w:rPr>
              <w:t>2.44%</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21ECEFEC" w14:textId="77777777" w:rsidR="00351824" w:rsidRPr="00351824" w:rsidRDefault="00351824" w:rsidP="00351824">
            <w:pPr>
              <w:jc w:val="center"/>
              <w:rPr>
                <w:color w:val="000000"/>
                <w:sz w:val="20"/>
              </w:rPr>
            </w:pPr>
            <w:proofErr w:type="spellStart"/>
            <w:r w:rsidRPr="00351824">
              <w:rPr>
                <w:color w:val="000000"/>
                <w:sz w:val="20"/>
              </w:rPr>
              <w:t>na</w:t>
            </w:r>
            <w:proofErr w:type="spellEnd"/>
          </w:p>
        </w:tc>
      </w:tr>
      <w:tr w:rsidR="00351824" w:rsidRPr="00351824" w14:paraId="653A0513"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7F971142" w14:textId="77777777" w:rsidR="00351824" w:rsidRPr="00351824" w:rsidRDefault="00351824" w:rsidP="00351824">
            <w:pPr>
              <w:rPr>
                <w:b/>
                <w:bCs/>
                <w:color w:val="000000"/>
                <w:sz w:val="20"/>
              </w:rPr>
            </w:pPr>
          </w:p>
        </w:tc>
        <w:tc>
          <w:tcPr>
            <w:tcW w:w="2970" w:type="dxa"/>
            <w:tcBorders>
              <w:top w:val="nil"/>
              <w:left w:val="nil"/>
              <w:bottom w:val="single" w:sz="4" w:space="0" w:color="auto"/>
              <w:right w:val="single" w:sz="4" w:space="0" w:color="auto"/>
            </w:tcBorders>
            <w:shd w:val="clear" w:color="auto" w:fill="auto"/>
            <w:noWrap/>
            <w:vAlign w:val="center"/>
            <w:hideMark/>
          </w:tcPr>
          <w:p w14:paraId="617E111A" w14:textId="77777777" w:rsidR="00351824" w:rsidRPr="00351824" w:rsidRDefault="00351824" w:rsidP="00351824">
            <w:pPr>
              <w:rPr>
                <w:b/>
                <w:bCs/>
                <w:color w:val="000000"/>
                <w:sz w:val="20"/>
              </w:rPr>
            </w:pPr>
            <w:r w:rsidRPr="00351824">
              <w:rPr>
                <w:b/>
                <w:bCs/>
                <w:color w:val="000000"/>
                <w:sz w:val="20"/>
              </w:rPr>
              <w:t>Metropolitan HSD</w:t>
            </w:r>
          </w:p>
        </w:tc>
        <w:tc>
          <w:tcPr>
            <w:tcW w:w="1305" w:type="dxa"/>
            <w:tcBorders>
              <w:top w:val="nil"/>
              <w:left w:val="nil"/>
              <w:bottom w:val="single" w:sz="4" w:space="0" w:color="auto"/>
              <w:right w:val="nil"/>
            </w:tcBorders>
            <w:shd w:val="clear" w:color="auto" w:fill="auto"/>
            <w:noWrap/>
            <w:vAlign w:val="center"/>
            <w:hideMark/>
          </w:tcPr>
          <w:p w14:paraId="3C6303AA" w14:textId="77777777" w:rsidR="00351824" w:rsidRPr="00351824" w:rsidRDefault="00351824" w:rsidP="00351824">
            <w:pPr>
              <w:jc w:val="center"/>
              <w:rPr>
                <w:color w:val="000000"/>
                <w:sz w:val="20"/>
              </w:rPr>
            </w:pPr>
            <w:r w:rsidRPr="00351824">
              <w:rPr>
                <w:color w:val="000000"/>
                <w:sz w:val="20"/>
              </w:rPr>
              <w:t>2.54%</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3D9055D8" w14:textId="77777777" w:rsidR="00351824" w:rsidRPr="00351824" w:rsidRDefault="00351824" w:rsidP="00351824">
            <w:pPr>
              <w:jc w:val="center"/>
              <w:rPr>
                <w:color w:val="000000"/>
                <w:sz w:val="20"/>
              </w:rPr>
            </w:pPr>
            <w:r w:rsidRPr="00351824">
              <w:rPr>
                <w:color w:val="000000"/>
                <w:sz w:val="20"/>
              </w:rPr>
              <w:t>4.3%</w:t>
            </w:r>
          </w:p>
        </w:tc>
      </w:tr>
      <w:tr w:rsidR="00351824" w:rsidRPr="00351824" w14:paraId="13D9404C"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7DE1A049" w14:textId="77777777" w:rsidR="00351824" w:rsidRPr="00351824" w:rsidRDefault="00351824" w:rsidP="00351824">
            <w:pPr>
              <w:rPr>
                <w:b/>
                <w:bCs/>
                <w:color w:val="000000"/>
                <w:sz w:val="20"/>
              </w:rPr>
            </w:pPr>
          </w:p>
        </w:tc>
        <w:tc>
          <w:tcPr>
            <w:tcW w:w="2970" w:type="dxa"/>
            <w:tcBorders>
              <w:top w:val="nil"/>
              <w:left w:val="nil"/>
              <w:bottom w:val="nil"/>
              <w:right w:val="single" w:sz="4" w:space="0" w:color="auto"/>
            </w:tcBorders>
            <w:shd w:val="clear" w:color="auto" w:fill="auto"/>
            <w:noWrap/>
            <w:vAlign w:val="center"/>
            <w:hideMark/>
          </w:tcPr>
          <w:p w14:paraId="53CF106C" w14:textId="77777777" w:rsidR="00351824" w:rsidRPr="00351824" w:rsidRDefault="00351824" w:rsidP="00351824">
            <w:pPr>
              <w:rPr>
                <w:b/>
                <w:bCs/>
                <w:color w:val="000000"/>
                <w:sz w:val="20"/>
              </w:rPr>
            </w:pPr>
            <w:r w:rsidRPr="00351824">
              <w:rPr>
                <w:b/>
                <w:bCs/>
                <w:color w:val="000000"/>
                <w:sz w:val="20"/>
              </w:rPr>
              <w:t xml:space="preserve">    Orleans Parish</w:t>
            </w:r>
          </w:p>
        </w:tc>
        <w:tc>
          <w:tcPr>
            <w:tcW w:w="1305" w:type="dxa"/>
            <w:tcBorders>
              <w:top w:val="nil"/>
              <w:left w:val="nil"/>
              <w:bottom w:val="nil"/>
              <w:right w:val="nil"/>
            </w:tcBorders>
            <w:shd w:val="clear" w:color="auto" w:fill="auto"/>
            <w:noWrap/>
            <w:vAlign w:val="center"/>
            <w:hideMark/>
          </w:tcPr>
          <w:p w14:paraId="49B5DB79"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60B17B6F" w14:textId="77777777" w:rsidR="00351824" w:rsidRPr="00351824" w:rsidRDefault="00351824" w:rsidP="00351824">
            <w:pPr>
              <w:jc w:val="center"/>
              <w:rPr>
                <w:color w:val="000000"/>
                <w:sz w:val="20"/>
              </w:rPr>
            </w:pPr>
            <w:r w:rsidRPr="00351824">
              <w:rPr>
                <w:color w:val="000000"/>
                <w:sz w:val="20"/>
              </w:rPr>
              <w:t>4.8%</w:t>
            </w:r>
          </w:p>
        </w:tc>
      </w:tr>
      <w:tr w:rsidR="00351824" w:rsidRPr="00351824" w14:paraId="7A4D7680"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10845777" w14:textId="77777777" w:rsidR="00351824" w:rsidRPr="00351824" w:rsidRDefault="00351824" w:rsidP="00351824">
            <w:pPr>
              <w:rPr>
                <w:b/>
                <w:bCs/>
                <w:color w:val="000000"/>
                <w:sz w:val="20"/>
              </w:rPr>
            </w:pPr>
          </w:p>
        </w:tc>
        <w:tc>
          <w:tcPr>
            <w:tcW w:w="2970" w:type="dxa"/>
            <w:tcBorders>
              <w:top w:val="single" w:sz="4" w:space="0" w:color="auto"/>
              <w:left w:val="nil"/>
              <w:bottom w:val="nil"/>
              <w:right w:val="single" w:sz="4" w:space="0" w:color="auto"/>
            </w:tcBorders>
            <w:shd w:val="clear" w:color="auto" w:fill="auto"/>
            <w:noWrap/>
            <w:vAlign w:val="center"/>
            <w:hideMark/>
          </w:tcPr>
          <w:p w14:paraId="401C1805" w14:textId="77777777" w:rsidR="00351824" w:rsidRPr="00351824" w:rsidRDefault="00351824" w:rsidP="00351824">
            <w:pPr>
              <w:rPr>
                <w:b/>
                <w:bCs/>
                <w:color w:val="000000"/>
                <w:sz w:val="20"/>
              </w:rPr>
            </w:pPr>
            <w:r w:rsidRPr="00351824">
              <w:rPr>
                <w:b/>
                <w:bCs/>
                <w:color w:val="000000"/>
                <w:sz w:val="20"/>
              </w:rPr>
              <w:t xml:space="preserve">    Plaquemines Parish</w:t>
            </w:r>
          </w:p>
        </w:tc>
        <w:tc>
          <w:tcPr>
            <w:tcW w:w="1305" w:type="dxa"/>
            <w:tcBorders>
              <w:top w:val="single" w:sz="4" w:space="0" w:color="auto"/>
              <w:left w:val="nil"/>
              <w:bottom w:val="nil"/>
              <w:right w:val="nil"/>
            </w:tcBorders>
            <w:shd w:val="clear" w:color="auto" w:fill="auto"/>
            <w:noWrap/>
            <w:vAlign w:val="center"/>
            <w:hideMark/>
          </w:tcPr>
          <w:p w14:paraId="10D23C9B"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6C6BB00B" w14:textId="77777777" w:rsidR="00351824" w:rsidRPr="00351824" w:rsidRDefault="00351824" w:rsidP="00351824">
            <w:pPr>
              <w:jc w:val="center"/>
              <w:rPr>
                <w:color w:val="000000"/>
                <w:sz w:val="20"/>
              </w:rPr>
            </w:pPr>
            <w:r w:rsidRPr="00351824">
              <w:rPr>
                <w:color w:val="000000"/>
                <w:sz w:val="20"/>
              </w:rPr>
              <w:t>2.9%</w:t>
            </w:r>
          </w:p>
        </w:tc>
      </w:tr>
      <w:tr w:rsidR="00351824" w:rsidRPr="00351824" w14:paraId="7D80F8BC"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08C80AE8" w14:textId="77777777" w:rsidR="00351824" w:rsidRPr="00351824" w:rsidRDefault="00351824" w:rsidP="00351824">
            <w:pPr>
              <w:rPr>
                <w:b/>
                <w:bCs/>
                <w:color w:val="000000"/>
                <w:sz w:val="20"/>
              </w:rPr>
            </w:pPr>
          </w:p>
        </w:tc>
        <w:tc>
          <w:tcPr>
            <w:tcW w:w="2970" w:type="dxa"/>
            <w:tcBorders>
              <w:top w:val="single" w:sz="4" w:space="0" w:color="auto"/>
              <w:left w:val="nil"/>
              <w:bottom w:val="nil"/>
              <w:right w:val="single" w:sz="4" w:space="0" w:color="auto"/>
            </w:tcBorders>
            <w:shd w:val="clear" w:color="auto" w:fill="auto"/>
            <w:noWrap/>
            <w:vAlign w:val="center"/>
            <w:hideMark/>
          </w:tcPr>
          <w:p w14:paraId="7D572A3D" w14:textId="77777777" w:rsidR="00351824" w:rsidRPr="00351824" w:rsidRDefault="00351824" w:rsidP="00351824">
            <w:pPr>
              <w:rPr>
                <w:b/>
                <w:bCs/>
                <w:color w:val="000000"/>
                <w:sz w:val="20"/>
              </w:rPr>
            </w:pPr>
            <w:r w:rsidRPr="00351824">
              <w:rPr>
                <w:b/>
                <w:bCs/>
                <w:color w:val="000000"/>
                <w:sz w:val="20"/>
              </w:rPr>
              <w:t xml:space="preserve">    St. Bernard Parish</w:t>
            </w:r>
          </w:p>
        </w:tc>
        <w:tc>
          <w:tcPr>
            <w:tcW w:w="1305" w:type="dxa"/>
            <w:tcBorders>
              <w:top w:val="single" w:sz="4" w:space="0" w:color="auto"/>
              <w:left w:val="nil"/>
              <w:bottom w:val="nil"/>
              <w:right w:val="nil"/>
            </w:tcBorders>
            <w:shd w:val="clear" w:color="auto" w:fill="auto"/>
            <w:noWrap/>
            <w:vAlign w:val="center"/>
            <w:hideMark/>
          </w:tcPr>
          <w:p w14:paraId="13FC5CB3" w14:textId="77777777" w:rsidR="00351824" w:rsidRPr="00351824" w:rsidRDefault="00351824" w:rsidP="00351824">
            <w:pPr>
              <w:jc w:val="center"/>
              <w:rPr>
                <w:color w:val="000000"/>
                <w:sz w:val="20"/>
              </w:rPr>
            </w:pPr>
            <w:r w:rsidRPr="00351824">
              <w:rPr>
                <w:color w:val="000000"/>
                <w:sz w:val="20"/>
              </w:rPr>
              <w: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537D004A" w14:textId="77777777" w:rsidR="00351824" w:rsidRPr="00351824" w:rsidRDefault="00351824" w:rsidP="00351824">
            <w:pPr>
              <w:jc w:val="center"/>
              <w:rPr>
                <w:color w:val="000000"/>
                <w:sz w:val="20"/>
              </w:rPr>
            </w:pPr>
            <w:proofErr w:type="spellStart"/>
            <w:r w:rsidRPr="00351824">
              <w:rPr>
                <w:color w:val="000000"/>
                <w:sz w:val="20"/>
              </w:rPr>
              <w:t>na</w:t>
            </w:r>
            <w:proofErr w:type="spellEnd"/>
          </w:p>
        </w:tc>
      </w:tr>
      <w:tr w:rsidR="00351824" w:rsidRPr="00351824" w14:paraId="1B4AF38B" w14:textId="77777777" w:rsidTr="00AB2926">
        <w:trPr>
          <w:trHeight w:val="282"/>
          <w:jc w:val="center"/>
        </w:trPr>
        <w:tc>
          <w:tcPr>
            <w:tcW w:w="1890" w:type="dxa"/>
            <w:vMerge/>
            <w:tcBorders>
              <w:top w:val="nil"/>
              <w:left w:val="single" w:sz="4" w:space="0" w:color="auto"/>
              <w:bottom w:val="single" w:sz="4" w:space="0" w:color="000000"/>
              <w:right w:val="single" w:sz="4" w:space="0" w:color="auto"/>
            </w:tcBorders>
            <w:vAlign w:val="center"/>
            <w:hideMark/>
          </w:tcPr>
          <w:p w14:paraId="57D34D0A" w14:textId="77777777" w:rsidR="00351824" w:rsidRPr="00351824" w:rsidRDefault="00351824" w:rsidP="00351824">
            <w:pPr>
              <w:rPr>
                <w:b/>
                <w:bCs/>
                <w:color w:val="000000"/>
                <w:sz w:val="20"/>
              </w:rPr>
            </w:pP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03F6581" w14:textId="77777777" w:rsidR="00351824" w:rsidRPr="00351824" w:rsidRDefault="00351824" w:rsidP="00351824">
            <w:pPr>
              <w:rPr>
                <w:b/>
                <w:bCs/>
                <w:color w:val="000000"/>
                <w:sz w:val="20"/>
              </w:rPr>
            </w:pPr>
            <w:r w:rsidRPr="00351824">
              <w:rPr>
                <w:b/>
                <w:bCs/>
                <w:color w:val="000000"/>
                <w:sz w:val="20"/>
              </w:rPr>
              <w:t>Jefferson Parish</w:t>
            </w:r>
          </w:p>
        </w:tc>
        <w:tc>
          <w:tcPr>
            <w:tcW w:w="1305" w:type="dxa"/>
            <w:tcBorders>
              <w:top w:val="single" w:sz="4" w:space="0" w:color="auto"/>
              <w:left w:val="nil"/>
              <w:bottom w:val="single" w:sz="4" w:space="0" w:color="auto"/>
              <w:right w:val="nil"/>
            </w:tcBorders>
            <w:shd w:val="clear" w:color="auto" w:fill="auto"/>
            <w:noWrap/>
            <w:vAlign w:val="center"/>
            <w:hideMark/>
          </w:tcPr>
          <w:p w14:paraId="7B25DCC7" w14:textId="77777777" w:rsidR="00351824" w:rsidRPr="00351824" w:rsidRDefault="00351824" w:rsidP="00351824">
            <w:pPr>
              <w:jc w:val="center"/>
              <w:rPr>
                <w:color w:val="000000"/>
                <w:sz w:val="20"/>
              </w:rPr>
            </w:pPr>
            <w:r w:rsidRPr="00351824">
              <w:rPr>
                <w:color w:val="000000"/>
                <w:sz w:val="20"/>
              </w:rPr>
              <w:t>2.34%</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7693B31A" w14:textId="77777777" w:rsidR="00351824" w:rsidRPr="00351824" w:rsidRDefault="00351824" w:rsidP="00351824">
            <w:pPr>
              <w:jc w:val="center"/>
              <w:rPr>
                <w:color w:val="000000"/>
                <w:sz w:val="20"/>
              </w:rPr>
            </w:pPr>
            <w:r w:rsidRPr="00351824">
              <w:rPr>
                <w:color w:val="000000"/>
                <w:sz w:val="20"/>
              </w:rPr>
              <w:t>5.7%</w:t>
            </w:r>
          </w:p>
        </w:tc>
      </w:tr>
      <w:tr w:rsidR="00351824" w:rsidRPr="00351824" w14:paraId="0389D707" w14:textId="77777777" w:rsidTr="00AB2926">
        <w:trPr>
          <w:trHeight w:val="1925"/>
          <w:jc w:val="center"/>
        </w:trPr>
        <w:tc>
          <w:tcPr>
            <w:tcW w:w="7470" w:type="dxa"/>
            <w:gridSpan w:val="4"/>
            <w:tcBorders>
              <w:top w:val="nil"/>
              <w:left w:val="nil"/>
              <w:bottom w:val="nil"/>
              <w:right w:val="nil"/>
            </w:tcBorders>
            <w:shd w:val="clear" w:color="auto" w:fill="auto"/>
            <w:vAlign w:val="bottom"/>
            <w:hideMark/>
          </w:tcPr>
          <w:p w14:paraId="256DE228" w14:textId="1CFD4794" w:rsidR="00351824" w:rsidRPr="00351824" w:rsidRDefault="00351824" w:rsidP="00AB2926">
            <w:pPr>
              <w:rPr>
                <w:color w:val="000000"/>
                <w:sz w:val="20"/>
              </w:rPr>
            </w:pPr>
            <w:r w:rsidRPr="00351824">
              <w:rPr>
                <w:color w:val="000000"/>
                <w:sz w:val="20"/>
              </w:rPr>
              <w:t xml:space="preserve">* CCYS data as published on the Louisiana State </w:t>
            </w:r>
            <w:proofErr w:type="spellStart"/>
            <w:r w:rsidRPr="00351824">
              <w:rPr>
                <w:color w:val="000000"/>
                <w:sz w:val="20"/>
              </w:rPr>
              <w:t>EpidemiologicalWorkgroup</w:t>
            </w:r>
            <w:proofErr w:type="spellEnd"/>
            <w:r w:rsidRPr="00351824">
              <w:rPr>
                <w:color w:val="000000"/>
                <w:sz w:val="20"/>
              </w:rPr>
              <w:t xml:space="preserve"> Online Data System: </w:t>
            </w:r>
            <w:hyperlink r:id="rId11" w:history="1">
              <w:r w:rsidR="00AB2926" w:rsidRPr="00351824">
                <w:rPr>
                  <w:rStyle w:val="Hyperlink"/>
                  <w:sz w:val="20"/>
                </w:rPr>
                <w:t>http://www.bach-harrison.com/lasocialindicators/Indicators.aspx</w:t>
              </w:r>
            </w:hyperlink>
            <w:r w:rsidR="00AB2926">
              <w:rPr>
                <w:color w:val="000000"/>
                <w:sz w:val="20"/>
              </w:rPr>
              <w:t xml:space="preserve"> </w:t>
            </w:r>
            <w:r w:rsidRPr="00351824">
              <w:rPr>
                <w:color w:val="000000"/>
                <w:sz w:val="20"/>
              </w:rPr>
              <w:t>, May 2021.</w:t>
            </w:r>
            <w:r w:rsidRPr="00351824">
              <w:rPr>
                <w:color w:val="000000"/>
                <w:sz w:val="20"/>
              </w:rPr>
              <w:br/>
              <w:t>** Students who have used alcohol or drugs on 10 or more occasions in their lifetime and marked 3 or more of the following 6 items related to their past year drug or alcohol use: (1) Spent more time using than intended; (2)Neglected some of your usual responsibilities because of use; (3) Wanted to cut down on use; (4)Others objected to your use; (5) Frequently thought about using; (6) Used alcohol or drugs to relieve feelings such as sadness, anger, or boredom.</w:t>
            </w:r>
          </w:p>
        </w:tc>
      </w:tr>
    </w:tbl>
    <w:p w14:paraId="0154118D" w14:textId="77777777" w:rsidR="00196D47" w:rsidRPr="00196D47" w:rsidRDefault="00196D47" w:rsidP="00196D47">
      <w:pPr>
        <w:rPr>
          <w:b/>
          <w:bCs/>
        </w:rPr>
      </w:pPr>
    </w:p>
    <w:sectPr w:rsidR="00196D47" w:rsidRPr="00196D47" w:rsidSect="001B1808">
      <w:footerReference w:type="default" r:id="rId1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E887" w14:textId="77777777" w:rsidR="00BE79A2" w:rsidRDefault="00BE79A2" w:rsidP="00B25991">
      <w:r>
        <w:separator/>
      </w:r>
    </w:p>
  </w:endnote>
  <w:endnote w:type="continuationSeparator" w:id="0">
    <w:p w14:paraId="356EC5AD" w14:textId="77777777" w:rsidR="00BE79A2" w:rsidRDefault="00BE79A2" w:rsidP="00B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15A6" w14:textId="4BA8EB1A" w:rsidR="001B1808" w:rsidRDefault="001B1808">
    <w:pPr>
      <w:pStyle w:val="Footer"/>
    </w:pPr>
    <w:r w:rsidRPr="001B1808">
      <w:rPr>
        <w:sz w:val="16"/>
        <w:szCs w:val="16"/>
      </w:rPr>
      <w:fldChar w:fldCharType="begin"/>
    </w:r>
    <w:r w:rsidRPr="001B1808">
      <w:rPr>
        <w:sz w:val="16"/>
        <w:szCs w:val="16"/>
      </w:rPr>
      <w:instrText xml:space="preserve"> FILENAME   \* MERGEFORMAT </w:instrText>
    </w:r>
    <w:r w:rsidRPr="001B1808">
      <w:rPr>
        <w:sz w:val="16"/>
        <w:szCs w:val="16"/>
      </w:rPr>
      <w:fldChar w:fldCharType="separate"/>
    </w:r>
    <w:r w:rsidR="00E766F3">
      <w:rPr>
        <w:noProof/>
        <w:sz w:val="16"/>
        <w:szCs w:val="16"/>
      </w:rPr>
      <w:t>NSDUH-DataBook2019_20210525.docx</w:t>
    </w:r>
    <w:r w:rsidRPr="001B1808">
      <w:rPr>
        <w:sz w:val="16"/>
        <w:szCs w:val="16"/>
      </w:rPr>
      <w:fldChar w:fldCharType="end"/>
    </w:r>
    <w:r>
      <w:ptab w:relativeTo="margin" w:alignment="center" w:leader="none"/>
    </w:r>
    <w:r>
      <w:fldChar w:fldCharType="begin"/>
    </w:r>
    <w:r>
      <w:instrText xml:space="preserve"> PAGE   \* MERGEFORMAT </w:instrText>
    </w:r>
    <w:r>
      <w:fldChar w:fldCharType="separate"/>
    </w:r>
    <w:r>
      <w:rPr>
        <w:noProof/>
      </w:rPr>
      <w:t>2</w:t>
    </w:r>
    <w:r>
      <w:fldChar w:fldCharType="end"/>
    </w:r>
    <w:r>
      <w:t xml:space="preserve"> of </w:t>
    </w:r>
    <w:r w:rsidR="00BE79A2">
      <w:fldChar w:fldCharType="begin"/>
    </w:r>
    <w:r w:rsidR="00BE79A2">
      <w:instrText xml:space="preserve"> NUMPAGES   \* MERGEFORMAT </w:instrText>
    </w:r>
    <w:r w:rsidR="00BE79A2">
      <w:fldChar w:fldCharType="separate"/>
    </w:r>
    <w:r>
      <w:rPr>
        <w:noProof/>
      </w:rPr>
      <w:t>2</w:t>
    </w:r>
    <w:r w:rsidR="00BE79A2">
      <w:rPr>
        <w:noProof/>
      </w:rPr>
      <w:fldChar w:fldCharType="end"/>
    </w:r>
    <w:r>
      <w:ptab w:relativeTo="margin" w:alignment="right" w:leader="none"/>
    </w:r>
  </w:p>
  <w:p w14:paraId="34A36A4F" w14:textId="77777777" w:rsidR="001B1808" w:rsidRDefault="001B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1F0A" w14:textId="77777777" w:rsidR="00BE79A2" w:rsidRDefault="00BE79A2" w:rsidP="00B25991">
      <w:r>
        <w:separator/>
      </w:r>
    </w:p>
  </w:footnote>
  <w:footnote w:type="continuationSeparator" w:id="0">
    <w:p w14:paraId="444BE2E1" w14:textId="77777777" w:rsidR="00BE79A2" w:rsidRDefault="00BE79A2" w:rsidP="00B25991">
      <w:r>
        <w:continuationSeparator/>
      </w:r>
    </w:p>
  </w:footnote>
  <w:footnote w:id="1">
    <w:p w14:paraId="2C158377" w14:textId="0E437FF4" w:rsidR="00454966" w:rsidRDefault="00454966">
      <w:pPr>
        <w:pStyle w:val="FootnoteText"/>
      </w:pPr>
      <w:r>
        <w:rPr>
          <w:rStyle w:val="FootnoteReference"/>
        </w:rPr>
        <w:footnoteRef/>
      </w:r>
      <w:r>
        <w:t xml:space="preserve"> </w:t>
      </w:r>
      <w:r w:rsidRPr="00BC7D2F">
        <w:t>“Small areas” must meet minimum population size criteria to be considered. Nevertheless, it is often the case that some indicators cannot be estimated for any given small area due to the small sample size. For all those indicators estimated, NSDUH provides lower and upper bound</w:t>
      </w:r>
      <w:r>
        <w:t>s for the</w:t>
      </w:r>
      <w:r w:rsidRPr="00BC7D2F">
        <w:t xml:space="preserve"> confidence intervals. While the figures provided represent “</w:t>
      </w:r>
      <w:r w:rsidRPr="00BC7D2F">
        <w:rPr>
          <w:b/>
          <w:bCs/>
          <w:i/>
          <w:iCs/>
        </w:rPr>
        <w:t>best estimates</w:t>
      </w:r>
      <w:r w:rsidRPr="00BC7D2F">
        <w:t>” for a given area, confidence intervals may be very wide, meaning that the true prevalence is not precisely known. Due to small sample sizes and relatively small differences, it is typically not possible to confidently compare one small area to another, or the most recent estimate to the immediately previous estimate for the same area.</w:t>
      </w:r>
    </w:p>
  </w:footnote>
  <w:footnote w:id="2">
    <w:p w14:paraId="137C98CB" w14:textId="77777777" w:rsidR="00077E77" w:rsidRDefault="00077E77" w:rsidP="00077E77">
      <w:pPr>
        <w:pStyle w:val="FootnoteText"/>
      </w:pPr>
      <w:r>
        <w:rPr>
          <w:rStyle w:val="FootnoteReference"/>
        </w:rPr>
        <w:footnoteRef/>
      </w:r>
      <w:r>
        <w:t xml:space="preserve"> NSDUH separately estimates each indicator using hierarchical Bayes methods. Therefore, population or rate estimates that NSDUH providers for different areas or indicators cannot strictly be added or subtracted based on constituent parts. However, for planning purposes such calculations are reasonable when direct estimates are not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5089"/>
    <w:multiLevelType w:val="hybridMultilevel"/>
    <w:tmpl w:val="E9EC967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1439E"/>
    <w:multiLevelType w:val="hybridMultilevel"/>
    <w:tmpl w:val="DBC221B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A4A01"/>
    <w:multiLevelType w:val="hybridMultilevel"/>
    <w:tmpl w:val="43A45160"/>
    <w:lvl w:ilvl="0" w:tplc="04090019">
      <w:start w:val="1"/>
      <w:numFmt w:val="lowerLetter"/>
      <w:lvlText w:val="%1."/>
      <w:lvlJc w:val="left"/>
      <w:pPr>
        <w:ind w:left="720" w:hanging="360"/>
      </w:pPr>
    </w:lvl>
    <w:lvl w:ilvl="1" w:tplc="5FCA520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C4199"/>
    <w:multiLevelType w:val="hybridMultilevel"/>
    <w:tmpl w:val="7B5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2510B"/>
    <w:multiLevelType w:val="hybridMultilevel"/>
    <w:tmpl w:val="CDEA0622"/>
    <w:lvl w:ilvl="0" w:tplc="775C7A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30A43"/>
    <w:multiLevelType w:val="hybridMultilevel"/>
    <w:tmpl w:val="03A0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97ED3"/>
    <w:multiLevelType w:val="hybridMultilevel"/>
    <w:tmpl w:val="8958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04"/>
    <w:rsid w:val="00013571"/>
    <w:rsid w:val="00064C3F"/>
    <w:rsid w:val="00077E77"/>
    <w:rsid w:val="000B3244"/>
    <w:rsid w:val="00130E39"/>
    <w:rsid w:val="0015207D"/>
    <w:rsid w:val="001549F4"/>
    <w:rsid w:val="00165A84"/>
    <w:rsid w:val="0017302E"/>
    <w:rsid w:val="00196D47"/>
    <w:rsid w:val="001B1808"/>
    <w:rsid w:val="00226261"/>
    <w:rsid w:val="00240C80"/>
    <w:rsid w:val="00240F05"/>
    <w:rsid w:val="00247CF4"/>
    <w:rsid w:val="00274FB7"/>
    <w:rsid w:val="002F1503"/>
    <w:rsid w:val="00351824"/>
    <w:rsid w:val="003A36B2"/>
    <w:rsid w:val="003B4FDB"/>
    <w:rsid w:val="003E6390"/>
    <w:rsid w:val="003E673C"/>
    <w:rsid w:val="003F02E8"/>
    <w:rsid w:val="004002CB"/>
    <w:rsid w:val="00422550"/>
    <w:rsid w:val="004359C1"/>
    <w:rsid w:val="004419B8"/>
    <w:rsid w:val="00454966"/>
    <w:rsid w:val="00475184"/>
    <w:rsid w:val="0049660A"/>
    <w:rsid w:val="004A474C"/>
    <w:rsid w:val="004B5A66"/>
    <w:rsid w:val="004E64EA"/>
    <w:rsid w:val="00507B7F"/>
    <w:rsid w:val="00510329"/>
    <w:rsid w:val="005121CE"/>
    <w:rsid w:val="005646B2"/>
    <w:rsid w:val="00577C58"/>
    <w:rsid w:val="005917EF"/>
    <w:rsid w:val="005A6E21"/>
    <w:rsid w:val="005D3839"/>
    <w:rsid w:val="005F64CF"/>
    <w:rsid w:val="00621E68"/>
    <w:rsid w:val="006221AA"/>
    <w:rsid w:val="0066100E"/>
    <w:rsid w:val="00667FE5"/>
    <w:rsid w:val="00693BBB"/>
    <w:rsid w:val="006A7665"/>
    <w:rsid w:val="00705467"/>
    <w:rsid w:val="0072189C"/>
    <w:rsid w:val="00740B9F"/>
    <w:rsid w:val="0075085F"/>
    <w:rsid w:val="00763966"/>
    <w:rsid w:val="007A6B80"/>
    <w:rsid w:val="007C1DDD"/>
    <w:rsid w:val="007F3AC2"/>
    <w:rsid w:val="008035BD"/>
    <w:rsid w:val="008302C3"/>
    <w:rsid w:val="008D4DD2"/>
    <w:rsid w:val="008D7167"/>
    <w:rsid w:val="008E6031"/>
    <w:rsid w:val="00913DE2"/>
    <w:rsid w:val="00915194"/>
    <w:rsid w:val="009215EB"/>
    <w:rsid w:val="00935420"/>
    <w:rsid w:val="009509D8"/>
    <w:rsid w:val="00993A92"/>
    <w:rsid w:val="009C60FB"/>
    <w:rsid w:val="009D1DAB"/>
    <w:rsid w:val="009F258D"/>
    <w:rsid w:val="00A11AB9"/>
    <w:rsid w:val="00A27F74"/>
    <w:rsid w:val="00A31AE9"/>
    <w:rsid w:val="00A76111"/>
    <w:rsid w:val="00A815E9"/>
    <w:rsid w:val="00A86F42"/>
    <w:rsid w:val="00AB2926"/>
    <w:rsid w:val="00AB4848"/>
    <w:rsid w:val="00AC3FD1"/>
    <w:rsid w:val="00AD6E0A"/>
    <w:rsid w:val="00AE37FE"/>
    <w:rsid w:val="00B25991"/>
    <w:rsid w:val="00BC7D2F"/>
    <w:rsid w:val="00BD1693"/>
    <w:rsid w:val="00BD1792"/>
    <w:rsid w:val="00BD7E8E"/>
    <w:rsid w:val="00BE248C"/>
    <w:rsid w:val="00BE79A2"/>
    <w:rsid w:val="00BF315B"/>
    <w:rsid w:val="00C17DDD"/>
    <w:rsid w:val="00C17E6A"/>
    <w:rsid w:val="00C245C1"/>
    <w:rsid w:val="00C42104"/>
    <w:rsid w:val="00C77374"/>
    <w:rsid w:val="00C83BD6"/>
    <w:rsid w:val="00C93A6F"/>
    <w:rsid w:val="00CB5595"/>
    <w:rsid w:val="00CC58D0"/>
    <w:rsid w:val="00CE532F"/>
    <w:rsid w:val="00D146B2"/>
    <w:rsid w:val="00D36FC0"/>
    <w:rsid w:val="00D85032"/>
    <w:rsid w:val="00DA3B75"/>
    <w:rsid w:val="00DA3E68"/>
    <w:rsid w:val="00DC655C"/>
    <w:rsid w:val="00E05017"/>
    <w:rsid w:val="00E21CB4"/>
    <w:rsid w:val="00E34B09"/>
    <w:rsid w:val="00E36F2B"/>
    <w:rsid w:val="00E670A3"/>
    <w:rsid w:val="00E71A31"/>
    <w:rsid w:val="00E766F3"/>
    <w:rsid w:val="00E82620"/>
    <w:rsid w:val="00E8405F"/>
    <w:rsid w:val="00EB2249"/>
    <w:rsid w:val="00EC5CD4"/>
    <w:rsid w:val="00EF057D"/>
    <w:rsid w:val="00F100CF"/>
    <w:rsid w:val="00F6197C"/>
    <w:rsid w:val="00FE43A9"/>
    <w:rsid w:val="00FF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E3E16"/>
  <w15:docId w15:val="{B96C40A1-4876-4BA8-BC6E-5BCEC91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D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B25991"/>
    <w:pPr>
      <w:tabs>
        <w:tab w:val="center" w:pos="4680"/>
        <w:tab w:val="right" w:pos="9360"/>
      </w:tabs>
    </w:pPr>
  </w:style>
  <w:style w:type="character" w:customStyle="1" w:styleId="HeaderChar">
    <w:name w:val="Header Char"/>
    <w:basedOn w:val="DefaultParagraphFont"/>
    <w:link w:val="Header"/>
    <w:uiPriority w:val="99"/>
    <w:rsid w:val="00B25991"/>
    <w:rPr>
      <w:sz w:val="24"/>
    </w:rPr>
  </w:style>
  <w:style w:type="paragraph" w:styleId="Footer">
    <w:name w:val="footer"/>
    <w:basedOn w:val="Normal"/>
    <w:link w:val="FooterChar"/>
    <w:uiPriority w:val="99"/>
    <w:unhideWhenUsed/>
    <w:rsid w:val="00B25991"/>
    <w:pPr>
      <w:tabs>
        <w:tab w:val="center" w:pos="4680"/>
        <w:tab w:val="right" w:pos="9360"/>
      </w:tabs>
    </w:pPr>
  </w:style>
  <w:style w:type="character" w:customStyle="1" w:styleId="FooterChar">
    <w:name w:val="Footer Char"/>
    <w:basedOn w:val="DefaultParagraphFont"/>
    <w:link w:val="Footer"/>
    <w:uiPriority w:val="99"/>
    <w:rsid w:val="00B25991"/>
    <w:rPr>
      <w:sz w:val="24"/>
    </w:rPr>
  </w:style>
  <w:style w:type="character" w:styleId="Hyperlink">
    <w:name w:val="Hyperlink"/>
    <w:basedOn w:val="DefaultParagraphFont"/>
    <w:uiPriority w:val="99"/>
    <w:unhideWhenUsed/>
    <w:rsid w:val="00F100CF"/>
    <w:rPr>
      <w:color w:val="0000FF" w:themeColor="hyperlink"/>
      <w:u w:val="single"/>
    </w:rPr>
  </w:style>
  <w:style w:type="character" w:styleId="UnresolvedMention">
    <w:name w:val="Unresolved Mention"/>
    <w:basedOn w:val="DefaultParagraphFont"/>
    <w:uiPriority w:val="99"/>
    <w:semiHidden/>
    <w:unhideWhenUsed/>
    <w:rsid w:val="00F100CF"/>
    <w:rPr>
      <w:color w:val="605E5C"/>
      <w:shd w:val="clear" w:color="auto" w:fill="E1DFDD"/>
    </w:rPr>
  </w:style>
  <w:style w:type="paragraph" w:styleId="FootnoteText">
    <w:name w:val="footnote text"/>
    <w:basedOn w:val="Normal"/>
    <w:link w:val="FootnoteTextChar"/>
    <w:uiPriority w:val="99"/>
    <w:semiHidden/>
    <w:unhideWhenUsed/>
    <w:rsid w:val="00BC7D2F"/>
    <w:rPr>
      <w:sz w:val="20"/>
    </w:rPr>
  </w:style>
  <w:style w:type="character" w:customStyle="1" w:styleId="FootnoteTextChar">
    <w:name w:val="Footnote Text Char"/>
    <w:basedOn w:val="DefaultParagraphFont"/>
    <w:link w:val="FootnoteText"/>
    <w:uiPriority w:val="99"/>
    <w:semiHidden/>
    <w:rsid w:val="00BC7D2F"/>
  </w:style>
  <w:style w:type="character" w:styleId="FootnoteReference">
    <w:name w:val="footnote reference"/>
    <w:basedOn w:val="DefaultParagraphFont"/>
    <w:uiPriority w:val="99"/>
    <w:semiHidden/>
    <w:unhideWhenUsed/>
    <w:rsid w:val="00BC7D2F"/>
    <w:rPr>
      <w:vertAlign w:val="superscript"/>
    </w:rPr>
  </w:style>
  <w:style w:type="table" w:styleId="TableGrid">
    <w:name w:val="Table Grid"/>
    <w:basedOn w:val="TableNormal"/>
    <w:uiPriority w:val="59"/>
    <w:rsid w:val="00C93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6B2"/>
    <w:pPr>
      <w:ind w:left="720"/>
      <w:contextualSpacing/>
    </w:pPr>
  </w:style>
  <w:style w:type="paragraph" w:styleId="BalloonText">
    <w:name w:val="Balloon Text"/>
    <w:basedOn w:val="Normal"/>
    <w:link w:val="BalloonTextChar"/>
    <w:uiPriority w:val="99"/>
    <w:semiHidden/>
    <w:unhideWhenUsed/>
    <w:rsid w:val="00496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5857">
      <w:bodyDiv w:val="1"/>
      <w:marLeft w:val="0"/>
      <w:marRight w:val="0"/>
      <w:marTop w:val="0"/>
      <w:marBottom w:val="0"/>
      <w:divBdr>
        <w:top w:val="none" w:sz="0" w:space="0" w:color="auto"/>
        <w:left w:val="none" w:sz="0" w:space="0" w:color="auto"/>
        <w:bottom w:val="none" w:sz="0" w:space="0" w:color="auto"/>
        <w:right w:val="none" w:sz="0" w:space="0" w:color="auto"/>
      </w:divBdr>
    </w:div>
    <w:div w:id="172186257">
      <w:bodyDiv w:val="1"/>
      <w:marLeft w:val="0"/>
      <w:marRight w:val="0"/>
      <w:marTop w:val="0"/>
      <w:marBottom w:val="0"/>
      <w:divBdr>
        <w:top w:val="none" w:sz="0" w:space="0" w:color="auto"/>
        <w:left w:val="none" w:sz="0" w:space="0" w:color="auto"/>
        <w:bottom w:val="none" w:sz="0" w:space="0" w:color="auto"/>
        <w:right w:val="none" w:sz="0" w:space="0" w:color="auto"/>
      </w:divBdr>
    </w:div>
    <w:div w:id="194080366">
      <w:bodyDiv w:val="1"/>
      <w:marLeft w:val="0"/>
      <w:marRight w:val="0"/>
      <w:marTop w:val="0"/>
      <w:marBottom w:val="0"/>
      <w:divBdr>
        <w:top w:val="none" w:sz="0" w:space="0" w:color="auto"/>
        <w:left w:val="none" w:sz="0" w:space="0" w:color="auto"/>
        <w:bottom w:val="none" w:sz="0" w:space="0" w:color="auto"/>
        <w:right w:val="none" w:sz="0" w:space="0" w:color="auto"/>
      </w:divBdr>
    </w:div>
    <w:div w:id="208882262">
      <w:bodyDiv w:val="1"/>
      <w:marLeft w:val="0"/>
      <w:marRight w:val="0"/>
      <w:marTop w:val="0"/>
      <w:marBottom w:val="0"/>
      <w:divBdr>
        <w:top w:val="none" w:sz="0" w:space="0" w:color="auto"/>
        <w:left w:val="none" w:sz="0" w:space="0" w:color="auto"/>
        <w:bottom w:val="none" w:sz="0" w:space="0" w:color="auto"/>
        <w:right w:val="none" w:sz="0" w:space="0" w:color="auto"/>
      </w:divBdr>
    </w:div>
    <w:div w:id="335768539">
      <w:bodyDiv w:val="1"/>
      <w:marLeft w:val="0"/>
      <w:marRight w:val="0"/>
      <w:marTop w:val="0"/>
      <w:marBottom w:val="0"/>
      <w:divBdr>
        <w:top w:val="none" w:sz="0" w:space="0" w:color="auto"/>
        <w:left w:val="none" w:sz="0" w:space="0" w:color="auto"/>
        <w:bottom w:val="none" w:sz="0" w:space="0" w:color="auto"/>
        <w:right w:val="none" w:sz="0" w:space="0" w:color="auto"/>
      </w:divBdr>
    </w:div>
    <w:div w:id="596986059">
      <w:bodyDiv w:val="1"/>
      <w:marLeft w:val="0"/>
      <w:marRight w:val="0"/>
      <w:marTop w:val="0"/>
      <w:marBottom w:val="0"/>
      <w:divBdr>
        <w:top w:val="none" w:sz="0" w:space="0" w:color="auto"/>
        <w:left w:val="none" w:sz="0" w:space="0" w:color="auto"/>
        <w:bottom w:val="none" w:sz="0" w:space="0" w:color="auto"/>
        <w:right w:val="none" w:sz="0" w:space="0" w:color="auto"/>
      </w:divBdr>
    </w:div>
    <w:div w:id="715156833">
      <w:bodyDiv w:val="1"/>
      <w:marLeft w:val="0"/>
      <w:marRight w:val="0"/>
      <w:marTop w:val="0"/>
      <w:marBottom w:val="0"/>
      <w:divBdr>
        <w:top w:val="none" w:sz="0" w:space="0" w:color="auto"/>
        <w:left w:val="none" w:sz="0" w:space="0" w:color="auto"/>
        <w:bottom w:val="none" w:sz="0" w:space="0" w:color="auto"/>
        <w:right w:val="none" w:sz="0" w:space="0" w:color="auto"/>
      </w:divBdr>
    </w:div>
    <w:div w:id="735008815">
      <w:bodyDiv w:val="1"/>
      <w:marLeft w:val="0"/>
      <w:marRight w:val="0"/>
      <w:marTop w:val="0"/>
      <w:marBottom w:val="0"/>
      <w:divBdr>
        <w:top w:val="none" w:sz="0" w:space="0" w:color="auto"/>
        <w:left w:val="none" w:sz="0" w:space="0" w:color="auto"/>
        <w:bottom w:val="none" w:sz="0" w:space="0" w:color="auto"/>
        <w:right w:val="none" w:sz="0" w:space="0" w:color="auto"/>
      </w:divBdr>
    </w:div>
    <w:div w:id="960770597">
      <w:bodyDiv w:val="1"/>
      <w:marLeft w:val="0"/>
      <w:marRight w:val="0"/>
      <w:marTop w:val="0"/>
      <w:marBottom w:val="0"/>
      <w:divBdr>
        <w:top w:val="none" w:sz="0" w:space="0" w:color="auto"/>
        <w:left w:val="none" w:sz="0" w:space="0" w:color="auto"/>
        <w:bottom w:val="none" w:sz="0" w:space="0" w:color="auto"/>
        <w:right w:val="none" w:sz="0" w:space="0" w:color="auto"/>
      </w:divBdr>
    </w:div>
    <w:div w:id="1015302725">
      <w:bodyDiv w:val="1"/>
      <w:marLeft w:val="0"/>
      <w:marRight w:val="0"/>
      <w:marTop w:val="0"/>
      <w:marBottom w:val="0"/>
      <w:divBdr>
        <w:top w:val="none" w:sz="0" w:space="0" w:color="auto"/>
        <w:left w:val="none" w:sz="0" w:space="0" w:color="auto"/>
        <w:bottom w:val="none" w:sz="0" w:space="0" w:color="auto"/>
        <w:right w:val="none" w:sz="0" w:space="0" w:color="auto"/>
      </w:divBdr>
    </w:div>
    <w:div w:id="1015688765">
      <w:bodyDiv w:val="1"/>
      <w:marLeft w:val="0"/>
      <w:marRight w:val="0"/>
      <w:marTop w:val="0"/>
      <w:marBottom w:val="0"/>
      <w:divBdr>
        <w:top w:val="none" w:sz="0" w:space="0" w:color="auto"/>
        <w:left w:val="none" w:sz="0" w:space="0" w:color="auto"/>
        <w:bottom w:val="none" w:sz="0" w:space="0" w:color="auto"/>
        <w:right w:val="none" w:sz="0" w:space="0" w:color="auto"/>
      </w:divBdr>
    </w:div>
    <w:div w:id="1146051941">
      <w:bodyDiv w:val="1"/>
      <w:marLeft w:val="0"/>
      <w:marRight w:val="0"/>
      <w:marTop w:val="0"/>
      <w:marBottom w:val="0"/>
      <w:divBdr>
        <w:top w:val="none" w:sz="0" w:space="0" w:color="auto"/>
        <w:left w:val="none" w:sz="0" w:space="0" w:color="auto"/>
        <w:bottom w:val="none" w:sz="0" w:space="0" w:color="auto"/>
        <w:right w:val="none" w:sz="0" w:space="0" w:color="auto"/>
      </w:divBdr>
    </w:div>
    <w:div w:id="1158421423">
      <w:bodyDiv w:val="1"/>
      <w:marLeft w:val="0"/>
      <w:marRight w:val="0"/>
      <w:marTop w:val="0"/>
      <w:marBottom w:val="0"/>
      <w:divBdr>
        <w:top w:val="none" w:sz="0" w:space="0" w:color="auto"/>
        <w:left w:val="none" w:sz="0" w:space="0" w:color="auto"/>
        <w:bottom w:val="none" w:sz="0" w:space="0" w:color="auto"/>
        <w:right w:val="none" w:sz="0" w:space="0" w:color="auto"/>
      </w:divBdr>
    </w:div>
    <w:div w:id="1206985943">
      <w:bodyDiv w:val="1"/>
      <w:marLeft w:val="0"/>
      <w:marRight w:val="0"/>
      <w:marTop w:val="0"/>
      <w:marBottom w:val="0"/>
      <w:divBdr>
        <w:top w:val="none" w:sz="0" w:space="0" w:color="auto"/>
        <w:left w:val="none" w:sz="0" w:space="0" w:color="auto"/>
        <w:bottom w:val="none" w:sz="0" w:space="0" w:color="auto"/>
        <w:right w:val="none" w:sz="0" w:space="0" w:color="auto"/>
      </w:divBdr>
    </w:div>
    <w:div w:id="1278633817">
      <w:bodyDiv w:val="1"/>
      <w:marLeft w:val="0"/>
      <w:marRight w:val="0"/>
      <w:marTop w:val="0"/>
      <w:marBottom w:val="0"/>
      <w:divBdr>
        <w:top w:val="none" w:sz="0" w:space="0" w:color="auto"/>
        <w:left w:val="none" w:sz="0" w:space="0" w:color="auto"/>
        <w:bottom w:val="none" w:sz="0" w:space="0" w:color="auto"/>
        <w:right w:val="none" w:sz="0" w:space="0" w:color="auto"/>
      </w:divBdr>
    </w:div>
    <w:div w:id="1512648945">
      <w:bodyDiv w:val="1"/>
      <w:marLeft w:val="0"/>
      <w:marRight w:val="0"/>
      <w:marTop w:val="0"/>
      <w:marBottom w:val="0"/>
      <w:divBdr>
        <w:top w:val="none" w:sz="0" w:space="0" w:color="auto"/>
        <w:left w:val="none" w:sz="0" w:space="0" w:color="auto"/>
        <w:bottom w:val="none" w:sz="0" w:space="0" w:color="auto"/>
        <w:right w:val="none" w:sz="0" w:space="0" w:color="auto"/>
      </w:divBdr>
    </w:div>
    <w:div w:id="1536039878">
      <w:bodyDiv w:val="1"/>
      <w:marLeft w:val="0"/>
      <w:marRight w:val="0"/>
      <w:marTop w:val="0"/>
      <w:marBottom w:val="0"/>
      <w:divBdr>
        <w:top w:val="none" w:sz="0" w:space="0" w:color="auto"/>
        <w:left w:val="none" w:sz="0" w:space="0" w:color="auto"/>
        <w:bottom w:val="none" w:sz="0" w:space="0" w:color="auto"/>
        <w:right w:val="none" w:sz="0" w:space="0" w:color="auto"/>
      </w:divBdr>
    </w:div>
    <w:div w:id="1566724757">
      <w:bodyDiv w:val="1"/>
      <w:marLeft w:val="0"/>
      <w:marRight w:val="0"/>
      <w:marTop w:val="0"/>
      <w:marBottom w:val="0"/>
      <w:divBdr>
        <w:top w:val="none" w:sz="0" w:space="0" w:color="auto"/>
        <w:left w:val="none" w:sz="0" w:space="0" w:color="auto"/>
        <w:bottom w:val="none" w:sz="0" w:space="0" w:color="auto"/>
        <w:right w:val="none" w:sz="0" w:space="0" w:color="auto"/>
      </w:divBdr>
    </w:div>
    <w:div w:id="1602449339">
      <w:bodyDiv w:val="1"/>
      <w:marLeft w:val="0"/>
      <w:marRight w:val="0"/>
      <w:marTop w:val="0"/>
      <w:marBottom w:val="0"/>
      <w:divBdr>
        <w:top w:val="none" w:sz="0" w:space="0" w:color="auto"/>
        <w:left w:val="none" w:sz="0" w:space="0" w:color="auto"/>
        <w:bottom w:val="none" w:sz="0" w:space="0" w:color="auto"/>
        <w:right w:val="none" w:sz="0" w:space="0" w:color="auto"/>
      </w:divBdr>
    </w:div>
    <w:div w:id="1680350823">
      <w:bodyDiv w:val="1"/>
      <w:marLeft w:val="0"/>
      <w:marRight w:val="0"/>
      <w:marTop w:val="0"/>
      <w:marBottom w:val="0"/>
      <w:divBdr>
        <w:top w:val="none" w:sz="0" w:space="0" w:color="auto"/>
        <w:left w:val="none" w:sz="0" w:space="0" w:color="auto"/>
        <w:bottom w:val="none" w:sz="0" w:space="0" w:color="auto"/>
        <w:right w:val="none" w:sz="0" w:space="0" w:color="auto"/>
      </w:divBdr>
    </w:div>
    <w:div w:id="1702977804">
      <w:bodyDiv w:val="1"/>
      <w:marLeft w:val="0"/>
      <w:marRight w:val="0"/>
      <w:marTop w:val="0"/>
      <w:marBottom w:val="0"/>
      <w:divBdr>
        <w:top w:val="none" w:sz="0" w:space="0" w:color="auto"/>
        <w:left w:val="none" w:sz="0" w:space="0" w:color="auto"/>
        <w:bottom w:val="none" w:sz="0" w:space="0" w:color="auto"/>
        <w:right w:val="none" w:sz="0" w:space="0" w:color="auto"/>
      </w:divBdr>
    </w:div>
    <w:div w:id="1815677747">
      <w:bodyDiv w:val="1"/>
      <w:marLeft w:val="0"/>
      <w:marRight w:val="0"/>
      <w:marTop w:val="0"/>
      <w:marBottom w:val="0"/>
      <w:divBdr>
        <w:top w:val="none" w:sz="0" w:space="0" w:color="auto"/>
        <w:left w:val="none" w:sz="0" w:space="0" w:color="auto"/>
        <w:bottom w:val="none" w:sz="0" w:space="0" w:color="auto"/>
        <w:right w:val="none" w:sz="0" w:space="0" w:color="auto"/>
      </w:divBdr>
    </w:div>
    <w:div w:id="1827739907">
      <w:bodyDiv w:val="1"/>
      <w:marLeft w:val="0"/>
      <w:marRight w:val="0"/>
      <w:marTop w:val="0"/>
      <w:marBottom w:val="0"/>
      <w:divBdr>
        <w:top w:val="none" w:sz="0" w:space="0" w:color="auto"/>
        <w:left w:val="none" w:sz="0" w:space="0" w:color="auto"/>
        <w:bottom w:val="none" w:sz="0" w:space="0" w:color="auto"/>
        <w:right w:val="none" w:sz="0" w:space="0" w:color="auto"/>
      </w:divBdr>
    </w:div>
    <w:div w:id="1957983039">
      <w:bodyDiv w:val="1"/>
      <w:marLeft w:val="0"/>
      <w:marRight w:val="0"/>
      <w:marTop w:val="0"/>
      <w:marBottom w:val="0"/>
      <w:divBdr>
        <w:top w:val="none" w:sz="0" w:space="0" w:color="auto"/>
        <w:left w:val="none" w:sz="0" w:space="0" w:color="auto"/>
        <w:bottom w:val="none" w:sz="0" w:space="0" w:color="auto"/>
        <w:right w:val="none" w:sz="0" w:space="0" w:color="auto"/>
      </w:divBdr>
    </w:div>
    <w:div w:id="1961258516">
      <w:bodyDiv w:val="1"/>
      <w:marLeft w:val="0"/>
      <w:marRight w:val="0"/>
      <w:marTop w:val="0"/>
      <w:marBottom w:val="0"/>
      <w:divBdr>
        <w:top w:val="none" w:sz="0" w:space="0" w:color="auto"/>
        <w:left w:val="none" w:sz="0" w:space="0" w:color="auto"/>
        <w:bottom w:val="none" w:sz="0" w:space="0" w:color="auto"/>
        <w:right w:val="none" w:sz="0" w:space="0" w:color="auto"/>
      </w:divBdr>
    </w:div>
    <w:div w:id="2107730121">
      <w:bodyDiv w:val="1"/>
      <w:marLeft w:val="0"/>
      <w:marRight w:val="0"/>
      <w:marTop w:val="0"/>
      <w:marBottom w:val="0"/>
      <w:divBdr>
        <w:top w:val="none" w:sz="0" w:space="0" w:color="auto"/>
        <w:left w:val="none" w:sz="0" w:space="0" w:color="auto"/>
        <w:bottom w:val="none" w:sz="0" w:space="0" w:color="auto"/>
        <w:right w:val="none" w:sz="0" w:space="0" w:color="auto"/>
      </w:divBdr>
    </w:div>
    <w:div w:id="21277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ch-harrison.com/lasocialindicators/Indicators.aspx" TargetMode="External"/><Relationship Id="rId5" Type="http://schemas.openxmlformats.org/officeDocument/2006/relationships/webSettings" Target="webSettings.xml"/><Relationship Id="rId10" Type="http://schemas.openxmlformats.org/officeDocument/2006/relationships/hyperlink" Target="https://www.census.gov/data/tables/time-series/demo/popest/2010s-counties-detail.html" TargetMode="External"/><Relationship Id="rId4" Type="http://schemas.openxmlformats.org/officeDocument/2006/relationships/settings" Target="settings.xml"/><Relationship Id="rId9" Type="http://schemas.openxmlformats.org/officeDocument/2006/relationships/hyperlink" Target="http://arc-associates.net/data_resources/nsdu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D390-C893-4E4A-8790-7B2F33C5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share.dot</Template>
  <TotalTime>6</TotalTime>
  <Pages>31</Pages>
  <Words>8730</Words>
  <Characters>49765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
  <LinksUpToDate>false</LinksUpToDate>
  <CharactersWithSpaces>58379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NYS OASAS</dc:creator>
  <cp:lastModifiedBy>Robert J Gallati</cp:lastModifiedBy>
  <cp:revision>3</cp:revision>
  <cp:lastPrinted>2021-05-14T15:34:00Z</cp:lastPrinted>
  <dcterms:created xsi:type="dcterms:W3CDTF">2021-05-27T06:01:00Z</dcterms:created>
  <dcterms:modified xsi:type="dcterms:W3CDTF">2021-05-27T06:16:00Z</dcterms:modified>
</cp:coreProperties>
</file>