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0A" w:rsidRDefault="00D92B0A" w:rsidP="00D92B0A">
      <w:r>
        <w:rPr>
          <w:noProof/>
        </w:rPr>
        <w:drawing>
          <wp:anchor distT="0" distB="0" distL="114300" distR="114300" simplePos="0" relativeHeight="251659264" behindDoc="0" locked="0" layoutInCell="1" allowOverlap="1" wp14:anchorId="2BF5A7E8" wp14:editId="0A372CF3">
            <wp:simplePos x="0" y="0"/>
            <wp:positionH relativeFrom="column">
              <wp:posOffset>0</wp:posOffset>
            </wp:positionH>
            <wp:positionV relativeFrom="paragraph">
              <wp:posOffset>-1905</wp:posOffset>
            </wp:positionV>
            <wp:extent cx="1519555" cy="1570990"/>
            <wp:effectExtent l="0" t="0" r="444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9555" cy="1570990"/>
                    </a:xfrm>
                    <a:prstGeom prst="rect">
                      <a:avLst/>
                    </a:prstGeom>
                    <a:noFill/>
                  </pic:spPr>
                </pic:pic>
              </a:graphicData>
            </a:graphic>
            <wp14:sizeRelH relativeFrom="margin">
              <wp14:pctWidth>0</wp14:pctWidth>
            </wp14:sizeRelH>
            <wp14:sizeRelV relativeFrom="margin">
              <wp14:pctHeight>0</wp14:pctHeight>
            </wp14:sizeRelV>
          </wp:anchor>
        </w:drawing>
      </w:r>
    </w:p>
    <w:p w:rsidR="00D92B0A" w:rsidRDefault="00D92B0A" w:rsidP="00D92B0A">
      <w:pPr>
        <w:jc w:val="center"/>
      </w:pPr>
    </w:p>
    <w:p w:rsidR="00D92B0A" w:rsidRDefault="00D92B0A" w:rsidP="00D92B0A"/>
    <w:p w:rsidR="00D92B0A" w:rsidRDefault="007F56FA" w:rsidP="00D92B0A">
      <w:pPr>
        <w:jc w:val="center"/>
        <w:rPr>
          <w:b/>
          <w:sz w:val="40"/>
          <w:szCs w:val="40"/>
        </w:rPr>
      </w:pPr>
      <w:r w:rsidRPr="007F56FA">
        <w:rPr>
          <w:b/>
          <w:sz w:val="40"/>
          <w:szCs w:val="40"/>
        </w:rPr>
        <w:t>Greater New Orleans</w:t>
      </w:r>
    </w:p>
    <w:p w:rsidR="007F56FA" w:rsidRPr="007F56FA" w:rsidRDefault="007F56FA" w:rsidP="00D92B0A">
      <w:pPr>
        <w:jc w:val="center"/>
        <w:rPr>
          <w:b/>
          <w:sz w:val="40"/>
          <w:szCs w:val="40"/>
        </w:rPr>
      </w:pPr>
      <w:r>
        <w:rPr>
          <w:b/>
          <w:sz w:val="40"/>
          <w:szCs w:val="40"/>
        </w:rPr>
        <w:t>Community Needs Assessment</w:t>
      </w:r>
    </w:p>
    <w:p w:rsidR="00D92B0A" w:rsidRDefault="00D92B0A" w:rsidP="00D92B0A"/>
    <w:p w:rsidR="00D92B0A" w:rsidRDefault="00D92B0A" w:rsidP="00D92B0A"/>
    <w:p w:rsidR="00D92B0A" w:rsidRDefault="00D92B0A" w:rsidP="00D92B0A"/>
    <w:p w:rsidR="00D92B0A" w:rsidRDefault="00D92B0A" w:rsidP="00D92B0A"/>
    <w:p w:rsidR="00D92B0A" w:rsidRDefault="00D92B0A" w:rsidP="00D92B0A"/>
    <w:p w:rsidR="00D92B0A" w:rsidRDefault="00D92B0A" w:rsidP="00D92B0A"/>
    <w:p w:rsidR="00D2404D" w:rsidRDefault="00D2404D" w:rsidP="00D92B0A"/>
    <w:p w:rsidR="00D2404D" w:rsidRDefault="00D2404D" w:rsidP="00D92B0A"/>
    <w:p w:rsidR="00D92B0A" w:rsidRPr="00D92B0A" w:rsidRDefault="00D92B0A" w:rsidP="00263ECF">
      <w:pPr>
        <w:spacing w:line="276" w:lineRule="auto"/>
        <w:jc w:val="center"/>
        <w:rPr>
          <w:b/>
          <w:sz w:val="36"/>
          <w:szCs w:val="36"/>
        </w:rPr>
      </w:pPr>
      <w:r w:rsidRPr="00D92B0A">
        <w:rPr>
          <w:b/>
          <w:sz w:val="36"/>
          <w:szCs w:val="36"/>
        </w:rPr>
        <w:t>Overview of</w:t>
      </w:r>
    </w:p>
    <w:p w:rsidR="00D92B0A" w:rsidRPr="00D92B0A" w:rsidRDefault="00D92B0A" w:rsidP="00263ECF">
      <w:pPr>
        <w:spacing w:line="276" w:lineRule="auto"/>
        <w:jc w:val="center"/>
        <w:rPr>
          <w:b/>
          <w:sz w:val="36"/>
          <w:szCs w:val="36"/>
        </w:rPr>
      </w:pPr>
      <w:r w:rsidRPr="00D92B0A">
        <w:rPr>
          <w:b/>
          <w:sz w:val="36"/>
          <w:szCs w:val="36"/>
        </w:rPr>
        <w:t>Substance Abuse Prevention Services</w:t>
      </w:r>
    </w:p>
    <w:p w:rsidR="00D92B0A" w:rsidRPr="00D92B0A" w:rsidRDefault="00D92B0A" w:rsidP="00263ECF">
      <w:pPr>
        <w:spacing w:line="276" w:lineRule="auto"/>
        <w:jc w:val="center"/>
        <w:rPr>
          <w:b/>
          <w:sz w:val="36"/>
          <w:szCs w:val="36"/>
        </w:rPr>
      </w:pPr>
      <w:r w:rsidRPr="00D92B0A">
        <w:rPr>
          <w:b/>
          <w:sz w:val="36"/>
          <w:szCs w:val="36"/>
        </w:rPr>
        <w:t>Funded by the</w:t>
      </w:r>
      <w:r w:rsidR="00263ECF">
        <w:rPr>
          <w:b/>
          <w:sz w:val="36"/>
          <w:szCs w:val="36"/>
        </w:rPr>
        <w:t xml:space="preserve"> </w:t>
      </w:r>
    </w:p>
    <w:p w:rsidR="00D92B0A" w:rsidRPr="00D92B0A" w:rsidRDefault="00D92B0A" w:rsidP="00263ECF">
      <w:pPr>
        <w:spacing w:line="276" w:lineRule="auto"/>
        <w:jc w:val="center"/>
        <w:rPr>
          <w:b/>
          <w:sz w:val="36"/>
          <w:szCs w:val="36"/>
        </w:rPr>
      </w:pPr>
      <w:r w:rsidRPr="00D92B0A">
        <w:rPr>
          <w:b/>
          <w:sz w:val="36"/>
          <w:szCs w:val="36"/>
        </w:rPr>
        <w:t>Louisiana Office of Behavioral Health</w:t>
      </w:r>
    </w:p>
    <w:p w:rsidR="00D92B0A" w:rsidRPr="00D92B0A" w:rsidRDefault="00D92B0A" w:rsidP="00263ECF">
      <w:pPr>
        <w:spacing w:line="276" w:lineRule="auto"/>
        <w:jc w:val="center"/>
        <w:rPr>
          <w:b/>
          <w:sz w:val="36"/>
          <w:szCs w:val="36"/>
        </w:rPr>
      </w:pPr>
      <w:proofErr w:type="gramStart"/>
      <w:r w:rsidRPr="00D92B0A">
        <w:rPr>
          <w:b/>
          <w:sz w:val="36"/>
          <w:szCs w:val="36"/>
        </w:rPr>
        <w:t>for</w:t>
      </w:r>
      <w:proofErr w:type="gramEnd"/>
      <w:r w:rsidRPr="00D92B0A">
        <w:rPr>
          <w:b/>
          <w:sz w:val="36"/>
          <w:szCs w:val="36"/>
        </w:rPr>
        <w:t xml:space="preserve"> Greater New Orleans</w:t>
      </w:r>
    </w:p>
    <w:p w:rsidR="00D92B0A" w:rsidRPr="00D92B0A" w:rsidRDefault="00D92B0A" w:rsidP="00263ECF">
      <w:pPr>
        <w:spacing w:line="276" w:lineRule="auto"/>
        <w:jc w:val="center"/>
        <w:rPr>
          <w:b/>
          <w:sz w:val="36"/>
          <w:szCs w:val="36"/>
        </w:rPr>
      </w:pPr>
      <w:proofErr w:type="gramStart"/>
      <w:r w:rsidRPr="00D92B0A">
        <w:rPr>
          <w:b/>
          <w:sz w:val="36"/>
          <w:szCs w:val="36"/>
        </w:rPr>
        <w:t>in</w:t>
      </w:r>
      <w:proofErr w:type="gramEnd"/>
      <w:r w:rsidRPr="00D92B0A">
        <w:rPr>
          <w:b/>
          <w:sz w:val="36"/>
          <w:szCs w:val="36"/>
        </w:rPr>
        <w:t xml:space="preserve"> State Fiscal Year 2013</w:t>
      </w:r>
    </w:p>
    <w:p w:rsidR="00D92B0A" w:rsidRDefault="00D92B0A" w:rsidP="00D92B0A">
      <w:pPr>
        <w:rPr>
          <w:b/>
          <w:szCs w:val="24"/>
        </w:rPr>
      </w:pPr>
    </w:p>
    <w:p w:rsidR="00D92B0A" w:rsidRDefault="00D92B0A" w:rsidP="00D92B0A">
      <w:pPr>
        <w:rPr>
          <w:b/>
          <w:szCs w:val="24"/>
        </w:rPr>
      </w:pPr>
    </w:p>
    <w:p w:rsidR="00D92B0A" w:rsidRDefault="00D92B0A" w:rsidP="00D92B0A">
      <w:pPr>
        <w:jc w:val="center"/>
        <w:rPr>
          <w:b/>
          <w:szCs w:val="24"/>
        </w:rPr>
      </w:pPr>
      <w:r>
        <w:rPr>
          <w:b/>
          <w:szCs w:val="24"/>
        </w:rPr>
        <w:t>Prepared for the</w:t>
      </w:r>
    </w:p>
    <w:p w:rsidR="00D92B0A" w:rsidRDefault="00D92B0A" w:rsidP="00D92B0A">
      <w:pPr>
        <w:jc w:val="center"/>
        <w:rPr>
          <w:b/>
          <w:szCs w:val="24"/>
        </w:rPr>
      </w:pPr>
    </w:p>
    <w:p w:rsidR="00D92B0A" w:rsidRPr="00263ECF" w:rsidRDefault="00D92B0A" w:rsidP="00D92B0A">
      <w:pPr>
        <w:jc w:val="center"/>
        <w:rPr>
          <w:b/>
          <w:sz w:val="36"/>
          <w:szCs w:val="36"/>
        </w:rPr>
      </w:pPr>
      <w:r w:rsidRPr="00263ECF">
        <w:rPr>
          <w:b/>
          <w:sz w:val="36"/>
          <w:szCs w:val="36"/>
        </w:rPr>
        <w:t>Greater New Orleans</w:t>
      </w:r>
    </w:p>
    <w:p w:rsidR="00D92B0A" w:rsidRPr="00263ECF" w:rsidRDefault="00D92B0A" w:rsidP="00D92B0A">
      <w:pPr>
        <w:jc w:val="center"/>
        <w:rPr>
          <w:b/>
          <w:sz w:val="36"/>
          <w:szCs w:val="36"/>
        </w:rPr>
      </w:pPr>
      <w:r w:rsidRPr="00263ECF">
        <w:rPr>
          <w:b/>
          <w:sz w:val="36"/>
          <w:szCs w:val="36"/>
        </w:rPr>
        <w:t>Drug Demand Reduction Coalition</w:t>
      </w:r>
    </w:p>
    <w:p w:rsidR="00D92B0A" w:rsidRDefault="00D92B0A" w:rsidP="00D92B0A">
      <w:pPr>
        <w:jc w:val="center"/>
        <w:rPr>
          <w:b/>
          <w:szCs w:val="24"/>
        </w:rPr>
      </w:pPr>
    </w:p>
    <w:p w:rsidR="00D92B0A" w:rsidRDefault="00D92B0A" w:rsidP="00D92B0A">
      <w:pPr>
        <w:rPr>
          <w:b/>
          <w:szCs w:val="24"/>
        </w:rPr>
      </w:pPr>
    </w:p>
    <w:p w:rsidR="00D92B0A" w:rsidRDefault="00D92B0A" w:rsidP="00D92B0A">
      <w:pPr>
        <w:rPr>
          <w:b/>
          <w:szCs w:val="24"/>
        </w:rPr>
      </w:pPr>
    </w:p>
    <w:p w:rsidR="00D92B0A" w:rsidRDefault="00D92B0A" w:rsidP="00D92B0A">
      <w:pPr>
        <w:jc w:val="center"/>
        <w:rPr>
          <w:b/>
          <w:szCs w:val="24"/>
        </w:rPr>
      </w:pPr>
      <w:r>
        <w:rPr>
          <w:b/>
          <w:szCs w:val="24"/>
        </w:rPr>
        <w:t>Prepared by</w:t>
      </w:r>
    </w:p>
    <w:p w:rsidR="00D92B0A" w:rsidRDefault="00D92B0A" w:rsidP="00D92B0A">
      <w:pPr>
        <w:jc w:val="center"/>
        <w:rPr>
          <w:b/>
          <w:szCs w:val="24"/>
        </w:rPr>
      </w:pPr>
    </w:p>
    <w:p w:rsidR="00D92B0A" w:rsidRPr="00263ECF" w:rsidRDefault="00D92B0A" w:rsidP="00263ECF">
      <w:pPr>
        <w:spacing w:line="276" w:lineRule="auto"/>
        <w:jc w:val="center"/>
        <w:rPr>
          <w:b/>
          <w:sz w:val="32"/>
          <w:szCs w:val="32"/>
        </w:rPr>
      </w:pPr>
      <w:r w:rsidRPr="00263ECF">
        <w:rPr>
          <w:b/>
          <w:sz w:val="32"/>
          <w:szCs w:val="32"/>
        </w:rPr>
        <w:t>Robert J Gallati</w:t>
      </w:r>
    </w:p>
    <w:p w:rsidR="00D92B0A" w:rsidRPr="00263ECF" w:rsidRDefault="00D92B0A" w:rsidP="00D92B0A">
      <w:pPr>
        <w:jc w:val="center"/>
        <w:rPr>
          <w:b/>
          <w:sz w:val="20"/>
        </w:rPr>
      </w:pPr>
      <w:r w:rsidRPr="00263ECF">
        <w:rPr>
          <w:b/>
          <w:sz w:val="20"/>
        </w:rPr>
        <w:t>Bob.Gallati@ARC-Associates.net</w:t>
      </w:r>
    </w:p>
    <w:p w:rsidR="00D92B0A" w:rsidRDefault="00D92B0A" w:rsidP="00D92B0A">
      <w:pPr>
        <w:rPr>
          <w:b/>
          <w:szCs w:val="24"/>
        </w:rPr>
      </w:pPr>
    </w:p>
    <w:p w:rsidR="00D92B0A" w:rsidRDefault="00D92B0A" w:rsidP="00D92B0A">
      <w:pPr>
        <w:rPr>
          <w:b/>
          <w:szCs w:val="24"/>
        </w:rPr>
      </w:pPr>
    </w:p>
    <w:p w:rsidR="00D92B0A" w:rsidRPr="00D90698" w:rsidRDefault="00D92B0A" w:rsidP="00D92B0A">
      <w:pPr>
        <w:jc w:val="center"/>
        <w:rPr>
          <w:b/>
          <w:sz w:val="36"/>
          <w:szCs w:val="36"/>
        </w:rPr>
      </w:pPr>
      <w:r>
        <w:rPr>
          <w:b/>
          <w:sz w:val="36"/>
          <w:szCs w:val="36"/>
        </w:rPr>
        <w:t>November 2013</w:t>
      </w:r>
    </w:p>
    <w:p w:rsidR="004402B5" w:rsidRDefault="002305F0" w:rsidP="002305F0">
      <w:pPr>
        <w:tabs>
          <w:tab w:val="left" w:pos="3621"/>
        </w:tabs>
        <w:rPr>
          <w:noProof/>
        </w:rPr>
      </w:pPr>
      <w:r>
        <w:rPr>
          <w:noProof/>
        </w:rPr>
        <w:tab/>
      </w:r>
    </w:p>
    <w:p w:rsidR="002305F0" w:rsidRDefault="002305F0" w:rsidP="00722A7F">
      <w:pPr>
        <w:rPr>
          <w:noProof/>
        </w:rPr>
      </w:pPr>
    </w:p>
    <w:p w:rsidR="00D2404D" w:rsidRDefault="00D2404D" w:rsidP="00722A7F">
      <w:pPr>
        <w:rPr>
          <w:noProof/>
        </w:rPr>
      </w:pPr>
    </w:p>
    <w:p w:rsidR="00D2404D" w:rsidRDefault="00D2404D" w:rsidP="00722A7F">
      <w:pPr>
        <w:rPr>
          <w:noProof/>
        </w:rPr>
      </w:pPr>
      <w:bookmarkStart w:id="0" w:name="_GoBack"/>
      <w:bookmarkEnd w:id="0"/>
    </w:p>
    <w:p w:rsidR="002305F0" w:rsidRDefault="002305F0" w:rsidP="00722A7F">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56FA" w:rsidTr="002305F0">
        <w:trPr>
          <w:trHeight w:val="765"/>
        </w:trPr>
        <w:tc>
          <w:tcPr>
            <w:tcW w:w="4788" w:type="dxa"/>
            <w:vAlign w:val="center"/>
          </w:tcPr>
          <w:p w:rsidR="007F56FA" w:rsidRPr="004856CD" w:rsidRDefault="007F56FA" w:rsidP="002305F0">
            <w:pPr>
              <w:jc w:val="center"/>
              <w:rPr>
                <w:noProof/>
                <w:sz w:val="56"/>
                <w:szCs w:val="56"/>
              </w:rPr>
            </w:pPr>
            <w:r w:rsidRPr="004856CD">
              <w:rPr>
                <w:b/>
                <w:noProof/>
                <w:color w:val="660066"/>
                <w:sz w:val="56"/>
                <w:szCs w:val="56"/>
              </w:rPr>
              <w:t>ARC</w:t>
            </w:r>
            <w:r w:rsidR="002305F0" w:rsidRPr="004856CD">
              <w:rPr>
                <w:b/>
                <w:noProof/>
                <w:color w:val="660066"/>
                <w:sz w:val="56"/>
                <w:szCs w:val="56"/>
              </w:rPr>
              <w:t xml:space="preserve"> </w:t>
            </w:r>
            <w:r w:rsidRPr="004856CD">
              <w:rPr>
                <w:b/>
                <w:noProof/>
                <w:color w:val="660066"/>
                <w:sz w:val="56"/>
                <w:szCs w:val="56"/>
              </w:rPr>
              <w:t>Assoc</w:t>
            </w:r>
            <w:r w:rsidR="004402B5" w:rsidRPr="004856CD">
              <w:rPr>
                <w:b/>
                <w:noProof/>
                <w:color w:val="660066"/>
                <w:sz w:val="56"/>
                <w:szCs w:val="56"/>
              </w:rPr>
              <w:t>i</w:t>
            </w:r>
            <w:r w:rsidRPr="004856CD">
              <w:rPr>
                <w:b/>
                <w:noProof/>
                <w:color w:val="660066"/>
                <w:sz w:val="56"/>
                <w:szCs w:val="56"/>
              </w:rPr>
              <w:t>ates</w:t>
            </w:r>
          </w:p>
        </w:tc>
        <w:tc>
          <w:tcPr>
            <w:tcW w:w="4788" w:type="dxa"/>
            <w:vAlign w:val="center"/>
          </w:tcPr>
          <w:p w:rsidR="007F56FA" w:rsidRPr="0062071A" w:rsidRDefault="004856CD" w:rsidP="004402B5">
            <w:pPr>
              <w:jc w:val="center"/>
              <w:rPr>
                <w:b/>
                <w:noProof/>
                <w:color w:val="660066"/>
              </w:rPr>
            </w:pPr>
            <w:r>
              <w:rPr>
                <w:b/>
                <w:noProof/>
                <w:color w:val="660066"/>
              </w:rPr>
              <w:t xml:space="preserve">22 Pine Ave., </w:t>
            </w:r>
            <w:r w:rsidR="007F56FA" w:rsidRPr="0062071A">
              <w:rPr>
                <w:b/>
                <w:noProof/>
                <w:color w:val="660066"/>
              </w:rPr>
              <w:t>Albany, NY 12204-4304</w:t>
            </w:r>
          </w:p>
          <w:p w:rsidR="004402B5" w:rsidRDefault="004402B5" w:rsidP="004402B5">
            <w:pPr>
              <w:jc w:val="center"/>
              <w:rPr>
                <w:noProof/>
              </w:rPr>
            </w:pPr>
            <w:r w:rsidRPr="0062071A">
              <w:rPr>
                <w:b/>
                <w:noProof/>
                <w:color w:val="660066"/>
              </w:rPr>
              <w:t>ARC-Associates.net</w:t>
            </w:r>
          </w:p>
        </w:tc>
      </w:tr>
    </w:tbl>
    <w:p w:rsidR="00D92B0A" w:rsidRDefault="00D92B0A" w:rsidP="00722A7F">
      <w:pPr>
        <w:rPr>
          <w:noProof/>
        </w:rPr>
      </w:pPr>
    </w:p>
    <w:p w:rsidR="00D92B0A" w:rsidRDefault="00D92B0A" w:rsidP="00722A7F">
      <w:pPr>
        <w:rPr>
          <w:noProof/>
        </w:rPr>
      </w:pPr>
    </w:p>
    <w:p w:rsidR="00D92B0A" w:rsidRDefault="00D92B0A" w:rsidP="00722A7F">
      <w:pPr>
        <w:rPr>
          <w:noProof/>
        </w:rPr>
      </w:pPr>
    </w:p>
    <w:p w:rsidR="00D92B0A" w:rsidRDefault="00D92B0A" w:rsidP="00722A7F"/>
    <w:p w:rsidR="007367EF" w:rsidRDefault="007367EF" w:rsidP="00722A7F"/>
    <w:p w:rsidR="007367EF" w:rsidRDefault="007367EF" w:rsidP="00722A7F"/>
    <w:p w:rsidR="007367EF" w:rsidRDefault="007367EF" w:rsidP="00722A7F"/>
    <w:p w:rsidR="00B71B8A" w:rsidRDefault="00B71B8A" w:rsidP="007367EF">
      <w:pPr>
        <w:jc w:val="center"/>
      </w:pPr>
      <w:r>
        <w:t xml:space="preserve">The Greater New Orleans Community Needs Assessment Project </w:t>
      </w:r>
    </w:p>
    <w:p w:rsidR="007367EF" w:rsidRDefault="00B71B8A" w:rsidP="007367EF">
      <w:pPr>
        <w:jc w:val="center"/>
      </w:pPr>
      <w:proofErr w:type="gramStart"/>
      <w:r>
        <w:t>is</w:t>
      </w:r>
      <w:proofErr w:type="gramEnd"/>
      <w:r>
        <w:t xml:space="preserve"> funded by</w:t>
      </w:r>
      <w:r w:rsidR="007367EF">
        <w:t xml:space="preserve"> the</w:t>
      </w:r>
    </w:p>
    <w:p w:rsidR="007367EF" w:rsidRDefault="007367EF" w:rsidP="007367EF">
      <w:pPr>
        <w:jc w:val="center"/>
      </w:pPr>
    </w:p>
    <w:p w:rsidR="007367EF" w:rsidRDefault="007367EF" w:rsidP="007367EF">
      <w:pPr>
        <w:jc w:val="center"/>
      </w:pPr>
      <w:r>
        <w:t>Metropolitan Human Services District</w:t>
      </w:r>
    </w:p>
    <w:p w:rsidR="007367EF" w:rsidRDefault="007367EF" w:rsidP="007367EF">
      <w:pPr>
        <w:jc w:val="center"/>
      </w:pPr>
      <w:r>
        <w:t>1010 Common Street #600</w:t>
      </w:r>
    </w:p>
    <w:p w:rsidR="007367EF" w:rsidRDefault="007367EF" w:rsidP="007367EF">
      <w:pPr>
        <w:jc w:val="center"/>
      </w:pPr>
      <w:r w:rsidRPr="007367EF">
        <w:t>New Orleans, LA 70112</w:t>
      </w:r>
    </w:p>
    <w:p w:rsidR="007367EF" w:rsidRDefault="007367EF" w:rsidP="007367EF"/>
    <w:p w:rsidR="007367EF" w:rsidRDefault="007367EF" w:rsidP="007367EF"/>
    <w:p w:rsidR="00B71B8A" w:rsidRDefault="00B71B8A" w:rsidP="007367EF">
      <w:pPr>
        <w:sectPr w:rsidR="00B71B8A" w:rsidSect="00D2404D">
          <w:pgSz w:w="12240" w:h="15840" w:code="1"/>
          <w:pgMar w:top="864" w:right="1440" w:bottom="864" w:left="1440" w:header="720" w:footer="720" w:gutter="0"/>
          <w:cols w:space="720"/>
        </w:sectPr>
      </w:pPr>
    </w:p>
    <w:p w:rsidR="003B0F2C" w:rsidRDefault="003B0F2C" w:rsidP="003B0F2C">
      <w:pPr>
        <w:jc w:val="right"/>
      </w:pPr>
      <w:r>
        <w:lastRenderedPageBreak/>
        <w:t>November 2013</w:t>
      </w:r>
    </w:p>
    <w:p w:rsidR="003B0F2C" w:rsidRDefault="003B0F2C" w:rsidP="003B0F2C"/>
    <w:p w:rsidR="003B0F2C" w:rsidRDefault="003B0F2C" w:rsidP="003B0F2C"/>
    <w:p w:rsidR="003B0F2C" w:rsidRPr="00B42849" w:rsidRDefault="003B0F2C" w:rsidP="003B0F2C">
      <w:pPr>
        <w:jc w:val="center"/>
        <w:rPr>
          <w:b/>
        </w:rPr>
      </w:pPr>
      <w:r w:rsidRPr="00B42849">
        <w:rPr>
          <w:b/>
        </w:rPr>
        <w:t>Overview of Substance Abuse Prevention Services Funded by the</w:t>
      </w:r>
    </w:p>
    <w:p w:rsidR="003B0F2C" w:rsidRPr="00B42849" w:rsidRDefault="003B0F2C" w:rsidP="003B0F2C">
      <w:pPr>
        <w:jc w:val="center"/>
        <w:rPr>
          <w:b/>
        </w:rPr>
      </w:pPr>
      <w:r w:rsidRPr="00B42849">
        <w:rPr>
          <w:b/>
        </w:rPr>
        <w:t>Louisiana Office of Behavioral Health for Greater New Orleans</w:t>
      </w:r>
    </w:p>
    <w:p w:rsidR="003B0F2C" w:rsidRPr="00B42849" w:rsidRDefault="003B0F2C" w:rsidP="003B0F2C">
      <w:pPr>
        <w:jc w:val="center"/>
        <w:rPr>
          <w:b/>
        </w:rPr>
      </w:pPr>
      <w:proofErr w:type="gramStart"/>
      <w:r w:rsidRPr="00B42849">
        <w:rPr>
          <w:b/>
        </w:rPr>
        <w:t>in</w:t>
      </w:r>
      <w:proofErr w:type="gramEnd"/>
      <w:r w:rsidRPr="00B42849">
        <w:rPr>
          <w:b/>
        </w:rPr>
        <w:t xml:space="preserve"> State Fiscal Year 2013</w:t>
      </w:r>
    </w:p>
    <w:p w:rsidR="003B0F2C" w:rsidRDefault="003B0F2C" w:rsidP="003B0F2C"/>
    <w:p w:rsidR="003B0F2C" w:rsidRDefault="003B0F2C" w:rsidP="003B0F2C"/>
    <w:p w:rsidR="003B0F2C" w:rsidRPr="00DD73E5" w:rsidRDefault="003B0F2C" w:rsidP="003B0F2C">
      <w:r w:rsidRPr="00DD73E5">
        <w:t xml:space="preserve">This overview is based entirely on the Louisiana Department of Health and Hospitals Office of Behavioral Health’s Prevention Services SFY 2013 Process Outcome Report generated by the Prevention Management Information Systems on July 29, 2013. </w:t>
      </w:r>
      <w:r>
        <w:t>The Process Outcome Report accounts for the substantial prevention effort funded by the Office of Behavioral Health (OBH). It does not include substance abuse prevention services that may be funded by other sources (such as grants) or prevention efforts principally targeted to related problems such as violence, teen pregnancy, delinquency and school drop-out.</w:t>
      </w:r>
    </w:p>
    <w:p w:rsidR="003B0F2C" w:rsidRDefault="003B0F2C" w:rsidP="003B0F2C"/>
    <w:p w:rsidR="003B0F2C" w:rsidRDefault="003B0F2C" w:rsidP="003B0F2C">
      <w:r w:rsidRPr="002950C8">
        <w:t>The Louisiana Office of Behavioral Health funds prevention services using moneys from the federal Substance Abuse Prevention and Treatment (SAPT) Block Grant</w:t>
      </w:r>
      <w:r>
        <w:t xml:space="preserve"> administered by the Substance Abuse and Mental Health Services Administration (SAMHSA). SAMHSA uses the public health typology of prevention strategies:</w:t>
      </w:r>
    </w:p>
    <w:p w:rsidR="003B0F2C" w:rsidRDefault="003B0F2C" w:rsidP="003B0F2C"/>
    <w:tbl>
      <w:tblPr>
        <w:tblStyle w:val="TableGrid"/>
        <w:tblW w:w="8079" w:type="dxa"/>
        <w:jc w:val="center"/>
        <w:tblInd w:w="1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65"/>
        <w:gridCol w:w="5914"/>
      </w:tblGrid>
      <w:tr w:rsidR="003B0F2C" w:rsidTr="009E3A43">
        <w:trPr>
          <w:trHeight w:val="395"/>
          <w:jc w:val="center"/>
        </w:trPr>
        <w:tc>
          <w:tcPr>
            <w:tcW w:w="2165" w:type="dxa"/>
          </w:tcPr>
          <w:p w:rsidR="003B0F2C" w:rsidRPr="00410BD8" w:rsidRDefault="003B0F2C" w:rsidP="009E3A43">
            <w:pPr>
              <w:rPr>
                <w:u w:val="single"/>
              </w:rPr>
            </w:pPr>
            <w:r w:rsidRPr="00410BD8">
              <w:rPr>
                <w:u w:val="single"/>
              </w:rPr>
              <w:t>Strategy</w:t>
            </w:r>
          </w:p>
        </w:tc>
        <w:tc>
          <w:tcPr>
            <w:tcW w:w="5914" w:type="dxa"/>
          </w:tcPr>
          <w:p w:rsidR="003B0F2C" w:rsidRPr="00410BD8" w:rsidRDefault="003B0F2C" w:rsidP="009E3A43">
            <w:pPr>
              <w:rPr>
                <w:u w:val="single"/>
              </w:rPr>
            </w:pPr>
            <w:r w:rsidRPr="00410BD8">
              <w:rPr>
                <w:u w:val="single"/>
              </w:rPr>
              <w:t>Target</w:t>
            </w:r>
          </w:p>
        </w:tc>
      </w:tr>
      <w:tr w:rsidR="003B0F2C" w:rsidTr="009E3A43">
        <w:trPr>
          <w:jc w:val="center"/>
        </w:trPr>
        <w:tc>
          <w:tcPr>
            <w:tcW w:w="2165" w:type="dxa"/>
          </w:tcPr>
          <w:p w:rsidR="003B0F2C" w:rsidRDefault="003B0F2C" w:rsidP="009E3A43">
            <w:r>
              <w:t xml:space="preserve">Universal – Indirect </w:t>
            </w:r>
          </w:p>
        </w:tc>
        <w:tc>
          <w:tcPr>
            <w:tcW w:w="5914" w:type="dxa"/>
          </w:tcPr>
          <w:p w:rsidR="003B0F2C" w:rsidRDefault="003B0F2C" w:rsidP="009E3A43">
            <w:r>
              <w:t>General populations or subpopulations with limited or no direct contact (e.g. media campaigns, policies change etc.)</w:t>
            </w:r>
          </w:p>
        </w:tc>
      </w:tr>
      <w:tr w:rsidR="003B0F2C" w:rsidTr="009E3A43">
        <w:trPr>
          <w:jc w:val="center"/>
        </w:trPr>
        <w:tc>
          <w:tcPr>
            <w:tcW w:w="2165" w:type="dxa"/>
          </w:tcPr>
          <w:p w:rsidR="003B0F2C" w:rsidRDefault="003B0F2C" w:rsidP="009E3A43">
            <w:r>
              <w:t xml:space="preserve">Universal – Direct </w:t>
            </w:r>
          </w:p>
        </w:tc>
        <w:tc>
          <w:tcPr>
            <w:tcW w:w="5914" w:type="dxa"/>
          </w:tcPr>
          <w:p w:rsidR="003B0F2C" w:rsidRDefault="003B0F2C" w:rsidP="009E3A43">
            <w:r>
              <w:t>General populations or subpopulations with direct contact, typically in small groups with multiple sessions.</w:t>
            </w:r>
          </w:p>
        </w:tc>
      </w:tr>
      <w:tr w:rsidR="003B0F2C" w:rsidTr="009E3A43">
        <w:trPr>
          <w:jc w:val="center"/>
        </w:trPr>
        <w:tc>
          <w:tcPr>
            <w:tcW w:w="2165" w:type="dxa"/>
          </w:tcPr>
          <w:p w:rsidR="003B0F2C" w:rsidRDefault="003B0F2C" w:rsidP="009E3A43">
            <w:r>
              <w:t>Selective</w:t>
            </w:r>
          </w:p>
        </w:tc>
        <w:tc>
          <w:tcPr>
            <w:tcW w:w="5914" w:type="dxa"/>
          </w:tcPr>
          <w:p w:rsidR="003B0F2C" w:rsidRDefault="003B0F2C" w:rsidP="009E3A43">
            <w:r>
              <w:t>Groups of individuals that have been identified as at high risk of developing the problem</w:t>
            </w:r>
          </w:p>
        </w:tc>
      </w:tr>
      <w:tr w:rsidR="003B0F2C" w:rsidTr="009E3A43">
        <w:trPr>
          <w:jc w:val="center"/>
        </w:trPr>
        <w:tc>
          <w:tcPr>
            <w:tcW w:w="2165" w:type="dxa"/>
          </w:tcPr>
          <w:p w:rsidR="003B0F2C" w:rsidRDefault="003B0F2C" w:rsidP="009E3A43">
            <w:r>
              <w:t>Indicated</w:t>
            </w:r>
          </w:p>
        </w:tc>
        <w:tc>
          <w:tcPr>
            <w:tcW w:w="5914" w:type="dxa"/>
          </w:tcPr>
          <w:p w:rsidR="003B0F2C" w:rsidRDefault="003B0F2C" w:rsidP="009E3A43">
            <w:r>
              <w:t>Individuals who have experienced the problem, to arrest further development of problem. Services may include brief intervention or referral to treatment services.</w:t>
            </w:r>
          </w:p>
        </w:tc>
      </w:tr>
    </w:tbl>
    <w:p w:rsidR="003B0F2C" w:rsidRDefault="003B0F2C" w:rsidP="003B0F2C"/>
    <w:p w:rsidR="003B0F2C" w:rsidRDefault="003B0F2C" w:rsidP="003B0F2C">
      <w:r>
        <w:t>SAMHSA also uses an older typology of prevention services which includes: Education Strategies, Community-based Process, Environmental Strategies, and Information Dissemination. In recent year SAMHSA has strongly encouraged further development of environmental strategies that target development of policies and social norms to reduce substance abuse.</w:t>
      </w:r>
    </w:p>
    <w:p w:rsidR="003B0F2C" w:rsidRDefault="003B0F2C" w:rsidP="003B0F2C"/>
    <w:p w:rsidR="003B0F2C" w:rsidRDefault="003B0F2C" w:rsidP="003B0F2C"/>
    <w:p w:rsidR="003B0F2C" w:rsidRPr="00DD73E5" w:rsidRDefault="003B0F2C" w:rsidP="003B0F2C">
      <w:pPr>
        <w:rPr>
          <w:b/>
        </w:rPr>
      </w:pPr>
      <w:r w:rsidRPr="00DD73E5">
        <w:rPr>
          <w:b/>
        </w:rPr>
        <w:t>Educational Strategies</w:t>
      </w:r>
    </w:p>
    <w:p w:rsidR="003B0F2C" w:rsidRDefault="003B0F2C" w:rsidP="003B0F2C"/>
    <w:p w:rsidR="003B0F2C" w:rsidRDefault="003B0F2C" w:rsidP="003B0F2C">
      <w:r w:rsidRPr="00B85399">
        <w:t xml:space="preserve">Services using educational strategies are typically provided in classroom environments during the school day. They are distinguished from information dissemination strategies in that they involve </w:t>
      </w:r>
      <w:r>
        <w:t>direct</w:t>
      </w:r>
      <w:r w:rsidRPr="00B85399">
        <w:t xml:space="preserve"> interaction with a prevention educator, usually over a fixed number of sessions. Students participating in these programs are counted as “enrolled” in the prevention programs. Enrollment figures are cumulated over four quarters of the fiscal year.</w:t>
      </w:r>
    </w:p>
    <w:p w:rsidR="003B0F2C" w:rsidRDefault="003B0F2C" w:rsidP="003B0F2C"/>
    <w:p w:rsidR="003B0F2C" w:rsidRDefault="003B0F2C" w:rsidP="003B0F2C">
      <w:r>
        <w:t xml:space="preserve">The Office of Behavioral Health supports only evidence-based prevention programs, consistent with the policy of the Substance Abuse and Mental Health Services Administration (SAMHSA) which administers the SAPT Block Grant. In order to maximize efficiency and provide services within the federal cost per program per enrollee guidelines, capital and overhead costs are minimized by using school facilities. Further, prevention service providers are reimbursed for expenses on a fee-for-service basis (rather than a program cost basis). </w:t>
      </w:r>
    </w:p>
    <w:p w:rsidR="003B0F2C" w:rsidRDefault="003B0F2C" w:rsidP="003B0F2C"/>
    <w:tbl>
      <w:tblPr>
        <w:tblpPr w:leftFromText="180" w:rightFromText="180" w:vertAnchor="text" w:horzAnchor="margin" w:tblpXSpec="right" w:tblpY="74"/>
        <w:tblOverlap w:val="never"/>
        <w:tblW w:w="0" w:type="auto"/>
        <w:tblLayout w:type="fixed"/>
        <w:tblCellMar>
          <w:left w:w="58" w:type="dxa"/>
          <w:right w:w="29" w:type="dxa"/>
        </w:tblCellMar>
        <w:tblLook w:val="0000" w:firstRow="0" w:lastRow="0" w:firstColumn="0" w:lastColumn="0" w:noHBand="0" w:noVBand="0"/>
      </w:tblPr>
      <w:tblGrid>
        <w:gridCol w:w="720"/>
        <w:gridCol w:w="1132"/>
        <w:gridCol w:w="1133"/>
        <w:gridCol w:w="1133"/>
        <w:gridCol w:w="1133"/>
      </w:tblGrid>
      <w:tr w:rsidR="003B0F2C" w:rsidRPr="008B3B13" w:rsidTr="009E3A43">
        <w:trPr>
          <w:cantSplit/>
          <w:trHeight w:val="529"/>
        </w:trPr>
        <w:tc>
          <w:tcPr>
            <w:tcW w:w="5251" w:type="dxa"/>
            <w:gridSpan w:val="5"/>
            <w:tcBorders>
              <w:bottom w:val="single" w:sz="6" w:space="0" w:color="000000"/>
            </w:tcBorders>
            <w:tcMar>
              <w:left w:w="29" w:type="dxa"/>
              <w:right w:w="14" w:type="dxa"/>
            </w:tcMar>
            <w:vAlign w:val="center"/>
          </w:tcPr>
          <w:p w:rsidR="003B0F2C" w:rsidRPr="003E6165" w:rsidRDefault="003B0F2C" w:rsidP="009E3A43">
            <w:pPr>
              <w:jc w:val="center"/>
              <w:rPr>
                <w:b/>
                <w:sz w:val="20"/>
              </w:rPr>
            </w:pPr>
            <w:r w:rsidRPr="003E6165">
              <w:rPr>
                <w:b/>
                <w:sz w:val="20"/>
              </w:rPr>
              <w:t>Table 1: Enrollment in Prevention Educational Services for Greater New Orleans and Statewide, 2007-13</w:t>
            </w:r>
          </w:p>
        </w:tc>
      </w:tr>
      <w:tr w:rsidR="003B0F2C" w:rsidRPr="008B3B13" w:rsidTr="009E3A43">
        <w:trPr>
          <w:cantSplit/>
          <w:trHeight w:val="216"/>
        </w:trPr>
        <w:tc>
          <w:tcPr>
            <w:tcW w:w="720" w:type="dxa"/>
            <w:tcBorders>
              <w:top w:val="single" w:sz="6" w:space="0" w:color="000000"/>
              <w:left w:val="single" w:sz="5" w:space="0" w:color="000000"/>
              <w:bottom w:val="single" w:sz="5" w:space="0" w:color="000000"/>
              <w:right w:val="single" w:sz="5" w:space="0" w:color="000000"/>
            </w:tcBorders>
            <w:tcMar>
              <w:left w:w="29" w:type="dxa"/>
              <w:right w:w="14" w:type="dxa"/>
            </w:tcMar>
            <w:vAlign w:val="center"/>
          </w:tcPr>
          <w:p w:rsidR="003B0F2C" w:rsidRDefault="003B0F2C" w:rsidP="009E3A43">
            <w:pPr>
              <w:jc w:val="center"/>
              <w:rPr>
                <w:sz w:val="20"/>
              </w:rPr>
            </w:pPr>
            <w:r>
              <w:rPr>
                <w:sz w:val="20"/>
              </w:rPr>
              <w:t>State</w:t>
            </w:r>
          </w:p>
          <w:p w:rsidR="003B0F2C" w:rsidRDefault="003B0F2C" w:rsidP="009E3A43">
            <w:pPr>
              <w:jc w:val="center"/>
              <w:rPr>
                <w:sz w:val="20"/>
              </w:rPr>
            </w:pPr>
            <w:r>
              <w:rPr>
                <w:sz w:val="20"/>
              </w:rPr>
              <w:t>Fiscal</w:t>
            </w:r>
          </w:p>
          <w:p w:rsidR="003B0F2C" w:rsidRPr="008B3B13" w:rsidRDefault="003B0F2C" w:rsidP="009E3A43">
            <w:pPr>
              <w:jc w:val="center"/>
              <w:rPr>
                <w:sz w:val="20"/>
              </w:rPr>
            </w:pPr>
            <w:r>
              <w:rPr>
                <w:sz w:val="20"/>
              </w:rPr>
              <w:t>Year</w:t>
            </w:r>
          </w:p>
        </w:tc>
        <w:tc>
          <w:tcPr>
            <w:tcW w:w="1132" w:type="dxa"/>
            <w:tcBorders>
              <w:top w:val="single" w:sz="6" w:space="0" w:color="000000"/>
              <w:left w:val="single" w:sz="5" w:space="0" w:color="000000"/>
              <w:bottom w:val="single" w:sz="5" w:space="0" w:color="000000"/>
              <w:right w:val="single" w:sz="5" w:space="0" w:color="000000"/>
            </w:tcBorders>
            <w:tcMar>
              <w:left w:w="29" w:type="dxa"/>
              <w:right w:w="14" w:type="dxa"/>
            </w:tcMar>
            <w:vAlign w:val="center"/>
          </w:tcPr>
          <w:p w:rsidR="003B0F2C" w:rsidRPr="00137EEB" w:rsidRDefault="003B0F2C" w:rsidP="009E3A43">
            <w:pPr>
              <w:jc w:val="center"/>
              <w:rPr>
                <w:sz w:val="20"/>
              </w:rPr>
            </w:pPr>
            <w:r w:rsidRPr="00137EEB">
              <w:rPr>
                <w:sz w:val="20"/>
              </w:rPr>
              <w:t>Metropolitan Human Services District</w:t>
            </w:r>
          </w:p>
        </w:tc>
        <w:tc>
          <w:tcPr>
            <w:tcW w:w="1133" w:type="dxa"/>
            <w:tcBorders>
              <w:top w:val="single" w:sz="6" w:space="0" w:color="000000"/>
              <w:left w:val="single" w:sz="5" w:space="0" w:color="000000"/>
              <w:bottom w:val="single" w:sz="5" w:space="0" w:color="000000"/>
              <w:right w:val="single" w:sz="5" w:space="0" w:color="000000"/>
            </w:tcBorders>
            <w:tcMar>
              <w:left w:w="29" w:type="dxa"/>
              <w:right w:w="14" w:type="dxa"/>
            </w:tcMar>
            <w:vAlign w:val="center"/>
          </w:tcPr>
          <w:p w:rsidR="003B0F2C" w:rsidRPr="00137EEB" w:rsidRDefault="003B0F2C" w:rsidP="009E3A43">
            <w:pPr>
              <w:jc w:val="center"/>
              <w:rPr>
                <w:sz w:val="20"/>
              </w:rPr>
            </w:pPr>
            <w:r w:rsidRPr="00137EEB">
              <w:rPr>
                <w:sz w:val="20"/>
              </w:rPr>
              <w:t>Jefferson Parish</w:t>
            </w:r>
          </w:p>
          <w:p w:rsidR="003B0F2C" w:rsidRPr="00137EEB" w:rsidRDefault="003B0F2C" w:rsidP="009E3A43">
            <w:pPr>
              <w:jc w:val="center"/>
              <w:rPr>
                <w:sz w:val="20"/>
              </w:rPr>
            </w:pPr>
            <w:r>
              <w:rPr>
                <w:sz w:val="20"/>
              </w:rPr>
              <w:t xml:space="preserve"> (JPHSA)</w:t>
            </w:r>
          </w:p>
        </w:tc>
        <w:tc>
          <w:tcPr>
            <w:tcW w:w="1133" w:type="dxa"/>
            <w:tcBorders>
              <w:top w:val="single" w:sz="6" w:space="0" w:color="000000"/>
              <w:left w:val="single" w:sz="5" w:space="0" w:color="000000"/>
              <w:bottom w:val="single" w:sz="5" w:space="0" w:color="000000"/>
              <w:right w:val="single" w:sz="5" w:space="0" w:color="000000"/>
            </w:tcBorders>
            <w:tcMar>
              <w:left w:w="29" w:type="dxa"/>
              <w:right w:w="14" w:type="dxa"/>
            </w:tcMar>
            <w:vAlign w:val="center"/>
          </w:tcPr>
          <w:p w:rsidR="003B0F2C" w:rsidRPr="00137EEB" w:rsidRDefault="003B0F2C" w:rsidP="009E3A43">
            <w:pPr>
              <w:jc w:val="center"/>
              <w:rPr>
                <w:sz w:val="20"/>
              </w:rPr>
            </w:pPr>
            <w:r w:rsidRPr="00137EEB">
              <w:rPr>
                <w:sz w:val="20"/>
              </w:rPr>
              <w:t>Greater</w:t>
            </w:r>
          </w:p>
          <w:p w:rsidR="003B0F2C" w:rsidRPr="00137EEB" w:rsidRDefault="003B0F2C" w:rsidP="009E3A43">
            <w:pPr>
              <w:jc w:val="center"/>
              <w:rPr>
                <w:sz w:val="20"/>
              </w:rPr>
            </w:pPr>
            <w:r w:rsidRPr="00137EEB">
              <w:rPr>
                <w:sz w:val="20"/>
              </w:rPr>
              <w:t>New</w:t>
            </w:r>
          </w:p>
          <w:p w:rsidR="003B0F2C" w:rsidRPr="00137EEB" w:rsidRDefault="003B0F2C" w:rsidP="009E3A43">
            <w:pPr>
              <w:jc w:val="center"/>
              <w:rPr>
                <w:sz w:val="20"/>
              </w:rPr>
            </w:pPr>
            <w:r w:rsidRPr="00137EEB">
              <w:rPr>
                <w:sz w:val="20"/>
              </w:rPr>
              <w:t>Orleans</w:t>
            </w:r>
          </w:p>
        </w:tc>
        <w:tc>
          <w:tcPr>
            <w:tcW w:w="1133" w:type="dxa"/>
            <w:tcBorders>
              <w:top w:val="single" w:sz="6" w:space="0" w:color="000000"/>
              <w:left w:val="single" w:sz="5" w:space="0" w:color="000000"/>
              <w:bottom w:val="single" w:sz="5" w:space="0" w:color="000000"/>
              <w:right w:val="single" w:sz="5" w:space="0" w:color="000000"/>
            </w:tcBorders>
            <w:tcMar>
              <w:left w:w="29" w:type="dxa"/>
              <w:right w:w="14" w:type="dxa"/>
            </w:tcMar>
            <w:vAlign w:val="center"/>
          </w:tcPr>
          <w:p w:rsidR="003B0F2C" w:rsidRPr="00137EEB" w:rsidRDefault="003B0F2C" w:rsidP="009E3A43">
            <w:pPr>
              <w:jc w:val="center"/>
              <w:rPr>
                <w:sz w:val="20"/>
              </w:rPr>
            </w:pPr>
            <w:r w:rsidRPr="00137EEB">
              <w:rPr>
                <w:sz w:val="20"/>
              </w:rPr>
              <w:t>Statewide Total</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2007</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16</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430</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446</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10</w:t>
            </w:r>
            <w:r>
              <w:rPr>
                <w:sz w:val="20"/>
              </w:rPr>
              <w:t>,</w:t>
            </w:r>
            <w:r w:rsidRPr="00137EEB">
              <w:rPr>
                <w:sz w:val="20"/>
              </w:rPr>
              <w:t>400</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2008</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5</w:t>
            </w:r>
            <w:r>
              <w:rPr>
                <w:sz w:val="20"/>
              </w:rPr>
              <w:t>,</w:t>
            </w:r>
            <w:r w:rsidRPr="00137EEB">
              <w:rPr>
                <w:sz w:val="20"/>
              </w:rPr>
              <w:t>362</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883</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6,245</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29</w:t>
            </w:r>
            <w:r>
              <w:rPr>
                <w:sz w:val="20"/>
              </w:rPr>
              <w:t>,</w:t>
            </w:r>
            <w:r w:rsidRPr="00137EEB">
              <w:rPr>
                <w:sz w:val="20"/>
              </w:rPr>
              <w:t>291</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2009</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12</w:t>
            </w:r>
            <w:r>
              <w:rPr>
                <w:sz w:val="20"/>
              </w:rPr>
              <w:t>,</w:t>
            </w:r>
            <w:r w:rsidRPr="00137EEB">
              <w:rPr>
                <w:sz w:val="20"/>
              </w:rPr>
              <w:t>803</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2</w:t>
            </w:r>
            <w:r>
              <w:rPr>
                <w:sz w:val="20"/>
              </w:rPr>
              <w:t>,</w:t>
            </w:r>
            <w:r w:rsidRPr="00137EEB">
              <w:rPr>
                <w:sz w:val="20"/>
              </w:rPr>
              <w:t>794</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15,597</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57</w:t>
            </w:r>
            <w:r>
              <w:rPr>
                <w:sz w:val="20"/>
              </w:rPr>
              <w:t>,</w:t>
            </w:r>
            <w:r w:rsidRPr="00137EEB">
              <w:rPr>
                <w:sz w:val="20"/>
              </w:rPr>
              <w:t>342</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2010</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12</w:t>
            </w:r>
            <w:r>
              <w:rPr>
                <w:sz w:val="20"/>
              </w:rPr>
              <w:t>,</w:t>
            </w:r>
            <w:r w:rsidRPr="00137EEB">
              <w:rPr>
                <w:sz w:val="20"/>
              </w:rPr>
              <w:t>474</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4</w:t>
            </w:r>
            <w:r>
              <w:rPr>
                <w:sz w:val="20"/>
              </w:rPr>
              <w:t>,</w:t>
            </w:r>
            <w:r w:rsidRPr="00137EEB">
              <w:rPr>
                <w:sz w:val="20"/>
              </w:rPr>
              <w:t>357</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16,831</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72</w:t>
            </w:r>
            <w:r>
              <w:rPr>
                <w:sz w:val="20"/>
              </w:rPr>
              <w:t>,</w:t>
            </w:r>
            <w:r w:rsidRPr="00137EEB">
              <w:rPr>
                <w:sz w:val="20"/>
              </w:rPr>
              <w:t>095</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2011</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9</w:t>
            </w:r>
            <w:r>
              <w:rPr>
                <w:sz w:val="20"/>
              </w:rPr>
              <w:t>,</w:t>
            </w:r>
            <w:r w:rsidRPr="00137EEB">
              <w:rPr>
                <w:sz w:val="20"/>
              </w:rPr>
              <w:t>585</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3</w:t>
            </w:r>
            <w:r>
              <w:rPr>
                <w:sz w:val="20"/>
              </w:rPr>
              <w:t>,</w:t>
            </w:r>
            <w:r w:rsidRPr="00137EEB">
              <w:rPr>
                <w:sz w:val="20"/>
              </w:rPr>
              <w:t>638</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13,223</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77</w:t>
            </w:r>
            <w:r>
              <w:rPr>
                <w:sz w:val="20"/>
              </w:rPr>
              <w:t>,</w:t>
            </w:r>
            <w:r w:rsidRPr="00137EEB">
              <w:rPr>
                <w:sz w:val="20"/>
              </w:rPr>
              <w:t>171</w:t>
            </w:r>
          </w:p>
        </w:tc>
      </w:tr>
      <w:tr w:rsidR="003B0F2C" w:rsidRPr="008B3B13" w:rsidTr="009E3A43">
        <w:trPr>
          <w:cantSplit/>
          <w:trHeight w:val="216"/>
        </w:trPr>
        <w:tc>
          <w:tcPr>
            <w:tcW w:w="720" w:type="dxa"/>
            <w:tcBorders>
              <w:top w:val="single" w:sz="5" w:space="0" w:color="000000"/>
              <w:left w:val="single" w:sz="5" w:space="0" w:color="000000"/>
              <w:bottom w:val="single" w:sz="5" w:space="0" w:color="000000"/>
              <w:right w:val="single" w:sz="5" w:space="0" w:color="000000"/>
            </w:tcBorders>
            <w:vAlign w:val="center"/>
          </w:tcPr>
          <w:p w:rsidR="003B0F2C" w:rsidRPr="008B3B13" w:rsidRDefault="003B0F2C" w:rsidP="009E3A43">
            <w:pPr>
              <w:jc w:val="center"/>
              <w:rPr>
                <w:sz w:val="20"/>
              </w:rPr>
            </w:pPr>
            <w:r>
              <w:rPr>
                <w:sz w:val="20"/>
              </w:rPr>
              <w:t>2012</w:t>
            </w:r>
          </w:p>
        </w:tc>
        <w:tc>
          <w:tcPr>
            <w:tcW w:w="1132"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11</w:t>
            </w:r>
            <w:r>
              <w:rPr>
                <w:sz w:val="20"/>
              </w:rPr>
              <w:t>,</w:t>
            </w:r>
            <w:r w:rsidRPr="00137EEB">
              <w:rPr>
                <w:sz w:val="20"/>
              </w:rPr>
              <w:t>289</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3</w:t>
            </w:r>
            <w:r>
              <w:rPr>
                <w:sz w:val="20"/>
              </w:rPr>
              <w:t>,</w:t>
            </w:r>
            <w:r w:rsidRPr="00137EEB">
              <w:rPr>
                <w:sz w:val="20"/>
              </w:rPr>
              <w:t>917</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Pr>
                <w:sz w:val="20"/>
              </w:rPr>
              <w:t>15,260</w:t>
            </w:r>
          </w:p>
        </w:tc>
        <w:tc>
          <w:tcPr>
            <w:tcW w:w="1133" w:type="dxa"/>
            <w:tcBorders>
              <w:top w:val="single" w:sz="5" w:space="0" w:color="000000"/>
              <w:left w:val="single" w:sz="5" w:space="0" w:color="000000"/>
              <w:bottom w:val="single" w:sz="5" w:space="0" w:color="000000"/>
              <w:right w:val="single" w:sz="5" w:space="0" w:color="000000"/>
            </w:tcBorders>
            <w:vAlign w:val="center"/>
          </w:tcPr>
          <w:p w:rsidR="003B0F2C" w:rsidRPr="00137EEB" w:rsidRDefault="003B0F2C" w:rsidP="009E3A43">
            <w:pPr>
              <w:jc w:val="center"/>
              <w:rPr>
                <w:sz w:val="20"/>
              </w:rPr>
            </w:pPr>
            <w:r w:rsidRPr="00137EEB">
              <w:rPr>
                <w:sz w:val="20"/>
              </w:rPr>
              <w:t>77</w:t>
            </w:r>
            <w:r>
              <w:rPr>
                <w:sz w:val="20"/>
              </w:rPr>
              <w:t>,</w:t>
            </w:r>
            <w:r w:rsidRPr="00137EEB">
              <w:rPr>
                <w:sz w:val="20"/>
              </w:rPr>
              <w:t>078</w:t>
            </w:r>
          </w:p>
        </w:tc>
      </w:tr>
      <w:tr w:rsidR="003B0F2C" w:rsidRPr="008B3B13" w:rsidTr="009E3A43">
        <w:trPr>
          <w:cantSplit/>
          <w:trHeight w:val="216"/>
        </w:trPr>
        <w:tc>
          <w:tcPr>
            <w:tcW w:w="720" w:type="dxa"/>
            <w:tcBorders>
              <w:top w:val="single" w:sz="5" w:space="0" w:color="000000"/>
              <w:left w:val="single" w:sz="5" w:space="0" w:color="000000"/>
              <w:bottom w:val="single" w:sz="6" w:space="0" w:color="000000"/>
              <w:right w:val="single" w:sz="5" w:space="0" w:color="000000"/>
            </w:tcBorders>
            <w:vAlign w:val="center"/>
          </w:tcPr>
          <w:p w:rsidR="003B0F2C" w:rsidRPr="008B3B13" w:rsidRDefault="003B0F2C" w:rsidP="009E3A43">
            <w:pPr>
              <w:jc w:val="center"/>
              <w:rPr>
                <w:sz w:val="20"/>
              </w:rPr>
            </w:pPr>
            <w:r>
              <w:rPr>
                <w:sz w:val="20"/>
              </w:rPr>
              <w:t>2013</w:t>
            </w:r>
          </w:p>
        </w:tc>
        <w:tc>
          <w:tcPr>
            <w:tcW w:w="1132" w:type="dxa"/>
            <w:tcBorders>
              <w:top w:val="single" w:sz="5" w:space="0" w:color="000000"/>
              <w:left w:val="single" w:sz="5" w:space="0" w:color="000000"/>
              <w:bottom w:val="single" w:sz="6" w:space="0" w:color="000000"/>
              <w:right w:val="single" w:sz="5" w:space="0" w:color="000000"/>
            </w:tcBorders>
            <w:vAlign w:val="center"/>
          </w:tcPr>
          <w:p w:rsidR="003B0F2C" w:rsidRPr="00137EEB" w:rsidRDefault="003B0F2C" w:rsidP="009E3A43">
            <w:pPr>
              <w:jc w:val="center"/>
              <w:rPr>
                <w:sz w:val="20"/>
              </w:rPr>
            </w:pPr>
            <w:r w:rsidRPr="00137EEB">
              <w:rPr>
                <w:sz w:val="20"/>
              </w:rPr>
              <w:t>10</w:t>
            </w:r>
            <w:r>
              <w:rPr>
                <w:sz w:val="20"/>
              </w:rPr>
              <w:t>,</w:t>
            </w:r>
            <w:r w:rsidRPr="00137EEB">
              <w:rPr>
                <w:sz w:val="20"/>
              </w:rPr>
              <w:t>790</w:t>
            </w:r>
          </w:p>
        </w:tc>
        <w:tc>
          <w:tcPr>
            <w:tcW w:w="1133" w:type="dxa"/>
            <w:tcBorders>
              <w:top w:val="single" w:sz="5" w:space="0" w:color="000000"/>
              <w:left w:val="single" w:sz="5" w:space="0" w:color="000000"/>
              <w:bottom w:val="single" w:sz="6" w:space="0" w:color="000000"/>
              <w:right w:val="single" w:sz="5" w:space="0" w:color="000000"/>
            </w:tcBorders>
            <w:vAlign w:val="center"/>
          </w:tcPr>
          <w:p w:rsidR="003B0F2C" w:rsidRPr="00137EEB" w:rsidRDefault="003B0F2C" w:rsidP="009E3A43">
            <w:pPr>
              <w:jc w:val="center"/>
              <w:rPr>
                <w:sz w:val="20"/>
              </w:rPr>
            </w:pPr>
            <w:r w:rsidRPr="00137EEB">
              <w:rPr>
                <w:sz w:val="20"/>
              </w:rPr>
              <w:t>3</w:t>
            </w:r>
            <w:r>
              <w:rPr>
                <w:sz w:val="20"/>
              </w:rPr>
              <w:t>,</w:t>
            </w:r>
            <w:r w:rsidRPr="00137EEB">
              <w:rPr>
                <w:sz w:val="20"/>
              </w:rPr>
              <w:t>656</w:t>
            </w:r>
          </w:p>
        </w:tc>
        <w:tc>
          <w:tcPr>
            <w:tcW w:w="1133" w:type="dxa"/>
            <w:tcBorders>
              <w:top w:val="single" w:sz="5" w:space="0" w:color="000000"/>
              <w:left w:val="single" w:sz="5" w:space="0" w:color="000000"/>
              <w:bottom w:val="single" w:sz="6" w:space="0" w:color="000000"/>
              <w:right w:val="single" w:sz="5" w:space="0" w:color="000000"/>
            </w:tcBorders>
            <w:vAlign w:val="center"/>
          </w:tcPr>
          <w:p w:rsidR="003B0F2C" w:rsidRPr="00137EEB" w:rsidRDefault="003B0F2C" w:rsidP="009E3A43">
            <w:pPr>
              <w:jc w:val="center"/>
              <w:rPr>
                <w:sz w:val="20"/>
              </w:rPr>
            </w:pPr>
            <w:r>
              <w:rPr>
                <w:sz w:val="20"/>
              </w:rPr>
              <w:t>14,446</w:t>
            </w:r>
          </w:p>
        </w:tc>
        <w:tc>
          <w:tcPr>
            <w:tcW w:w="1133" w:type="dxa"/>
            <w:tcBorders>
              <w:top w:val="single" w:sz="5" w:space="0" w:color="000000"/>
              <w:left w:val="single" w:sz="5" w:space="0" w:color="000000"/>
              <w:bottom w:val="single" w:sz="6" w:space="0" w:color="000000"/>
              <w:right w:val="single" w:sz="5" w:space="0" w:color="000000"/>
            </w:tcBorders>
            <w:vAlign w:val="center"/>
          </w:tcPr>
          <w:p w:rsidR="003B0F2C" w:rsidRPr="00137EEB" w:rsidRDefault="003B0F2C" w:rsidP="009E3A43">
            <w:pPr>
              <w:jc w:val="center"/>
              <w:rPr>
                <w:sz w:val="20"/>
              </w:rPr>
            </w:pPr>
            <w:r w:rsidRPr="00137EEB">
              <w:rPr>
                <w:sz w:val="20"/>
              </w:rPr>
              <w:t>88</w:t>
            </w:r>
            <w:r>
              <w:rPr>
                <w:sz w:val="20"/>
              </w:rPr>
              <w:t>,</w:t>
            </w:r>
            <w:r w:rsidRPr="00137EEB">
              <w:rPr>
                <w:sz w:val="20"/>
              </w:rPr>
              <w:t>030</w:t>
            </w:r>
          </w:p>
        </w:tc>
      </w:tr>
      <w:tr w:rsidR="003B0F2C" w:rsidRPr="008B3B13" w:rsidTr="009E3A43">
        <w:trPr>
          <w:cantSplit/>
          <w:trHeight w:val="1614"/>
        </w:trPr>
        <w:tc>
          <w:tcPr>
            <w:tcW w:w="5251" w:type="dxa"/>
            <w:gridSpan w:val="5"/>
            <w:tcBorders>
              <w:top w:val="single" w:sz="6" w:space="0" w:color="000000"/>
            </w:tcBorders>
            <w:vAlign w:val="center"/>
          </w:tcPr>
          <w:p w:rsidR="003B0F2C" w:rsidRDefault="003B0F2C" w:rsidP="009E3A43">
            <w:pPr>
              <w:rPr>
                <w:sz w:val="18"/>
                <w:szCs w:val="18"/>
              </w:rPr>
            </w:pPr>
            <w:r w:rsidRPr="00C1443B">
              <w:rPr>
                <w:sz w:val="18"/>
                <w:szCs w:val="18"/>
              </w:rPr>
              <w:t xml:space="preserve">Metropolitan Human Services District (MHSD) covers Orleans, Plaquemines and St. Bernard parishes. Jefferson Parish Human Services Authority (JPHSA) is a separate region. Together they constitute </w:t>
            </w:r>
            <w:r w:rsidRPr="006534BD">
              <w:rPr>
                <w:i/>
                <w:sz w:val="18"/>
                <w:szCs w:val="18"/>
              </w:rPr>
              <w:t>Greater New Orleans</w:t>
            </w:r>
            <w:r w:rsidRPr="00C1443B">
              <w:rPr>
                <w:sz w:val="18"/>
                <w:szCs w:val="18"/>
              </w:rPr>
              <w:t xml:space="preserve"> for purposes of this analysis.</w:t>
            </w:r>
          </w:p>
          <w:p w:rsidR="003B0F2C" w:rsidRPr="00C1443B" w:rsidRDefault="003B0F2C" w:rsidP="009E3A43">
            <w:pPr>
              <w:rPr>
                <w:sz w:val="18"/>
                <w:szCs w:val="18"/>
              </w:rPr>
            </w:pPr>
            <w:r w:rsidRPr="00E87259">
              <w:rPr>
                <w:sz w:val="18"/>
                <w:szCs w:val="18"/>
              </w:rPr>
              <w:t xml:space="preserve">Source: Louisiana Department of Health and Hospitals, Office of Behavioral Health, </w:t>
            </w:r>
            <w:r w:rsidRPr="00E87259">
              <w:rPr>
                <w:i/>
                <w:sz w:val="18"/>
                <w:szCs w:val="18"/>
              </w:rPr>
              <w:t>Prevention Services SFY 2013 Process Outcome Report</w:t>
            </w:r>
            <w:r w:rsidRPr="00E87259">
              <w:rPr>
                <w:sz w:val="18"/>
                <w:szCs w:val="18"/>
              </w:rPr>
              <w:t>, p</w:t>
            </w:r>
            <w:r>
              <w:rPr>
                <w:sz w:val="18"/>
                <w:szCs w:val="18"/>
              </w:rPr>
              <w:t>. 6</w:t>
            </w:r>
            <w:r w:rsidRPr="00E87259">
              <w:rPr>
                <w:sz w:val="18"/>
                <w:szCs w:val="18"/>
              </w:rPr>
              <w:t xml:space="preserve"> (Prevention Management Information Systems (PMIS).</w:t>
            </w:r>
          </w:p>
        </w:tc>
      </w:tr>
    </w:tbl>
    <w:p w:rsidR="003B0F2C" w:rsidRDefault="003B0F2C" w:rsidP="003B0F2C">
      <w:r>
        <w:t>Enrollment in educational prevention services statewide totaled 88,030 in SFY 2013 while enrollments in Greater New Orleans reached 14,446. While the level of enrollment for the state has, except for 2012, grown substantially each year, enrollment in Greater New Orleans has fluctuated since 2009. Educational services in Greater New Orleans represented 16 percent of the statewide total while, based on the 2010 U S Census, Greater New Orleans represented 18 percent of the state’s population.</w:t>
      </w:r>
    </w:p>
    <w:p w:rsidR="003B0F2C" w:rsidRDefault="003B0F2C" w:rsidP="003B0F2C"/>
    <w:p w:rsidR="003B0F2C" w:rsidRDefault="003B0F2C" w:rsidP="003B0F2C">
      <w:r>
        <w:t>For SFY 2013, the total number of classroom sessions statewide amounted to 47,142, including 5,560 in the Metropolitan District and 1,433 in Jefferson Parish. The average class size (attendance) was 19 for Metropolitan and 21 for Jefferson. (See Process Outcome Report, pages 13-16.) Although the population of Jefferson Parish is equal to or greater than the Metropolitan District, enrollment in educational prevention services is over three times greater in the Metropolitan District.</w:t>
      </w:r>
    </w:p>
    <w:p w:rsidR="003B0F2C" w:rsidRPr="00BA5049" w:rsidRDefault="003B0F2C" w:rsidP="003B0F2C">
      <w:pPr>
        <w:spacing w:line="20" w:lineRule="exact"/>
        <w:rPr>
          <w:rFonts w:eastAsia="PMingLiU"/>
          <w:sz w:val="22"/>
          <w:szCs w:val="22"/>
        </w:rPr>
      </w:pPr>
    </w:p>
    <w:p w:rsidR="003B0F2C" w:rsidRPr="00BA5049" w:rsidRDefault="003B0F2C" w:rsidP="003B0F2C">
      <w:pPr>
        <w:spacing w:line="20" w:lineRule="exact"/>
        <w:rPr>
          <w:rFonts w:eastAsia="PMingLiU"/>
          <w:sz w:val="22"/>
          <w:szCs w:val="22"/>
        </w:rPr>
      </w:pPr>
    </w:p>
    <w:p w:rsidR="003B0F2C" w:rsidRDefault="003B0F2C" w:rsidP="003B0F2C"/>
    <w:p w:rsidR="003B0F2C" w:rsidRDefault="003B0F2C" w:rsidP="003B0F2C">
      <w:r w:rsidRPr="0041698C">
        <w:t>Educational prevention services funded by OBH use evidence-based program models that fall under one of three strategies: Universal Direct, Selective, and Indicated. Across the state, 15 different education prevention models were used; 13 of them were based on the Universal strategies.</w:t>
      </w:r>
      <w:r>
        <w:t xml:space="preserve"> </w:t>
      </w:r>
      <w:proofErr w:type="gramStart"/>
      <w:r>
        <w:t>(See Table 2.)</w:t>
      </w:r>
      <w:proofErr w:type="gramEnd"/>
      <w:r w:rsidRPr="0041698C">
        <w:t xml:space="preserve"> Of the 88,030 students enrolled statewide in SFY 2013, more than 99 percent were enrolled in Universal Strategy programs. The individual program models are listed in Table 2. The most used model was Life skills Training (42,000 </w:t>
      </w:r>
      <w:proofErr w:type="gramStart"/>
      <w:r w:rsidRPr="0041698C">
        <w:t>enrollment</w:t>
      </w:r>
      <w:proofErr w:type="gramEnd"/>
      <w:r w:rsidRPr="0041698C">
        <w:t>), followed by Kids Don’t Gamble…</w:t>
      </w:r>
      <w:proofErr w:type="spellStart"/>
      <w:r w:rsidRPr="0041698C">
        <w:t>Wanna</w:t>
      </w:r>
      <w:proofErr w:type="spellEnd"/>
      <w:r w:rsidRPr="0041698C">
        <w:t xml:space="preserve"> Bet? </w:t>
      </w:r>
      <w:proofErr w:type="gramStart"/>
      <w:r w:rsidRPr="0041698C">
        <w:t>(14,000) and Project Northland (8,000).</w:t>
      </w:r>
      <w:proofErr w:type="gramEnd"/>
    </w:p>
    <w:p w:rsidR="003B0F2C" w:rsidRDefault="003B0F2C" w:rsidP="003B0F2C"/>
    <w:p w:rsidR="003B0F2C" w:rsidRDefault="003B0F2C" w:rsidP="003B0F2C">
      <w:r>
        <w:br w:type="page"/>
      </w:r>
    </w:p>
    <w:p w:rsidR="003B0F2C" w:rsidRDefault="003B0F2C" w:rsidP="003B0F2C"/>
    <w:tbl>
      <w:tblPr>
        <w:tblpPr w:leftFromText="180" w:rightFromText="180" w:vertAnchor="text" w:horzAnchor="margin" w:tblpXSpec="right" w:tblpY="-48"/>
        <w:tblOverlap w:val="never"/>
        <w:tblW w:w="0" w:type="auto"/>
        <w:tblLayout w:type="fixed"/>
        <w:tblCellMar>
          <w:left w:w="29" w:type="dxa"/>
          <w:right w:w="29" w:type="dxa"/>
        </w:tblCellMar>
        <w:tblLook w:val="0000" w:firstRow="0" w:lastRow="0" w:firstColumn="0" w:lastColumn="0" w:noHBand="0" w:noVBand="0"/>
      </w:tblPr>
      <w:tblGrid>
        <w:gridCol w:w="2880"/>
        <w:gridCol w:w="900"/>
        <w:gridCol w:w="810"/>
        <w:gridCol w:w="900"/>
        <w:gridCol w:w="839"/>
      </w:tblGrid>
      <w:tr w:rsidR="003B0F2C" w:rsidRPr="00ED37CA" w:rsidTr="009E3A43">
        <w:trPr>
          <w:trHeight w:hRule="exact" w:val="531"/>
        </w:trPr>
        <w:tc>
          <w:tcPr>
            <w:tcW w:w="6329" w:type="dxa"/>
            <w:gridSpan w:val="5"/>
            <w:tcBorders>
              <w:bottom w:val="single" w:sz="6" w:space="0" w:color="000000"/>
            </w:tcBorders>
            <w:vAlign w:val="center"/>
          </w:tcPr>
          <w:p w:rsidR="003B0F2C" w:rsidRPr="00E812E6" w:rsidRDefault="003B0F2C" w:rsidP="009E3A43">
            <w:pPr>
              <w:spacing w:line="189" w:lineRule="exact"/>
              <w:ind w:right="376"/>
              <w:jc w:val="center"/>
              <w:textAlignment w:val="baseline"/>
              <w:rPr>
                <w:rFonts w:eastAsia="Arial"/>
                <w:b/>
                <w:color w:val="000000"/>
                <w:sz w:val="20"/>
              </w:rPr>
            </w:pPr>
            <w:r>
              <w:rPr>
                <w:rFonts w:eastAsia="Arial"/>
                <w:b/>
                <w:color w:val="000000"/>
                <w:sz w:val="20"/>
              </w:rPr>
              <w:t xml:space="preserve">Table 2: </w:t>
            </w:r>
            <w:r w:rsidRPr="00E812E6">
              <w:rPr>
                <w:rFonts w:eastAsia="Arial"/>
                <w:b/>
                <w:color w:val="000000"/>
                <w:sz w:val="20"/>
              </w:rPr>
              <w:t>Enrollment in Evidence-based Programs by Prevention Type (Universal, Selective and Indicated), Statewide, State FY 2013</w:t>
            </w:r>
          </w:p>
        </w:tc>
      </w:tr>
      <w:tr w:rsidR="003B0F2C" w:rsidRPr="00ED37CA" w:rsidTr="009E3A43">
        <w:trPr>
          <w:trHeight w:hRule="exact" w:val="331"/>
        </w:trPr>
        <w:tc>
          <w:tcPr>
            <w:tcW w:w="2880" w:type="dxa"/>
            <w:tcBorders>
              <w:top w:val="single" w:sz="6"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9" w:lineRule="exact"/>
              <w:ind w:left="105"/>
              <w:jc w:val="center"/>
              <w:textAlignment w:val="baseline"/>
              <w:rPr>
                <w:rFonts w:eastAsia="Arial"/>
                <w:b/>
                <w:color w:val="000000"/>
                <w:sz w:val="20"/>
              </w:rPr>
            </w:pPr>
            <w:r w:rsidRPr="00D935B9">
              <w:rPr>
                <w:rFonts w:eastAsia="Arial"/>
                <w:b/>
                <w:color w:val="000000"/>
                <w:sz w:val="20"/>
              </w:rPr>
              <w:t>E</w:t>
            </w:r>
            <w:r w:rsidRPr="00BA5049">
              <w:rPr>
                <w:rFonts w:eastAsia="Arial"/>
                <w:b/>
                <w:color w:val="000000"/>
                <w:sz w:val="20"/>
              </w:rPr>
              <w:t>vidence-Based Program</w:t>
            </w:r>
            <w:r w:rsidRPr="00D935B9">
              <w:rPr>
                <w:rFonts w:eastAsia="Arial"/>
                <w:b/>
                <w:color w:val="000000"/>
                <w:sz w:val="20"/>
              </w:rPr>
              <w:t>s</w:t>
            </w:r>
          </w:p>
        </w:tc>
        <w:tc>
          <w:tcPr>
            <w:tcW w:w="900" w:type="dxa"/>
            <w:tcBorders>
              <w:top w:val="single" w:sz="6"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96" w:lineRule="exact"/>
              <w:ind w:right="-29"/>
              <w:jc w:val="center"/>
              <w:textAlignment w:val="baseline"/>
              <w:rPr>
                <w:rFonts w:eastAsia="Arial"/>
                <w:b/>
                <w:color w:val="000000"/>
                <w:sz w:val="20"/>
              </w:rPr>
            </w:pPr>
            <w:r w:rsidRPr="00BA5049">
              <w:rPr>
                <w:rFonts w:eastAsia="Arial"/>
                <w:b/>
                <w:color w:val="000000"/>
                <w:sz w:val="20"/>
              </w:rPr>
              <w:t>U</w:t>
            </w:r>
            <w:r w:rsidRPr="00D935B9">
              <w:rPr>
                <w:rFonts w:eastAsia="Arial"/>
                <w:b/>
                <w:color w:val="000000"/>
                <w:sz w:val="20"/>
              </w:rPr>
              <w:t>niversal</w:t>
            </w:r>
          </w:p>
        </w:tc>
        <w:tc>
          <w:tcPr>
            <w:tcW w:w="810" w:type="dxa"/>
            <w:tcBorders>
              <w:top w:val="single" w:sz="6"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96" w:lineRule="exact"/>
              <w:ind w:right="-29"/>
              <w:jc w:val="center"/>
              <w:textAlignment w:val="baseline"/>
              <w:rPr>
                <w:rFonts w:eastAsia="Arial"/>
                <w:b/>
                <w:color w:val="000000"/>
                <w:sz w:val="20"/>
              </w:rPr>
            </w:pPr>
            <w:r w:rsidRPr="00D935B9">
              <w:rPr>
                <w:rFonts w:eastAsia="Arial"/>
                <w:b/>
                <w:color w:val="000000"/>
                <w:sz w:val="20"/>
              </w:rPr>
              <w:t>Selective</w:t>
            </w:r>
          </w:p>
        </w:tc>
        <w:tc>
          <w:tcPr>
            <w:tcW w:w="900" w:type="dxa"/>
            <w:tcBorders>
              <w:top w:val="single" w:sz="6"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29"/>
              <w:jc w:val="center"/>
              <w:textAlignment w:val="baseline"/>
              <w:rPr>
                <w:rFonts w:eastAsia="Arial"/>
                <w:b/>
                <w:color w:val="000000"/>
                <w:sz w:val="20"/>
              </w:rPr>
            </w:pPr>
            <w:r w:rsidRPr="00D935B9">
              <w:rPr>
                <w:rFonts w:eastAsia="Arial"/>
                <w:b/>
                <w:color w:val="000000"/>
                <w:sz w:val="20"/>
              </w:rPr>
              <w:t>Indicated</w:t>
            </w:r>
          </w:p>
        </w:tc>
        <w:tc>
          <w:tcPr>
            <w:tcW w:w="839" w:type="dxa"/>
            <w:tcBorders>
              <w:top w:val="single" w:sz="6"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9" w:lineRule="exact"/>
              <w:jc w:val="center"/>
              <w:textAlignment w:val="baseline"/>
              <w:rPr>
                <w:rFonts w:eastAsia="Arial"/>
                <w:b/>
                <w:color w:val="000000"/>
                <w:sz w:val="20"/>
              </w:rPr>
            </w:pPr>
            <w:r w:rsidRPr="00D935B9">
              <w:rPr>
                <w:rFonts w:eastAsia="Arial"/>
                <w:b/>
                <w:color w:val="000000"/>
                <w:sz w:val="20"/>
              </w:rPr>
              <w:t>Total</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left="61"/>
              <w:textAlignment w:val="baseline"/>
              <w:rPr>
                <w:rFonts w:eastAsia="Arial"/>
                <w:color w:val="000000"/>
                <w:sz w:val="20"/>
              </w:rPr>
            </w:pPr>
            <w:r w:rsidRPr="00BA5049">
              <w:rPr>
                <w:rFonts w:eastAsia="Arial"/>
                <w:color w:val="000000"/>
                <w:sz w:val="20"/>
              </w:rPr>
              <w:t>Life Skills Training</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42</w:t>
            </w:r>
            <w:r>
              <w:rPr>
                <w:rFonts w:eastAsia="Arial"/>
                <w:color w:val="000000"/>
                <w:sz w:val="20"/>
              </w:rPr>
              <w:t>,</w:t>
            </w:r>
            <w:r w:rsidRPr="00BA5049">
              <w:rPr>
                <w:rFonts w:eastAsia="Arial"/>
                <w:color w:val="000000"/>
                <w:sz w:val="20"/>
              </w:rPr>
              <w:t>242</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42</w:t>
            </w:r>
            <w:r>
              <w:rPr>
                <w:rFonts w:eastAsia="Arial"/>
                <w:color w:val="000000"/>
                <w:sz w:val="20"/>
              </w:rPr>
              <w:t>,</w:t>
            </w:r>
            <w:r w:rsidRPr="00BA5049">
              <w:rPr>
                <w:rFonts w:eastAsia="Arial"/>
                <w:color w:val="000000"/>
                <w:sz w:val="20"/>
              </w:rPr>
              <w:t>242</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5" w:lineRule="exact"/>
              <w:ind w:left="61"/>
              <w:textAlignment w:val="baseline"/>
              <w:rPr>
                <w:rFonts w:eastAsia="Arial"/>
                <w:color w:val="000000"/>
                <w:sz w:val="20"/>
              </w:rPr>
            </w:pPr>
            <w:r w:rsidRPr="00BA5049">
              <w:rPr>
                <w:rFonts w:eastAsia="Arial"/>
                <w:color w:val="000000"/>
                <w:sz w:val="20"/>
              </w:rPr>
              <w:t xml:space="preserve">Kids Don't Gamble... </w:t>
            </w:r>
            <w:proofErr w:type="spellStart"/>
            <w:r w:rsidRPr="00BA5049">
              <w:rPr>
                <w:rFonts w:eastAsia="Arial"/>
                <w:color w:val="000000"/>
                <w:sz w:val="20"/>
              </w:rPr>
              <w:t>Wanna</w:t>
            </w:r>
            <w:proofErr w:type="spellEnd"/>
            <w:r w:rsidRPr="00BA5049">
              <w:rPr>
                <w:rFonts w:eastAsia="Arial"/>
                <w:color w:val="000000"/>
                <w:sz w:val="20"/>
              </w:rPr>
              <w:t xml:space="preserve"> Bet?</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14</w:t>
            </w:r>
            <w:r>
              <w:rPr>
                <w:rFonts w:eastAsia="Arial"/>
                <w:color w:val="000000"/>
                <w:sz w:val="20"/>
              </w:rPr>
              <w:t>,</w:t>
            </w:r>
            <w:r w:rsidRPr="00BA5049">
              <w:rPr>
                <w:rFonts w:eastAsia="Arial"/>
                <w:color w:val="000000"/>
                <w:sz w:val="20"/>
              </w:rPr>
              <w:t>736</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14</w:t>
            </w:r>
            <w:r>
              <w:rPr>
                <w:rFonts w:eastAsia="Arial"/>
                <w:color w:val="000000"/>
                <w:sz w:val="20"/>
              </w:rPr>
              <w:t>,</w:t>
            </w:r>
            <w:r w:rsidRPr="00BA5049">
              <w:rPr>
                <w:rFonts w:eastAsia="Arial"/>
                <w:color w:val="000000"/>
                <w:sz w:val="20"/>
              </w:rPr>
              <w:t>736</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left="61"/>
              <w:textAlignment w:val="baseline"/>
              <w:rPr>
                <w:rFonts w:eastAsia="Arial"/>
                <w:color w:val="000000"/>
                <w:sz w:val="20"/>
              </w:rPr>
            </w:pPr>
            <w:r w:rsidRPr="00BA5049">
              <w:rPr>
                <w:rFonts w:eastAsia="Arial"/>
                <w:color w:val="000000"/>
                <w:sz w:val="20"/>
              </w:rPr>
              <w:t>Project Northland</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8</w:t>
            </w:r>
            <w:r>
              <w:rPr>
                <w:rFonts w:eastAsia="Arial"/>
                <w:color w:val="000000"/>
                <w:sz w:val="20"/>
              </w:rPr>
              <w:t>,</w:t>
            </w:r>
            <w:r w:rsidRPr="00BA5049">
              <w:rPr>
                <w:rFonts w:eastAsia="Arial"/>
                <w:color w:val="000000"/>
                <w:sz w:val="20"/>
              </w:rPr>
              <w:t>241</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8</w:t>
            </w:r>
            <w:r>
              <w:rPr>
                <w:rFonts w:eastAsia="Arial"/>
                <w:color w:val="000000"/>
                <w:sz w:val="20"/>
              </w:rPr>
              <w:t>,</w:t>
            </w:r>
            <w:r w:rsidRPr="00BA5049">
              <w:rPr>
                <w:rFonts w:eastAsia="Arial"/>
                <w:color w:val="000000"/>
                <w:sz w:val="20"/>
              </w:rPr>
              <w:t>241</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left="61"/>
              <w:textAlignment w:val="baseline"/>
              <w:rPr>
                <w:rFonts w:eastAsia="Arial"/>
                <w:color w:val="000000"/>
                <w:sz w:val="20"/>
              </w:rPr>
            </w:pPr>
            <w:r w:rsidRPr="00BA5049">
              <w:rPr>
                <w:rFonts w:eastAsia="Arial"/>
                <w:color w:val="000000"/>
                <w:sz w:val="20"/>
              </w:rPr>
              <w:t>Too Good for Drugs</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4</w:t>
            </w:r>
            <w:r>
              <w:rPr>
                <w:rFonts w:eastAsia="Arial"/>
                <w:color w:val="000000"/>
                <w:sz w:val="20"/>
              </w:rPr>
              <w:t>,</w:t>
            </w:r>
            <w:r w:rsidRPr="00BA5049">
              <w:rPr>
                <w:rFonts w:eastAsia="Arial"/>
                <w:color w:val="000000"/>
                <w:sz w:val="20"/>
              </w:rPr>
              <w:t>327</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4</w:t>
            </w:r>
            <w:r>
              <w:rPr>
                <w:rFonts w:eastAsia="Arial"/>
                <w:color w:val="000000"/>
                <w:sz w:val="20"/>
              </w:rPr>
              <w:t>,</w:t>
            </w:r>
            <w:r w:rsidRPr="00BA5049">
              <w:rPr>
                <w:rFonts w:eastAsia="Arial"/>
                <w:color w:val="000000"/>
                <w:sz w:val="20"/>
              </w:rPr>
              <w:t>327</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left="61"/>
              <w:textAlignment w:val="baseline"/>
              <w:rPr>
                <w:rFonts w:eastAsia="Arial"/>
                <w:color w:val="000000"/>
                <w:sz w:val="20"/>
              </w:rPr>
            </w:pPr>
            <w:r w:rsidRPr="00BA5049">
              <w:rPr>
                <w:rFonts w:eastAsia="Arial"/>
                <w:color w:val="000000"/>
                <w:sz w:val="20"/>
              </w:rPr>
              <w:t>Second Step</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right="160"/>
              <w:jc w:val="right"/>
              <w:textAlignment w:val="baseline"/>
              <w:rPr>
                <w:rFonts w:eastAsia="Arial"/>
                <w:color w:val="000000"/>
                <w:sz w:val="20"/>
              </w:rPr>
            </w:pPr>
            <w:r w:rsidRPr="00BA5049">
              <w:rPr>
                <w:rFonts w:eastAsia="Arial"/>
                <w:color w:val="000000"/>
                <w:sz w:val="20"/>
              </w:rPr>
              <w:t>4</w:t>
            </w:r>
            <w:r>
              <w:rPr>
                <w:rFonts w:eastAsia="Arial"/>
                <w:color w:val="000000"/>
                <w:sz w:val="20"/>
              </w:rPr>
              <w:t>,</w:t>
            </w:r>
            <w:r w:rsidRPr="00BA5049">
              <w:rPr>
                <w:rFonts w:eastAsia="Arial"/>
                <w:color w:val="000000"/>
                <w:sz w:val="20"/>
              </w:rPr>
              <w:t>063</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right="160"/>
              <w:jc w:val="right"/>
              <w:textAlignment w:val="baseline"/>
              <w:rPr>
                <w:rFonts w:eastAsia="Arial"/>
                <w:color w:val="000000"/>
                <w:sz w:val="20"/>
              </w:rPr>
            </w:pPr>
            <w:r w:rsidRPr="00BA5049">
              <w:rPr>
                <w:rFonts w:eastAsia="Arial"/>
                <w:color w:val="000000"/>
                <w:sz w:val="20"/>
              </w:rPr>
              <w:t>4</w:t>
            </w:r>
            <w:r>
              <w:rPr>
                <w:rFonts w:eastAsia="Arial"/>
                <w:color w:val="000000"/>
                <w:sz w:val="20"/>
              </w:rPr>
              <w:t>,</w:t>
            </w:r>
            <w:r w:rsidRPr="00BA5049">
              <w:rPr>
                <w:rFonts w:eastAsia="Arial"/>
                <w:color w:val="000000"/>
                <w:sz w:val="20"/>
              </w:rPr>
              <w:t>063</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left="61"/>
              <w:textAlignment w:val="baseline"/>
              <w:rPr>
                <w:rFonts w:eastAsia="Arial"/>
                <w:color w:val="000000"/>
                <w:sz w:val="20"/>
              </w:rPr>
            </w:pPr>
            <w:r w:rsidRPr="00BA5049">
              <w:rPr>
                <w:rFonts w:eastAsia="Arial"/>
                <w:color w:val="000000"/>
                <w:sz w:val="20"/>
              </w:rPr>
              <w:t>Coping Skills</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3</w:t>
            </w:r>
            <w:r>
              <w:rPr>
                <w:rFonts w:eastAsia="Arial"/>
                <w:color w:val="000000"/>
                <w:sz w:val="20"/>
              </w:rPr>
              <w:t>,</w:t>
            </w:r>
            <w:r w:rsidRPr="00BA5049">
              <w:rPr>
                <w:rFonts w:eastAsia="Arial"/>
                <w:color w:val="000000"/>
                <w:sz w:val="20"/>
              </w:rPr>
              <w:t>325</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2" w:lineRule="exact"/>
              <w:ind w:right="160"/>
              <w:jc w:val="right"/>
              <w:textAlignment w:val="baseline"/>
              <w:rPr>
                <w:rFonts w:eastAsia="Arial"/>
                <w:color w:val="000000"/>
                <w:sz w:val="20"/>
              </w:rPr>
            </w:pPr>
            <w:r w:rsidRPr="00BA5049">
              <w:rPr>
                <w:rFonts w:eastAsia="Arial"/>
                <w:color w:val="000000"/>
                <w:sz w:val="20"/>
              </w:rPr>
              <w:t>3</w:t>
            </w:r>
            <w:r>
              <w:rPr>
                <w:rFonts w:eastAsia="Arial"/>
                <w:color w:val="000000"/>
                <w:sz w:val="20"/>
              </w:rPr>
              <w:t>,</w:t>
            </w:r>
            <w:r w:rsidRPr="00BA5049">
              <w:rPr>
                <w:rFonts w:eastAsia="Arial"/>
                <w:color w:val="000000"/>
                <w:sz w:val="20"/>
              </w:rPr>
              <w:t>325</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left="61"/>
              <w:textAlignment w:val="baseline"/>
              <w:rPr>
                <w:rFonts w:eastAsia="Arial"/>
                <w:color w:val="000000"/>
                <w:sz w:val="20"/>
              </w:rPr>
            </w:pPr>
            <w:r w:rsidRPr="00BA5049">
              <w:rPr>
                <w:rFonts w:eastAsia="Arial"/>
                <w:color w:val="000000"/>
                <w:sz w:val="20"/>
              </w:rPr>
              <w:t>Positive Action</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right="160"/>
              <w:jc w:val="right"/>
              <w:textAlignment w:val="baseline"/>
              <w:rPr>
                <w:rFonts w:eastAsia="Arial"/>
                <w:color w:val="000000"/>
                <w:sz w:val="20"/>
              </w:rPr>
            </w:pPr>
            <w:r w:rsidRPr="00BA5049">
              <w:rPr>
                <w:rFonts w:eastAsia="Arial"/>
                <w:color w:val="000000"/>
                <w:sz w:val="20"/>
              </w:rPr>
              <w:t>3</w:t>
            </w:r>
            <w:r>
              <w:rPr>
                <w:rFonts w:eastAsia="Arial"/>
                <w:color w:val="000000"/>
                <w:sz w:val="20"/>
              </w:rPr>
              <w:t>,</w:t>
            </w:r>
            <w:r w:rsidRPr="00BA5049">
              <w:rPr>
                <w:rFonts w:eastAsia="Arial"/>
                <w:color w:val="000000"/>
                <w:sz w:val="20"/>
              </w:rPr>
              <w:t>088</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8" w:lineRule="exact"/>
              <w:ind w:right="160"/>
              <w:jc w:val="right"/>
              <w:textAlignment w:val="baseline"/>
              <w:rPr>
                <w:rFonts w:eastAsia="Arial"/>
                <w:color w:val="000000"/>
                <w:sz w:val="20"/>
              </w:rPr>
            </w:pPr>
            <w:r w:rsidRPr="00BA5049">
              <w:rPr>
                <w:rFonts w:eastAsia="Arial"/>
                <w:color w:val="000000"/>
                <w:sz w:val="20"/>
              </w:rPr>
              <w:t>3</w:t>
            </w:r>
            <w:r>
              <w:rPr>
                <w:rFonts w:eastAsia="Arial"/>
                <w:color w:val="000000"/>
                <w:sz w:val="20"/>
              </w:rPr>
              <w:t>,</w:t>
            </w:r>
            <w:r w:rsidRPr="00BA5049">
              <w:rPr>
                <w:rFonts w:eastAsia="Arial"/>
                <w:color w:val="000000"/>
                <w:sz w:val="20"/>
              </w:rPr>
              <w:t>088</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left="61"/>
              <w:textAlignment w:val="baseline"/>
              <w:rPr>
                <w:rFonts w:eastAsia="Arial"/>
                <w:color w:val="000000"/>
                <w:sz w:val="20"/>
              </w:rPr>
            </w:pPr>
            <w:r w:rsidRPr="00BA5049">
              <w:rPr>
                <w:rFonts w:eastAsia="Arial"/>
                <w:color w:val="000000"/>
                <w:sz w:val="20"/>
              </w:rPr>
              <w:t>Project Alert</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2</w:t>
            </w:r>
            <w:r>
              <w:rPr>
                <w:rFonts w:eastAsia="Arial"/>
                <w:color w:val="000000"/>
                <w:sz w:val="20"/>
              </w:rPr>
              <w:t>,</w:t>
            </w:r>
            <w:r w:rsidRPr="00BA5049">
              <w:rPr>
                <w:rFonts w:eastAsia="Arial"/>
                <w:color w:val="000000"/>
                <w:sz w:val="20"/>
              </w:rPr>
              <w:t>275</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2</w:t>
            </w:r>
            <w:r>
              <w:rPr>
                <w:rFonts w:eastAsia="Arial"/>
                <w:color w:val="000000"/>
                <w:sz w:val="20"/>
              </w:rPr>
              <w:t>,</w:t>
            </w:r>
            <w:r w:rsidRPr="00BA5049">
              <w:rPr>
                <w:rFonts w:eastAsia="Arial"/>
                <w:color w:val="000000"/>
                <w:sz w:val="20"/>
              </w:rPr>
              <w:t>275</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left="61"/>
              <w:textAlignment w:val="baseline"/>
              <w:rPr>
                <w:rFonts w:eastAsia="Arial"/>
                <w:color w:val="000000"/>
                <w:sz w:val="20"/>
              </w:rPr>
            </w:pPr>
            <w:r w:rsidRPr="00BA5049">
              <w:rPr>
                <w:rFonts w:eastAsia="Arial"/>
                <w:color w:val="000000"/>
                <w:sz w:val="20"/>
              </w:rPr>
              <w:t>Al's Pal</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2</w:t>
            </w:r>
            <w:r>
              <w:rPr>
                <w:rFonts w:eastAsia="Arial"/>
                <w:color w:val="000000"/>
                <w:sz w:val="20"/>
              </w:rPr>
              <w:t>,</w:t>
            </w:r>
            <w:r w:rsidRPr="00BA5049">
              <w:rPr>
                <w:rFonts w:eastAsia="Arial"/>
                <w:color w:val="000000"/>
                <w:sz w:val="20"/>
              </w:rPr>
              <w:t>043</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2</w:t>
            </w:r>
            <w:r>
              <w:rPr>
                <w:rFonts w:eastAsia="Arial"/>
                <w:color w:val="000000"/>
                <w:sz w:val="20"/>
              </w:rPr>
              <w:t>,</w:t>
            </w:r>
            <w:r w:rsidRPr="00BA5049">
              <w:rPr>
                <w:rFonts w:eastAsia="Arial"/>
                <w:color w:val="000000"/>
                <w:sz w:val="20"/>
              </w:rPr>
              <w:t>043</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left="61"/>
              <w:textAlignment w:val="baseline"/>
              <w:rPr>
                <w:rFonts w:eastAsia="Arial"/>
                <w:color w:val="000000"/>
                <w:sz w:val="20"/>
              </w:rPr>
            </w:pPr>
            <w:r w:rsidRPr="00BA5049">
              <w:rPr>
                <w:rFonts w:eastAsia="Arial"/>
                <w:color w:val="000000"/>
                <w:sz w:val="20"/>
              </w:rPr>
              <w:t>Protecting You-Protecting Me</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1</w:t>
            </w:r>
            <w:r>
              <w:rPr>
                <w:rFonts w:eastAsia="Arial"/>
                <w:color w:val="000000"/>
                <w:sz w:val="20"/>
              </w:rPr>
              <w:t>,</w:t>
            </w:r>
            <w:r w:rsidRPr="00BA5049">
              <w:rPr>
                <w:rFonts w:eastAsia="Arial"/>
                <w:color w:val="000000"/>
                <w:sz w:val="20"/>
              </w:rPr>
              <w:t>137</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1</w:t>
            </w:r>
            <w:r>
              <w:rPr>
                <w:rFonts w:eastAsia="Arial"/>
                <w:color w:val="000000"/>
                <w:sz w:val="20"/>
              </w:rPr>
              <w:t>,</w:t>
            </w:r>
            <w:r w:rsidRPr="00BA5049">
              <w:rPr>
                <w:rFonts w:eastAsia="Arial"/>
                <w:color w:val="000000"/>
                <w:sz w:val="20"/>
              </w:rPr>
              <w:t>137</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left="61"/>
              <w:textAlignment w:val="baseline"/>
              <w:rPr>
                <w:rFonts w:eastAsia="Arial"/>
                <w:color w:val="000000"/>
                <w:sz w:val="20"/>
              </w:rPr>
            </w:pPr>
            <w:r w:rsidRPr="00BA5049">
              <w:rPr>
                <w:rFonts w:eastAsia="Arial"/>
                <w:color w:val="000000"/>
                <w:sz w:val="20"/>
              </w:rPr>
              <w:t>Guided Imagery Program</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956</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956</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left="61"/>
              <w:textAlignment w:val="baseline"/>
              <w:rPr>
                <w:rFonts w:eastAsia="Arial"/>
                <w:color w:val="000000"/>
                <w:sz w:val="20"/>
              </w:rPr>
            </w:pPr>
            <w:r w:rsidRPr="00BA5049">
              <w:rPr>
                <w:rFonts w:eastAsia="Arial"/>
                <w:color w:val="000000"/>
                <w:sz w:val="20"/>
              </w:rPr>
              <w:t>Project Toward No Tobacco Use</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847</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847</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left="61"/>
              <w:textAlignment w:val="baseline"/>
              <w:rPr>
                <w:rFonts w:eastAsia="Arial"/>
                <w:color w:val="000000"/>
                <w:sz w:val="20"/>
              </w:rPr>
            </w:pPr>
            <w:r w:rsidRPr="00BA5049">
              <w:rPr>
                <w:rFonts w:eastAsia="Arial"/>
                <w:color w:val="000000"/>
                <w:sz w:val="20"/>
              </w:rPr>
              <w:t>Keep A Clear Mind</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326</w:t>
            </w: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326</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left="61"/>
              <w:textAlignment w:val="baseline"/>
              <w:rPr>
                <w:rFonts w:eastAsia="Arial"/>
                <w:color w:val="000000"/>
                <w:sz w:val="20"/>
              </w:rPr>
            </w:pPr>
            <w:r w:rsidRPr="00BA5049">
              <w:rPr>
                <w:rFonts w:eastAsia="Arial"/>
                <w:color w:val="000000"/>
                <w:sz w:val="20"/>
              </w:rPr>
              <w:t>Life Skills Training (Hispanic)</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119</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color w:val="000000"/>
                <w:sz w:val="20"/>
              </w:rPr>
            </w:pPr>
            <w:r w:rsidRPr="00BA5049">
              <w:rPr>
                <w:rFonts w:eastAsia="Arial"/>
                <w:color w:val="000000"/>
                <w:sz w:val="20"/>
              </w:rPr>
              <w:t>119</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6" w:lineRule="exact"/>
              <w:ind w:left="61"/>
              <w:textAlignment w:val="baseline"/>
              <w:rPr>
                <w:rFonts w:eastAsia="Arial"/>
                <w:color w:val="000000"/>
                <w:sz w:val="20"/>
              </w:rPr>
            </w:pPr>
            <w:r w:rsidRPr="00BA5049">
              <w:rPr>
                <w:rFonts w:eastAsia="Arial"/>
                <w:color w:val="000000"/>
                <w:sz w:val="20"/>
              </w:rPr>
              <w:t xml:space="preserve">Kids Don't Gamble... </w:t>
            </w:r>
            <w:proofErr w:type="spellStart"/>
            <w:r w:rsidRPr="00BA5049">
              <w:rPr>
                <w:rFonts w:eastAsia="Arial"/>
                <w:color w:val="000000"/>
                <w:sz w:val="20"/>
              </w:rPr>
              <w:t>Wanna</w:t>
            </w:r>
            <w:proofErr w:type="spellEnd"/>
            <w:r w:rsidRPr="00BA5049">
              <w:rPr>
                <w:rFonts w:eastAsia="Arial"/>
                <w:color w:val="000000"/>
                <w:sz w:val="20"/>
              </w:rPr>
              <w:t xml:space="preserve"> Bet? (Hispanic)</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119</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3" w:lineRule="exact"/>
              <w:ind w:right="160"/>
              <w:jc w:val="right"/>
              <w:textAlignment w:val="baseline"/>
              <w:rPr>
                <w:rFonts w:eastAsia="Arial"/>
                <w:color w:val="000000"/>
                <w:sz w:val="20"/>
              </w:rPr>
            </w:pPr>
            <w:r w:rsidRPr="00BA5049">
              <w:rPr>
                <w:rFonts w:eastAsia="Arial"/>
                <w:color w:val="000000"/>
                <w:sz w:val="20"/>
              </w:rPr>
              <w:t>119</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left="61"/>
              <w:textAlignment w:val="baseline"/>
              <w:rPr>
                <w:rFonts w:eastAsia="Arial"/>
                <w:color w:val="000000"/>
                <w:sz w:val="20"/>
              </w:rPr>
            </w:pPr>
            <w:r w:rsidRPr="00BA5049">
              <w:rPr>
                <w:rFonts w:eastAsia="Arial"/>
                <w:color w:val="000000"/>
                <w:sz w:val="20"/>
              </w:rPr>
              <w:t>Strengthening Families</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106</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106</w:t>
            </w:r>
          </w:p>
        </w:tc>
      </w:tr>
      <w:tr w:rsidR="003B0F2C" w:rsidRPr="00ED37CA" w:rsidTr="009E3A43">
        <w:trPr>
          <w:trHeight w:val="216"/>
        </w:trPr>
        <w:tc>
          <w:tcPr>
            <w:tcW w:w="288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left="61"/>
              <w:textAlignment w:val="baseline"/>
              <w:rPr>
                <w:rFonts w:eastAsia="Arial"/>
                <w:color w:val="000000"/>
                <w:sz w:val="20"/>
              </w:rPr>
            </w:pPr>
            <w:r w:rsidRPr="00BA5049">
              <w:rPr>
                <w:rFonts w:eastAsia="Arial"/>
                <w:color w:val="000000"/>
                <w:sz w:val="20"/>
              </w:rPr>
              <w:t>Insight Class Program</w:t>
            </w: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ind w:right="160"/>
              <w:jc w:val="right"/>
              <w:textAlignment w:val="baseline"/>
              <w:rPr>
                <w:rFonts w:eastAsia="Arial"/>
                <w:color w:val="000000"/>
                <w:sz w:val="20"/>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80</w:t>
            </w:r>
          </w:p>
        </w:tc>
        <w:tc>
          <w:tcPr>
            <w:tcW w:w="839" w:type="dxa"/>
            <w:tcBorders>
              <w:top w:val="single" w:sz="5" w:space="0" w:color="000000"/>
              <w:left w:val="single" w:sz="5" w:space="0" w:color="000000"/>
              <w:bottom w:val="single" w:sz="5" w:space="0" w:color="000000"/>
              <w:right w:val="single" w:sz="5" w:space="0" w:color="000000"/>
            </w:tcBorders>
            <w:vAlign w:val="center"/>
          </w:tcPr>
          <w:p w:rsidR="003B0F2C" w:rsidRPr="00BA5049" w:rsidRDefault="003B0F2C" w:rsidP="009E3A43">
            <w:pPr>
              <w:spacing w:line="177" w:lineRule="exact"/>
              <w:ind w:right="160"/>
              <w:jc w:val="right"/>
              <w:textAlignment w:val="baseline"/>
              <w:rPr>
                <w:rFonts w:eastAsia="Arial"/>
                <w:color w:val="000000"/>
                <w:sz w:val="20"/>
              </w:rPr>
            </w:pPr>
            <w:r w:rsidRPr="00BA5049">
              <w:rPr>
                <w:rFonts w:eastAsia="Arial"/>
                <w:color w:val="000000"/>
                <w:sz w:val="20"/>
              </w:rPr>
              <w:t>80</w:t>
            </w:r>
          </w:p>
        </w:tc>
      </w:tr>
      <w:tr w:rsidR="003B0F2C" w:rsidRPr="00ED37CA" w:rsidTr="009E3A43">
        <w:trPr>
          <w:trHeight w:hRule="exact" w:val="237"/>
        </w:trPr>
        <w:tc>
          <w:tcPr>
            <w:tcW w:w="2880" w:type="dxa"/>
            <w:tcBorders>
              <w:top w:val="single" w:sz="5" w:space="0" w:color="000000"/>
              <w:left w:val="single" w:sz="5" w:space="0" w:color="000000"/>
              <w:bottom w:val="single" w:sz="6" w:space="0" w:color="000000"/>
              <w:right w:val="single" w:sz="5" w:space="0" w:color="000000"/>
            </w:tcBorders>
            <w:vAlign w:val="center"/>
          </w:tcPr>
          <w:p w:rsidR="003B0F2C" w:rsidRPr="00BA5049" w:rsidRDefault="003B0F2C" w:rsidP="009E3A43">
            <w:pPr>
              <w:spacing w:line="182" w:lineRule="exact"/>
              <w:ind w:left="125"/>
              <w:jc w:val="center"/>
              <w:textAlignment w:val="baseline"/>
              <w:rPr>
                <w:rFonts w:eastAsia="Arial"/>
                <w:b/>
                <w:color w:val="000000"/>
                <w:sz w:val="20"/>
              </w:rPr>
            </w:pPr>
            <w:r w:rsidRPr="00BA5049">
              <w:rPr>
                <w:rFonts w:eastAsia="Arial"/>
                <w:b/>
                <w:color w:val="000000"/>
                <w:sz w:val="20"/>
              </w:rPr>
              <w:t>Totals</w:t>
            </w:r>
          </w:p>
        </w:tc>
        <w:tc>
          <w:tcPr>
            <w:tcW w:w="900" w:type="dxa"/>
            <w:tcBorders>
              <w:top w:val="single" w:sz="5" w:space="0" w:color="000000"/>
              <w:left w:val="single" w:sz="5" w:space="0" w:color="000000"/>
              <w:bottom w:val="single" w:sz="6" w:space="0" w:color="000000"/>
              <w:right w:val="single" w:sz="5" w:space="0" w:color="000000"/>
            </w:tcBorders>
            <w:vAlign w:val="center"/>
          </w:tcPr>
          <w:p w:rsidR="003B0F2C" w:rsidRPr="00BA5049" w:rsidRDefault="003B0F2C" w:rsidP="009E3A43">
            <w:pPr>
              <w:ind w:right="160"/>
              <w:jc w:val="right"/>
              <w:textAlignment w:val="baseline"/>
              <w:rPr>
                <w:rFonts w:eastAsia="Arial"/>
                <w:b/>
                <w:color w:val="000000"/>
                <w:sz w:val="20"/>
              </w:rPr>
            </w:pPr>
            <w:r w:rsidRPr="00D935B9">
              <w:rPr>
                <w:rFonts w:eastAsia="Arial"/>
                <w:b/>
                <w:color w:val="000000"/>
                <w:sz w:val="20"/>
              </w:rPr>
              <w:t>87,606</w:t>
            </w:r>
          </w:p>
        </w:tc>
        <w:tc>
          <w:tcPr>
            <w:tcW w:w="810" w:type="dxa"/>
            <w:tcBorders>
              <w:top w:val="single" w:sz="5" w:space="0" w:color="000000"/>
              <w:left w:val="single" w:sz="5" w:space="0" w:color="000000"/>
              <w:bottom w:val="single" w:sz="6" w:space="0" w:color="000000"/>
              <w:right w:val="single" w:sz="5" w:space="0" w:color="000000"/>
            </w:tcBorders>
            <w:vAlign w:val="center"/>
          </w:tcPr>
          <w:p w:rsidR="003B0F2C" w:rsidRPr="00BA5049" w:rsidRDefault="003B0F2C" w:rsidP="009E3A43">
            <w:pPr>
              <w:spacing w:line="187" w:lineRule="exact"/>
              <w:ind w:right="160"/>
              <w:jc w:val="right"/>
              <w:textAlignment w:val="baseline"/>
              <w:rPr>
                <w:rFonts w:eastAsia="Arial"/>
                <w:b/>
                <w:color w:val="000000"/>
                <w:sz w:val="20"/>
              </w:rPr>
            </w:pPr>
            <w:r w:rsidRPr="00BA5049">
              <w:rPr>
                <w:rFonts w:eastAsia="Arial"/>
                <w:b/>
                <w:color w:val="000000"/>
                <w:sz w:val="20"/>
              </w:rPr>
              <w:t>344</w:t>
            </w:r>
          </w:p>
        </w:tc>
        <w:tc>
          <w:tcPr>
            <w:tcW w:w="900" w:type="dxa"/>
            <w:tcBorders>
              <w:top w:val="single" w:sz="5" w:space="0" w:color="000000"/>
              <w:left w:val="single" w:sz="5" w:space="0" w:color="000000"/>
              <w:bottom w:val="single" w:sz="6"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b/>
                <w:color w:val="000000"/>
                <w:sz w:val="20"/>
              </w:rPr>
            </w:pPr>
            <w:r w:rsidRPr="00BA5049">
              <w:rPr>
                <w:rFonts w:eastAsia="Arial"/>
                <w:b/>
                <w:color w:val="000000"/>
                <w:sz w:val="20"/>
              </w:rPr>
              <w:t>80</w:t>
            </w:r>
          </w:p>
        </w:tc>
        <w:tc>
          <w:tcPr>
            <w:tcW w:w="839" w:type="dxa"/>
            <w:tcBorders>
              <w:top w:val="single" w:sz="5" w:space="0" w:color="000000"/>
              <w:left w:val="single" w:sz="5" w:space="0" w:color="000000"/>
              <w:bottom w:val="single" w:sz="6" w:space="0" w:color="000000"/>
              <w:right w:val="single" w:sz="5" w:space="0" w:color="000000"/>
            </w:tcBorders>
            <w:vAlign w:val="center"/>
          </w:tcPr>
          <w:p w:rsidR="003B0F2C" w:rsidRPr="00BA5049" w:rsidRDefault="003B0F2C" w:rsidP="009E3A43">
            <w:pPr>
              <w:spacing w:line="182" w:lineRule="exact"/>
              <w:ind w:right="160"/>
              <w:jc w:val="right"/>
              <w:textAlignment w:val="baseline"/>
              <w:rPr>
                <w:rFonts w:eastAsia="Arial"/>
                <w:b/>
                <w:color w:val="000000"/>
                <w:sz w:val="20"/>
              </w:rPr>
            </w:pPr>
            <w:r w:rsidRPr="00D935B9">
              <w:rPr>
                <w:rFonts w:eastAsia="Arial"/>
                <w:b/>
                <w:color w:val="000000"/>
                <w:sz w:val="20"/>
              </w:rPr>
              <w:t>88,030</w:t>
            </w:r>
          </w:p>
        </w:tc>
      </w:tr>
      <w:tr w:rsidR="003B0F2C" w:rsidRPr="00ED37CA" w:rsidTr="009E3A43">
        <w:trPr>
          <w:trHeight w:hRule="exact" w:val="706"/>
        </w:trPr>
        <w:tc>
          <w:tcPr>
            <w:tcW w:w="6329" w:type="dxa"/>
            <w:gridSpan w:val="5"/>
            <w:tcBorders>
              <w:top w:val="single" w:sz="6" w:space="0" w:color="000000"/>
            </w:tcBorders>
            <w:vAlign w:val="center"/>
          </w:tcPr>
          <w:p w:rsidR="003B0F2C" w:rsidRPr="000C69A6" w:rsidRDefault="003B0F2C" w:rsidP="009E3A43">
            <w:pPr>
              <w:rPr>
                <w:sz w:val="18"/>
                <w:szCs w:val="18"/>
              </w:rPr>
            </w:pPr>
            <w:r>
              <w:rPr>
                <w:sz w:val="18"/>
                <w:szCs w:val="18"/>
              </w:rPr>
              <w:t xml:space="preserve">Source: Louisiana Department of Health and Hospitals, Office of Behavioral Health, </w:t>
            </w:r>
            <w:r>
              <w:rPr>
                <w:i/>
                <w:sz w:val="18"/>
                <w:szCs w:val="18"/>
              </w:rPr>
              <w:t>Prevention Services SFY 20</w:t>
            </w:r>
            <w:r w:rsidRPr="00D87698">
              <w:rPr>
                <w:i/>
                <w:sz w:val="18"/>
                <w:szCs w:val="18"/>
              </w:rPr>
              <w:t>1</w:t>
            </w:r>
            <w:r>
              <w:rPr>
                <w:i/>
                <w:sz w:val="18"/>
                <w:szCs w:val="18"/>
              </w:rPr>
              <w:t>3 Process Outcome</w:t>
            </w:r>
            <w:r w:rsidRPr="00D87698">
              <w:rPr>
                <w:i/>
                <w:sz w:val="18"/>
                <w:szCs w:val="18"/>
              </w:rPr>
              <w:t xml:space="preserve"> Report</w:t>
            </w:r>
            <w:r>
              <w:rPr>
                <w:sz w:val="18"/>
                <w:szCs w:val="18"/>
              </w:rPr>
              <w:t xml:space="preserve">, p. </w:t>
            </w:r>
            <w:r w:rsidRPr="006534BD">
              <w:rPr>
                <w:sz w:val="18"/>
                <w:szCs w:val="18"/>
              </w:rPr>
              <w:t>12</w:t>
            </w:r>
            <w:r w:rsidRPr="006534BD">
              <w:rPr>
                <w:rFonts w:eastAsia="Arial"/>
                <w:color w:val="000000"/>
                <w:sz w:val="20"/>
              </w:rPr>
              <w:t xml:space="preserve"> (</w:t>
            </w:r>
            <w:r w:rsidRPr="006534BD">
              <w:rPr>
                <w:sz w:val="18"/>
                <w:szCs w:val="18"/>
              </w:rPr>
              <w:t>Prevention Manage</w:t>
            </w:r>
            <w:r>
              <w:rPr>
                <w:sz w:val="18"/>
                <w:szCs w:val="18"/>
              </w:rPr>
              <w:t>ment Information Systems (PMIS)</w:t>
            </w:r>
            <w:r w:rsidRPr="006534BD">
              <w:rPr>
                <w:sz w:val="18"/>
                <w:szCs w:val="18"/>
              </w:rPr>
              <w:t>.</w:t>
            </w:r>
          </w:p>
        </w:tc>
      </w:tr>
    </w:tbl>
    <w:p w:rsidR="003B0F2C" w:rsidRDefault="003B0F2C" w:rsidP="003B0F2C">
      <w:r>
        <w:t>There are 10 contract agencies that provide substance abuse prevention education services in Greater New Orleans funded by Metropolitan and or Jefferson Parish HSA. As shown in Table 3, only Universal program models are employed. Only four program models are used, in order of prevalence: Life Skills Training, Too Good for Drugs, Protecting You Protecting Me, and Kids Don’t Gamble…</w:t>
      </w:r>
      <w:proofErr w:type="spellStart"/>
      <w:r>
        <w:t>Wanna</w:t>
      </w:r>
      <w:proofErr w:type="spellEnd"/>
      <w:r>
        <w:t xml:space="preserve"> Bet? (Gambling prevention services fall under the aegis of SAMHSA’s Center for Substance Abuse Prevention.)</w:t>
      </w:r>
    </w:p>
    <w:p w:rsidR="003B0F2C" w:rsidRPr="0041698C" w:rsidRDefault="003B0F2C" w:rsidP="003B0F2C"/>
    <w:p w:rsidR="003B0F2C" w:rsidRPr="0041698C" w:rsidRDefault="003B0F2C" w:rsidP="003B0F2C"/>
    <w:tbl>
      <w:tblPr>
        <w:tblStyle w:val="TableGrid"/>
        <w:tblW w:w="9463" w:type="dxa"/>
        <w:jc w:val="center"/>
        <w:tblLayout w:type="fixed"/>
        <w:tblCellMar>
          <w:left w:w="58" w:type="dxa"/>
          <w:right w:w="58" w:type="dxa"/>
        </w:tblCellMar>
        <w:tblLook w:val="04A0" w:firstRow="1" w:lastRow="0" w:firstColumn="1" w:lastColumn="0" w:noHBand="0" w:noVBand="1"/>
      </w:tblPr>
      <w:tblGrid>
        <w:gridCol w:w="3919"/>
        <w:gridCol w:w="809"/>
        <w:gridCol w:w="946"/>
        <w:gridCol w:w="946"/>
        <w:gridCol w:w="946"/>
        <w:gridCol w:w="946"/>
        <w:gridCol w:w="951"/>
      </w:tblGrid>
      <w:tr w:rsidR="003B0F2C" w:rsidRPr="00FD1683" w:rsidTr="009E3A43">
        <w:trPr>
          <w:trHeight w:val="611"/>
          <w:jc w:val="center"/>
        </w:trPr>
        <w:tc>
          <w:tcPr>
            <w:tcW w:w="9463" w:type="dxa"/>
            <w:gridSpan w:val="7"/>
            <w:tcBorders>
              <w:top w:val="nil"/>
              <w:left w:val="nil"/>
              <w:right w:val="nil"/>
            </w:tcBorders>
            <w:vAlign w:val="center"/>
          </w:tcPr>
          <w:p w:rsidR="003B0F2C" w:rsidRDefault="003B0F2C" w:rsidP="009E3A43">
            <w:pPr>
              <w:jc w:val="center"/>
              <w:rPr>
                <w:b/>
                <w:sz w:val="20"/>
              </w:rPr>
            </w:pPr>
            <w:r>
              <w:rPr>
                <w:b/>
                <w:sz w:val="20"/>
              </w:rPr>
              <w:t xml:space="preserve">Table 3: </w:t>
            </w:r>
            <w:r w:rsidRPr="00FD5746">
              <w:rPr>
                <w:b/>
                <w:sz w:val="20"/>
              </w:rPr>
              <w:t xml:space="preserve">Enrollment in Prevention Programs Funded By Metropolitan Human Services District (MHSD) </w:t>
            </w:r>
          </w:p>
          <w:p w:rsidR="003B0F2C" w:rsidRPr="00FD5746" w:rsidRDefault="003B0F2C" w:rsidP="009E3A43">
            <w:pPr>
              <w:jc w:val="center"/>
              <w:rPr>
                <w:b/>
                <w:sz w:val="20"/>
              </w:rPr>
            </w:pPr>
            <w:r w:rsidRPr="00FD5746">
              <w:rPr>
                <w:b/>
                <w:sz w:val="20"/>
              </w:rPr>
              <w:t xml:space="preserve">and Jefferson Parish Human Services </w:t>
            </w:r>
            <w:r>
              <w:rPr>
                <w:b/>
                <w:sz w:val="20"/>
              </w:rPr>
              <w:t>Authority</w:t>
            </w:r>
            <w:r w:rsidRPr="00FD5746">
              <w:rPr>
                <w:b/>
                <w:sz w:val="20"/>
              </w:rPr>
              <w:t xml:space="preserve"> (JPHSA), State FY 2013</w:t>
            </w:r>
          </w:p>
        </w:tc>
      </w:tr>
      <w:tr w:rsidR="003B0F2C" w:rsidRPr="00FD1683" w:rsidTr="009E3A43">
        <w:trPr>
          <w:trHeight w:val="269"/>
          <w:jc w:val="center"/>
        </w:trPr>
        <w:tc>
          <w:tcPr>
            <w:tcW w:w="3919" w:type="dxa"/>
            <w:vMerge w:val="restart"/>
            <w:vAlign w:val="center"/>
          </w:tcPr>
          <w:p w:rsidR="003B0F2C" w:rsidRPr="00FD1683" w:rsidRDefault="003B0F2C" w:rsidP="009E3A43">
            <w:pPr>
              <w:jc w:val="center"/>
              <w:rPr>
                <w:sz w:val="20"/>
              </w:rPr>
            </w:pPr>
            <w:r w:rsidRPr="00520E29">
              <w:rPr>
                <w:b/>
                <w:sz w:val="20"/>
              </w:rPr>
              <w:t>Provider</w:t>
            </w:r>
          </w:p>
        </w:tc>
        <w:tc>
          <w:tcPr>
            <w:tcW w:w="809" w:type="dxa"/>
            <w:vMerge w:val="restart"/>
            <w:textDirection w:val="btLr"/>
            <w:vAlign w:val="center"/>
          </w:tcPr>
          <w:p w:rsidR="003B0F2C" w:rsidRPr="000C69A6" w:rsidRDefault="003B0F2C" w:rsidP="009E3A43">
            <w:pPr>
              <w:ind w:left="113" w:right="113"/>
              <w:rPr>
                <w:b/>
                <w:sz w:val="20"/>
              </w:rPr>
            </w:pPr>
            <w:r w:rsidRPr="000C69A6">
              <w:rPr>
                <w:b/>
                <w:sz w:val="20"/>
              </w:rPr>
              <w:t>Total Enrollment</w:t>
            </w:r>
          </w:p>
        </w:tc>
        <w:tc>
          <w:tcPr>
            <w:tcW w:w="3784" w:type="dxa"/>
            <w:gridSpan w:val="4"/>
            <w:vAlign w:val="center"/>
          </w:tcPr>
          <w:p w:rsidR="003B0F2C" w:rsidRPr="00FD5746" w:rsidRDefault="003B0F2C" w:rsidP="009E3A43">
            <w:pPr>
              <w:jc w:val="center"/>
              <w:rPr>
                <w:b/>
                <w:sz w:val="20"/>
              </w:rPr>
            </w:pPr>
            <w:r w:rsidRPr="00FD5746">
              <w:rPr>
                <w:b/>
                <w:sz w:val="20"/>
              </w:rPr>
              <w:t>Universal Strategies</w:t>
            </w:r>
          </w:p>
        </w:tc>
        <w:tc>
          <w:tcPr>
            <w:tcW w:w="951" w:type="dxa"/>
            <w:vAlign w:val="center"/>
          </w:tcPr>
          <w:p w:rsidR="003B0F2C" w:rsidRPr="00FD5746" w:rsidRDefault="003B0F2C" w:rsidP="009E3A43">
            <w:pPr>
              <w:jc w:val="center"/>
              <w:rPr>
                <w:b/>
                <w:sz w:val="20"/>
              </w:rPr>
            </w:pPr>
            <w:r w:rsidRPr="00FD5746">
              <w:rPr>
                <w:b/>
                <w:sz w:val="20"/>
              </w:rPr>
              <w:t>Selective</w:t>
            </w:r>
          </w:p>
        </w:tc>
      </w:tr>
      <w:tr w:rsidR="003B0F2C" w:rsidRPr="00FD1683" w:rsidTr="009E3A43">
        <w:trPr>
          <w:cantSplit/>
          <w:trHeight w:val="1250"/>
          <w:jc w:val="center"/>
        </w:trPr>
        <w:tc>
          <w:tcPr>
            <w:tcW w:w="3919" w:type="dxa"/>
            <w:vMerge/>
            <w:vAlign w:val="center"/>
          </w:tcPr>
          <w:p w:rsidR="003B0F2C" w:rsidRPr="00520E29" w:rsidRDefault="003B0F2C" w:rsidP="009E3A43">
            <w:pPr>
              <w:jc w:val="center"/>
              <w:rPr>
                <w:b/>
                <w:sz w:val="20"/>
              </w:rPr>
            </w:pPr>
          </w:p>
        </w:tc>
        <w:tc>
          <w:tcPr>
            <w:tcW w:w="809" w:type="dxa"/>
            <w:vMerge/>
            <w:tcMar>
              <w:left w:w="14" w:type="dxa"/>
              <w:right w:w="0" w:type="dxa"/>
            </w:tcMar>
            <w:textDirection w:val="btLr"/>
            <w:vAlign w:val="center"/>
          </w:tcPr>
          <w:p w:rsidR="003B0F2C" w:rsidRPr="00FD1683" w:rsidRDefault="003B0F2C" w:rsidP="009E3A43">
            <w:pPr>
              <w:ind w:left="113" w:right="113"/>
              <w:rPr>
                <w:sz w:val="20"/>
              </w:rPr>
            </w:pPr>
          </w:p>
        </w:tc>
        <w:tc>
          <w:tcPr>
            <w:tcW w:w="946" w:type="dxa"/>
            <w:tcMar>
              <w:left w:w="14" w:type="dxa"/>
              <w:right w:w="0" w:type="dxa"/>
            </w:tcMar>
            <w:textDirection w:val="btLr"/>
            <w:vAlign w:val="center"/>
          </w:tcPr>
          <w:p w:rsidR="003B0F2C" w:rsidRPr="00FD5746" w:rsidRDefault="003B0F2C" w:rsidP="009E3A43">
            <w:pPr>
              <w:ind w:left="113" w:right="113"/>
              <w:rPr>
                <w:b/>
                <w:sz w:val="20"/>
              </w:rPr>
            </w:pPr>
            <w:r w:rsidRPr="00FD5746">
              <w:rPr>
                <w:b/>
                <w:sz w:val="20"/>
              </w:rPr>
              <w:t>Too Good for Drugs</w:t>
            </w:r>
          </w:p>
        </w:tc>
        <w:tc>
          <w:tcPr>
            <w:tcW w:w="946" w:type="dxa"/>
            <w:tcMar>
              <w:left w:w="14" w:type="dxa"/>
              <w:right w:w="0" w:type="dxa"/>
            </w:tcMar>
            <w:textDirection w:val="btLr"/>
            <w:vAlign w:val="center"/>
          </w:tcPr>
          <w:p w:rsidR="003B0F2C" w:rsidRPr="00FD5746" w:rsidRDefault="003B0F2C" w:rsidP="009E3A43">
            <w:pPr>
              <w:ind w:left="113" w:right="113"/>
              <w:rPr>
                <w:b/>
                <w:sz w:val="20"/>
              </w:rPr>
            </w:pPr>
            <w:r w:rsidRPr="00FD5746">
              <w:rPr>
                <w:b/>
                <w:sz w:val="20"/>
              </w:rPr>
              <w:t>Life Skills Training</w:t>
            </w:r>
          </w:p>
        </w:tc>
        <w:tc>
          <w:tcPr>
            <w:tcW w:w="946" w:type="dxa"/>
            <w:tcMar>
              <w:left w:w="14" w:type="dxa"/>
              <w:right w:w="0" w:type="dxa"/>
            </w:tcMar>
            <w:textDirection w:val="btLr"/>
            <w:vAlign w:val="center"/>
          </w:tcPr>
          <w:p w:rsidR="003B0F2C" w:rsidRPr="00FD5746" w:rsidRDefault="003B0F2C" w:rsidP="009E3A43">
            <w:pPr>
              <w:ind w:left="113" w:right="113"/>
              <w:rPr>
                <w:b/>
                <w:sz w:val="20"/>
              </w:rPr>
            </w:pPr>
            <w:r w:rsidRPr="00FD5746">
              <w:rPr>
                <w:b/>
                <w:sz w:val="20"/>
              </w:rPr>
              <w:t>Protecting You Protecting Me</w:t>
            </w:r>
          </w:p>
        </w:tc>
        <w:tc>
          <w:tcPr>
            <w:tcW w:w="946" w:type="dxa"/>
            <w:tcMar>
              <w:left w:w="14" w:type="dxa"/>
              <w:right w:w="0" w:type="dxa"/>
            </w:tcMar>
            <w:textDirection w:val="btLr"/>
            <w:vAlign w:val="center"/>
          </w:tcPr>
          <w:p w:rsidR="003B0F2C" w:rsidRPr="00FD5746" w:rsidRDefault="003B0F2C" w:rsidP="009E3A43">
            <w:pPr>
              <w:ind w:left="113" w:right="113"/>
              <w:rPr>
                <w:b/>
                <w:sz w:val="20"/>
              </w:rPr>
            </w:pPr>
            <w:r w:rsidRPr="00FD5746">
              <w:rPr>
                <w:b/>
                <w:sz w:val="20"/>
              </w:rPr>
              <w:t xml:space="preserve">Kids Don’t Gamble – </w:t>
            </w:r>
            <w:proofErr w:type="spellStart"/>
            <w:r w:rsidRPr="00FD5746">
              <w:rPr>
                <w:b/>
                <w:sz w:val="20"/>
              </w:rPr>
              <w:t>Wanna</w:t>
            </w:r>
            <w:proofErr w:type="spellEnd"/>
            <w:r w:rsidRPr="00FD5746">
              <w:rPr>
                <w:b/>
                <w:sz w:val="20"/>
              </w:rPr>
              <w:t xml:space="preserve"> Bet?</w:t>
            </w:r>
          </w:p>
        </w:tc>
        <w:tc>
          <w:tcPr>
            <w:tcW w:w="951" w:type="dxa"/>
            <w:tcMar>
              <w:left w:w="14" w:type="dxa"/>
              <w:right w:w="0" w:type="dxa"/>
            </w:tcMar>
            <w:textDirection w:val="btLr"/>
            <w:vAlign w:val="center"/>
          </w:tcPr>
          <w:p w:rsidR="003B0F2C" w:rsidRPr="00FD5746" w:rsidRDefault="003B0F2C" w:rsidP="009E3A43">
            <w:pPr>
              <w:ind w:left="113" w:right="113"/>
              <w:rPr>
                <w:b/>
                <w:sz w:val="20"/>
              </w:rPr>
            </w:pPr>
            <w:r w:rsidRPr="00FD5746">
              <w:rPr>
                <w:b/>
                <w:sz w:val="20"/>
              </w:rPr>
              <w:t>Children’s Program Kit</w:t>
            </w:r>
          </w:p>
        </w:tc>
      </w:tr>
      <w:tr w:rsidR="003B0F2C" w:rsidRPr="00FD1683" w:rsidTr="009E3A43">
        <w:trPr>
          <w:jc w:val="center"/>
        </w:trPr>
        <w:tc>
          <w:tcPr>
            <w:tcW w:w="3919" w:type="dxa"/>
          </w:tcPr>
          <w:p w:rsidR="003B0F2C" w:rsidRPr="00FD5746" w:rsidRDefault="003B0F2C" w:rsidP="009E3A43">
            <w:pPr>
              <w:rPr>
                <w:b/>
                <w:sz w:val="20"/>
              </w:rPr>
            </w:pPr>
            <w:r w:rsidRPr="00FD5746">
              <w:rPr>
                <w:b/>
                <w:sz w:val="20"/>
              </w:rPr>
              <w:t>Metropolitan Human Services District</w:t>
            </w:r>
          </w:p>
        </w:tc>
        <w:tc>
          <w:tcPr>
            <w:tcW w:w="809" w:type="dxa"/>
            <w:tcMar>
              <w:right w:w="115" w:type="dxa"/>
            </w:tcMar>
            <w:vAlign w:val="center"/>
          </w:tcPr>
          <w:p w:rsidR="003B0F2C"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jc w:val="center"/>
        </w:trPr>
        <w:tc>
          <w:tcPr>
            <w:tcW w:w="3919" w:type="dxa"/>
          </w:tcPr>
          <w:p w:rsidR="003B0F2C" w:rsidRPr="00FD1683" w:rsidRDefault="003B0F2C" w:rsidP="009E3A43">
            <w:pPr>
              <w:rPr>
                <w:sz w:val="20"/>
              </w:rPr>
            </w:pPr>
            <w:r>
              <w:rPr>
                <w:sz w:val="20"/>
              </w:rPr>
              <w:t>Action Against Addiction</w:t>
            </w:r>
          </w:p>
        </w:tc>
        <w:tc>
          <w:tcPr>
            <w:tcW w:w="809" w:type="dxa"/>
            <w:tcMar>
              <w:right w:w="115" w:type="dxa"/>
            </w:tcMar>
            <w:vAlign w:val="center"/>
          </w:tcPr>
          <w:p w:rsidR="003B0F2C" w:rsidRPr="00FD1683" w:rsidRDefault="003B0F2C" w:rsidP="009E3A43">
            <w:pPr>
              <w:jc w:val="right"/>
              <w:rPr>
                <w:sz w:val="20"/>
              </w:rPr>
            </w:pPr>
            <w:r>
              <w:rPr>
                <w:sz w:val="20"/>
              </w:rPr>
              <w:t>1,137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1,137</w:t>
            </w: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jc w:val="center"/>
        </w:trPr>
        <w:tc>
          <w:tcPr>
            <w:tcW w:w="3919" w:type="dxa"/>
          </w:tcPr>
          <w:p w:rsidR="003B0F2C" w:rsidRPr="00FD1683" w:rsidRDefault="003B0F2C" w:rsidP="009E3A43">
            <w:pPr>
              <w:rPr>
                <w:sz w:val="20"/>
              </w:rPr>
            </w:pPr>
            <w:r w:rsidRPr="00616A3A">
              <w:rPr>
                <w:sz w:val="20"/>
              </w:rPr>
              <w:t>Council on Alcohol and Drug Abuse</w:t>
            </w:r>
          </w:p>
        </w:tc>
        <w:tc>
          <w:tcPr>
            <w:tcW w:w="809" w:type="dxa"/>
            <w:tcMar>
              <w:right w:w="115" w:type="dxa"/>
            </w:tcMar>
            <w:vAlign w:val="center"/>
          </w:tcPr>
          <w:p w:rsidR="003B0F2C" w:rsidRPr="00FD1683" w:rsidRDefault="003B0F2C" w:rsidP="009E3A43">
            <w:pPr>
              <w:jc w:val="right"/>
              <w:rPr>
                <w:sz w:val="20"/>
              </w:rPr>
            </w:pPr>
            <w:r>
              <w:rPr>
                <w:sz w:val="20"/>
              </w:rPr>
              <w:t>2,899</w:t>
            </w:r>
          </w:p>
        </w:tc>
        <w:tc>
          <w:tcPr>
            <w:tcW w:w="946" w:type="dxa"/>
            <w:tcMar>
              <w:right w:w="115" w:type="dxa"/>
            </w:tcMar>
            <w:vAlign w:val="center"/>
          </w:tcPr>
          <w:p w:rsidR="003B0F2C" w:rsidRPr="00FD1683" w:rsidRDefault="003B0F2C" w:rsidP="009E3A43">
            <w:pPr>
              <w:jc w:val="right"/>
              <w:rPr>
                <w:sz w:val="20"/>
              </w:rPr>
            </w:pPr>
            <w:r>
              <w:rPr>
                <w:sz w:val="20"/>
              </w:rPr>
              <w:t>2,899</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jc w:val="center"/>
        </w:trPr>
        <w:tc>
          <w:tcPr>
            <w:tcW w:w="3919" w:type="dxa"/>
          </w:tcPr>
          <w:p w:rsidR="003B0F2C" w:rsidRPr="00FD1683" w:rsidRDefault="003B0F2C" w:rsidP="009E3A43">
            <w:pPr>
              <w:rPr>
                <w:sz w:val="20"/>
              </w:rPr>
            </w:pPr>
            <w:r>
              <w:rPr>
                <w:sz w:val="20"/>
              </w:rPr>
              <w:t>Healing Hearts</w:t>
            </w:r>
          </w:p>
        </w:tc>
        <w:tc>
          <w:tcPr>
            <w:tcW w:w="809" w:type="dxa"/>
            <w:tcMar>
              <w:right w:w="115" w:type="dxa"/>
            </w:tcMar>
            <w:vAlign w:val="center"/>
          </w:tcPr>
          <w:p w:rsidR="003B0F2C" w:rsidRPr="00FD1683" w:rsidRDefault="003B0F2C" w:rsidP="009E3A43">
            <w:pPr>
              <w:jc w:val="right"/>
              <w:rPr>
                <w:sz w:val="20"/>
              </w:rPr>
            </w:pPr>
            <w:r>
              <w:rPr>
                <w:sz w:val="20"/>
              </w:rPr>
              <w:t>597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597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jc w:val="center"/>
        </w:trPr>
        <w:tc>
          <w:tcPr>
            <w:tcW w:w="3919" w:type="dxa"/>
          </w:tcPr>
          <w:p w:rsidR="003B0F2C" w:rsidRPr="00FD1683" w:rsidRDefault="003B0F2C" w:rsidP="009E3A43">
            <w:pPr>
              <w:rPr>
                <w:sz w:val="20"/>
              </w:rPr>
            </w:pPr>
            <w:r>
              <w:rPr>
                <w:sz w:val="20"/>
              </w:rPr>
              <w:t>Plaquemines School Board</w:t>
            </w:r>
          </w:p>
        </w:tc>
        <w:tc>
          <w:tcPr>
            <w:tcW w:w="809" w:type="dxa"/>
            <w:tcMar>
              <w:right w:w="115" w:type="dxa"/>
            </w:tcMar>
            <w:vAlign w:val="center"/>
          </w:tcPr>
          <w:p w:rsidR="003B0F2C" w:rsidRPr="00FD1683" w:rsidRDefault="003B0F2C" w:rsidP="009E3A43">
            <w:pPr>
              <w:jc w:val="right"/>
              <w:rPr>
                <w:sz w:val="20"/>
              </w:rPr>
            </w:pPr>
            <w:r>
              <w:rPr>
                <w:sz w:val="20"/>
              </w:rPr>
              <w:t>1,710</w:t>
            </w:r>
          </w:p>
        </w:tc>
        <w:tc>
          <w:tcPr>
            <w:tcW w:w="946" w:type="dxa"/>
            <w:tcMar>
              <w:right w:w="115" w:type="dxa"/>
            </w:tcMar>
            <w:vAlign w:val="center"/>
          </w:tcPr>
          <w:p w:rsidR="003B0F2C" w:rsidRPr="00FD1683" w:rsidRDefault="003B0F2C" w:rsidP="009E3A43">
            <w:pPr>
              <w:jc w:val="right"/>
              <w:rPr>
                <w:sz w:val="20"/>
              </w:rPr>
            </w:pPr>
            <w:r>
              <w:rPr>
                <w:sz w:val="20"/>
              </w:rPr>
              <w:t>1,428</w:t>
            </w:r>
          </w:p>
        </w:tc>
        <w:tc>
          <w:tcPr>
            <w:tcW w:w="946" w:type="dxa"/>
            <w:tcMar>
              <w:right w:w="115" w:type="dxa"/>
            </w:tcMar>
            <w:vAlign w:val="center"/>
          </w:tcPr>
          <w:p w:rsidR="003B0F2C" w:rsidRPr="00FD1683" w:rsidRDefault="003B0F2C" w:rsidP="009E3A43">
            <w:pPr>
              <w:jc w:val="right"/>
              <w:rPr>
                <w:sz w:val="20"/>
              </w:rPr>
            </w:pPr>
            <w:r>
              <w:rPr>
                <w:sz w:val="20"/>
              </w:rPr>
              <w:t>282</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jc w:val="center"/>
        </w:trPr>
        <w:tc>
          <w:tcPr>
            <w:tcW w:w="3919" w:type="dxa"/>
          </w:tcPr>
          <w:p w:rsidR="003B0F2C" w:rsidRPr="00FD1683" w:rsidRDefault="003B0F2C" w:rsidP="009E3A43">
            <w:pPr>
              <w:rPr>
                <w:sz w:val="20"/>
              </w:rPr>
            </w:pPr>
            <w:r>
              <w:rPr>
                <w:sz w:val="20"/>
              </w:rPr>
              <w:t>School District Alliance</w:t>
            </w:r>
          </w:p>
        </w:tc>
        <w:tc>
          <w:tcPr>
            <w:tcW w:w="809" w:type="dxa"/>
            <w:tcMar>
              <w:right w:w="115" w:type="dxa"/>
            </w:tcMar>
            <w:vAlign w:val="center"/>
          </w:tcPr>
          <w:p w:rsidR="003B0F2C" w:rsidRPr="00FD1683" w:rsidRDefault="003B0F2C" w:rsidP="009E3A43">
            <w:pPr>
              <w:jc w:val="right"/>
              <w:rPr>
                <w:sz w:val="20"/>
              </w:rPr>
            </w:pPr>
            <w:r>
              <w:rPr>
                <w:sz w:val="20"/>
              </w:rPr>
              <w:t>4,447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4,447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trHeight w:val="233"/>
          <w:jc w:val="center"/>
        </w:trPr>
        <w:tc>
          <w:tcPr>
            <w:tcW w:w="3919" w:type="dxa"/>
          </w:tcPr>
          <w:p w:rsidR="003B0F2C" w:rsidRPr="00FD5746" w:rsidRDefault="003B0F2C" w:rsidP="009E3A43">
            <w:pPr>
              <w:jc w:val="right"/>
              <w:rPr>
                <w:sz w:val="20"/>
              </w:rPr>
            </w:pPr>
            <w:r w:rsidRPr="00FD5746">
              <w:rPr>
                <w:sz w:val="20"/>
              </w:rPr>
              <w:t>Region Total</w:t>
            </w:r>
          </w:p>
        </w:tc>
        <w:tc>
          <w:tcPr>
            <w:tcW w:w="809" w:type="dxa"/>
            <w:tcMar>
              <w:right w:w="115" w:type="dxa"/>
            </w:tcMar>
            <w:vAlign w:val="center"/>
          </w:tcPr>
          <w:p w:rsidR="003B0F2C" w:rsidRPr="000C69A6" w:rsidRDefault="003B0F2C" w:rsidP="009E3A43">
            <w:pPr>
              <w:jc w:val="right"/>
              <w:rPr>
                <w:b/>
                <w:sz w:val="20"/>
              </w:rPr>
            </w:pPr>
            <w:r>
              <w:rPr>
                <w:b/>
                <w:sz w:val="20"/>
              </w:rPr>
              <w:fldChar w:fldCharType="begin"/>
            </w:r>
            <w:r>
              <w:rPr>
                <w:b/>
                <w:sz w:val="20"/>
              </w:rPr>
              <w:instrText xml:space="preserve"> =SUM(ABOVE) \# "#,##0" </w:instrText>
            </w:r>
            <w:r>
              <w:rPr>
                <w:b/>
                <w:sz w:val="20"/>
              </w:rPr>
              <w:fldChar w:fldCharType="separate"/>
            </w:r>
            <w:r w:rsidR="003754F1">
              <w:rPr>
                <w:b/>
                <w:noProof/>
                <w:sz w:val="20"/>
              </w:rPr>
              <w:t>10,790</w:t>
            </w:r>
            <w:r>
              <w:rPr>
                <w:b/>
                <w:sz w:val="20"/>
              </w:rPr>
              <w:fldChar w:fldCharType="end"/>
            </w:r>
          </w:p>
        </w:tc>
        <w:tc>
          <w:tcPr>
            <w:tcW w:w="946" w:type="dxa"/>
            <w:tcMar>
              <w:right w:w="115" w:type="dxa"/>
            </w:tcMar>
            <w:vAlign w:val="center"/>
          </w:tcPr>
          <w:p w:rsidR="003B0F2C" w:rsidRPr="000C69A6" w:rsidRDefault="003B0F2C" w:rsidP="009E3A43">
            <w:pPr>
              <w:jc w:val="right"/>
              <w:rPr>
                <w:b/>
                <w:sz w:val="20"/>
              </w:rPr>
            </w:pPr>
            <w:r>
              <w:rPr>
                <w:b/>
                <w:sz w:val="20"/>
              </w:rPr>
              <w:t>4,327</w:t>
            </w:r>
          </w:p>
        </w:tc>
        <w:tc>
          <w:tcPr>
            <w:tcW w:w="946" w:type="dxa"/>
            <w:tcMar>
              <w:right w:w="115" w:type="dxa"/>
            </w:tcMar>
            <w:vAlign w:val="center"/>
          </w:tcPr>
          <w:p w:rsidR="003B0F2C" w:rsidRPr="000C69A6" w:rsidRDefault="003B0F2C" w:rsidP="009E3A43">
            <w:pPr>
              <w:jc w:val="right"/>
              <w:rPr>
                <w:b/>
                <w:sz w:val="20"/>
              </w:rPr>
            </w:pPr>
            <w:r>
              <w:rPr>
                <w:b/>
                <w:sz w:val="20"/>
              </w:rPr>
              <w:fldChar w:fldCharType="begin"/>
            </w:r>
            <w:r>
              <w:rPr>
                <w:b/>
                <w:sz w:val="20"/>
              </w:rPr>
              <w:instrText xml:space="preserve"> =SUM(ABOVE) \# "#,##0" </w:instrText>
            </w:r>
            <w:r>
              <w:rPr>
                <w:b/>
                <w:sz w:val="20"/>
              </w:rPr>
              <w:fldChar w:fldCharType="separate"/>
            </w:r>
            <w:r w:rsidR="003754F1">
              <w:rPr>
                <w:b/>
                <w:noProof/>
                <w:sz w:val="20"/>
              </w:rPr>
              <w:t>5,326</w:t>
            </w:r>
            <w:r>
              <w:rPr>
                <w:b/>
                <w:sz w:val="20"/>
              </w:rPr>
              <w:fldChar w:fldCharType="end"/>
            </w:r>
          </w:p>
        </w:tc>
        <w:tc>
          <w:tcPr>
            <w:tcW w:w="946" w:type="dxa"/>
            <w:tcMar>
              <w:right w:w="115" w:type="dxa"/>
            </w:tcMar>
            <w:vAlign w:val="center"/>
          </w:tcPr>
          <w:p w:rsidR="003B0F2C" w:rsidRPr="000C69A6" w:rsidRDefault="003B0F2C" w:rsidP="009E3A43">
            <w:pPr>
              <w:jc w:val="right"/>
              <w:rPr>
                <w:b/>
                <w:sz w:val="20"/>
              </w:rPr>
            </w:pPr>
            <w:r>
              <w:rPr>
                <w:b/>
                <w:sz w:val="20"/>
              </w:rPr>
              <w:fldChar w:fldCharType="begin"/>
            </w:r>
            <w:r>
              <w:rPr>
                <w:b/>
                <w:sz w:val="20"/>
              </w:rPr>
              <w:instrText xml:space="preserve"> =SUM(ABOVE) \# "#,##0" </w:instrText>
            </w:r>
            <w:r>
              <w:rPr>
                <w:b/>
                <w:sz w:val="20"/>
              </w:rPr>
              <w:fldChar w:fldCharType="separate"/>
            </w:r>
            <w:r w:rsidR="003754F1">
              <w:rPr>
                <w:b/>
                <w:noProof/>
                <w:sz w:val="20"/>
              </w:rPr>
              <w:t>1,137</w:t>
            </w:r>
            <w:r>
              <w:rPr>
                <w:b/>
                <w:sz w:val="20"/>
              </w:rPr>
              <w:fldChar w:fldCharType="end"/>
            </w:r>
          </w:p>
        </w:tc>
        <w:tc>
          <w:tcPr>
            <w:tcW w:w="946" w:type="dxa"/>
            <w:tcMar>
              <w:right w:w="115" w:type="dxa"/>
            </w:tcMar>
            <w:vAlign w:val="center"/>
          </w:tcPr>
          <w:p w:rsidR="003B0F2C" w:rsidRPr="000C69A6" w:rsidRDefault="003B0F2C" w:rsidP="009E3A43">
            <w:pPr>
              <w:jc w:val="right"/>
              <w:rPr>
                <w:b/>
                <w:sz w:val="20"/>
              </w:rPr>
            </w:pPr>
            <w:r>
              <w:rPr>
                <w:b/>
                <w:sz w:val="20"/>
              </w:rPr>
              <w:t>0</w:t>
            </w:r>
          </w:p>
        </w:tc>
        <w:tc>
          <w:tcPr>
            <w:tcW w:w="951" w:type="dxa"/>
            <w:tcMar>
              <w:right w:w="115" w:type="dxa"/>
            </w:tcMar>
            <w:vAlign w:val="center"/>
          </w:tcPr>
          <w:p w:rsidR="003B0F2C" w:rsidRPr="000C69A6" w:rsidRDefault="003B0F2C" w:rsidP="009E3A43">
            <w:pPr>
              <w:jc w:val="right"/>
              <w:rPr>
                <w:b/>
                <w:sz w:val="20"/>
              </w:rPr>
            </w:pPr>
            <w:r>
              <w:rPr>
                <w:b/>
                <w:sz w:val="20"/>
              </w:rPr>
              <w:t>0</w:t>
            </w:r>
          </w:p>
        </w:tc>
      </w:tr>
      <w:tr w:rsidR="003B0F2C" w:rsidRPr="00FD1683" w:rsidTr="009E3A43">
        <w:trPr>
          <w:trHeight w:val="233"/>
          <w:jc w:val="center"/>
        </w:trPr>
        <w:tc>
          <w:tcPr>
            <w:tcW w:w="3919" w:type="dxa"/>
          </w:tcPr>
          <w:p w:rsidR="003B0F2C" w:rsidRPr="00FD5746" w:rsidRDefault="003B0F2C" w:rsidP="009E3A43">
            <w:pPr>
              <w:rPr>
                <w:b/>
                <w:sz w:val="20"/>
              </w:rPr>
            </w:pPr>
            <w:r w:rsidRPr="00FD5746">
              <w:rPr>
                <w:b/>
                <w:sz w:val="20"/>
              </w:rPr>
              <w:t>Jefferson Parish Human Services Authority</w:t>
            </w:r>
          </w:p>
        </w:tc>
        <w:tc>
          <w:tcPr>
            <w:tcW w:w="809"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trHeight w:val="233"/>
          <w:jc w:val="center"/>
        </w:trPr>
        <w:tc>
          <w:tcPr>
            <w:tcW w:w="3919" w:type="dxa"/>
          </w:tcPr>
          <w:p w:rsidR="003B0F2C" w:rsidRPr="00FD1683" w:rsidRDefault="003B0F2C" w:rsidP="009E3A43">
            <w:pPr>
              <w:rPr>
                <w:sz w:val="20"/>
              </w:rPr>
            </w:pPr>
            <w:r>
              <w:rPr>
                <w:sz w:val="20"/>
              </w:rPr>
              <w:t>All That For Kids—Youth Consortium</w:t>
            </w:r>
          </w:p>
        </w:tc>
        <w:tc>
          <w:tcPr>
            <w:tcW w:w="809" w:type="dxa"/>
            <w:tcMar>
              <w:right w:w="115" w:type="dxa"/>
            </w:tcMar>
            <w:vAlign w:val="center"/>
          </w:tcPr>
          <w:p w:rsidR="003B0F2C" w:rsidRPr="00FD1683" w:rsidRDefault="003B0F2C" w:rsidP="009E3A43">
            <w:pPr>
              <w:jc w:val="right"/>
              <w:rPr>
                <w:sz w:val="20"/>
              </w:rPr>
            </w:pPr>
            <w:r>
              <w:rPr>
                <w:sz w:val="20"/>
              </w:rPr>
              <w:t>1,344</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838</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506</w:t>
            </w:r>
          </w:p>
        </w:tc>
        <w:tc>
          <w:tcPr>
            <w:tcW w:w="951" w:type="dxa"/>
            <w:tcMar>
              <w:right w:w="115" w:type="dxa"/>
            </w:tcMar>
            <w:vAlign w:val="center"/>
          </w:tcPr>
          <w:p w:rsidR="003B0F2C" w:rsidRPr="00FD1683" w:rsidRDefault="003B0F2C" w:rsidP="009E3A43">
            <w:pPr>
              <w:jc w:val="right"/>
              <w:rPr>
                <w:sz w:val="20"/>
              </w:rPr>
            </w:pPr>
          </w:p>
        </w:tc>
      </w:tr>
      <w:tr w:rsidR="003B0F2C" w:rsidRPr="00FD1683" w:rsidTr="009E3A43">
        <w:trPr>
          <w:trHeight w:val="233"/>
          <w:jc w:val="center"/>
        </w:trPr>
        <w:tc>
          <w:tcPr>
            <w:tcW w:w="3919" w:type="dxa"/>
          </w:tcPr>
          <w:p w:rsidR="003B0F2C" w:rsidRDefault="003B0F2C" w:rsidP="009E3A43">
            <w:pPr>
              <w:rPr>
                <w:sz w:val="20"/>
              </w:rPr>
            </w:pPr>
            <w:r>
              <w:rPr>
                <w:sz w:val="20"/>
              </w:rPr>
              <w:t>Healing Hearts</w:t>
            </w:r>
          </w:p>
        </w:tc>
        <w:tc>
          <w:tcPr>
            <w:tcW w:w="809" w:type="dxa"/>
            <w:tcMar>
              <w:right w:w="115" w:type="dxa"/>
            </w:tcMar>
            <w:vAlign w:val="center"/>
          </w:tcPr>
          <w:p w:rsidR="003B0F2C" w:rsidRPr="00FD1683" w:rsidRDefault="003B0F2C" w:rsidP="009E3A43">
            <w:pPr>
              <w:jc w:val="right"/>
              <w:rPr>
                <w:sz w:val="20"/>
              </w:rPr>
            </w:pPr>
            <w:r>
              <w:rPr>
                <w:sz w:val="20"/>
              </w:rPr>
              <w:t>630</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r>
              <w:rPr>
                <w:sz w:val="20"/>
              </w:rPr>
              <w:t>630</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Pr="00FD1683" w:rsidRDefault="003B0F2C" w:rsidP="009E3A43">
            <w:pPr>
              <w:jc w:val="right"/>
              <w:rPr>
                <w:sz w:val="20"/>
              </w:rPr>
            </w:pPr>
          </w:p>
        </w:tc>
        <w:tc>
          <w:tcPr>
            <w:tcW w:w="951" w:type="dxa"/>
            <w:tcMar>
              <w:right w:w="115" w:type="dxa"/>
            </w:tcMar>
            <w:vAlign w:val="center"/>
          </w:tcPr>
          <w:p w:rsidR="003B0F2C" w:rsidRDefault="003B0F2C" w:rsidP="009E3A43">
            <w:pPr>
              <w:jc w:val="right"/>
              <w:rPr>
                <w:sz w:val="20"/>
              </w:rPr>
            </w:pPr>
          </w:p>
        </w:tc>
      </w:tr>
      <w:tr w:rsidR="003B0F2C" w:rsidRPr="00FD1683" w:rsidTr="009E3A43">
        <w:trPr>
          <w:trHeight w:val="233"/>
          <w:jc w:val="center"/>
        </w:trPr>
        <w:tc>
          <w:tcPr>
            <w:tcW w:w="3919" w:type="dxa"/>
          </w:tcPr>
          <w:p w:rsidR="003B0F2C" w:rsidRDefault="003B0F2C" w:rsidP="009E3A43">
            <w:pPr>
              <w:rPr>
                <w:sz w:val="20"/>
              </w:rPr>
            </w:pPr>
            <w:r>
              <w:rPr>
                <w:sz w:val="20"/>
              </w:rPr>
              <w:t>Golden Change Inc.</w:t>
            </w:r>
          </w:p>
        </w:tc>
        <w:tc>
          <w:tcPr>
            <w:tcW w:w="809" w:type="dxa"/>
            <w:tcMar>
              <w:right w:w="115" w:type="dxa"/>
            </w:tcMar>
            <w:vAlign w:val="center"/>
          </w:tcPr>
          <w:p w:rsidR="003B0F2C" w:rsidRDefault="003B0F2C" w:rsidP="009E3A43">
            <w:pPr>
              <w:jc w:val="right"/>
              <w:rPr>
                <w:sz w:val="20"/>
              </w:rPr>
            </w:pPr>
            <w:r>
              <w:rPr>
                <w:sz w:val="20"/>
              </w:rPr>
              <w:t>238</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r>
              <w:rPr>
                <w:sz w:val="20"/>
              </w:rPr>
              <w:t>119</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r>
              <w:rPr>
                <w:sz w:val="20"/>
              </w:rPr>
              <w:t>119</w:t>
            </w:r>
          </w:p>
        </w:tc>
        <w:tc>
          <w:tcPr>
            <w:tcW w:w="951" w:type="dxa"/>
            <w:tcMar>
              <w:right w:w="115" w:type="dxa"/>
            </w:tcMar>
            <w:vAlign w:val="center"/>
          </w:tcPr>
          <w:p w:rsidR="003B0F2C" w:rsidRDefault="003B0F2C" w:rsidP="009E3A43">
            <w:pPr>
              <w:jc w:val="right"/>
              <w:rPr>
                <w:sz w:val="20"/>
              </w:rPr>
            </w:pPr>
          </w:p>
        </w:tc>
      </w:tr>
      <w:tr w:rsidR="003B0F2C" w:rsidRPr="00FD1683" w:rsidTr="009E3A43">
        <w:trPr>
          <w:trHeight w:val="233"/>
          <w:jc w:val="center"/>
        </w:trPr>
        <w:tc>
          <w:tcPr>
            <w:tcW w:w="3919" w:type="dxa"/>
          </w:tcPr>
          <w:p w:rsidR="003B0F2C" w:rsidRDefault="003B0F2C" w:rsidP="009E3A43">
            <w:pPr>
              <w:rPr>
                <w:sz w:val="20"/>
              </w:rPr>
            </w:pPr>
            <w:r>
              <w:rPr>
                <w:sz w:val="20"/>
              </w:rPr>
              <w:t>Jefferson Parish School Board</w:t>
            </w:r>
          </w:p>
        </w:tc>
        <w:tc>
          <w:tcPr>
            <w:tcW w:w="809" w:type="dxa"/>
            <w:tcMar>
              <w:right w:w="115" w:type="dxa"/>
            </w:tcMar>
            <w:vAlign w:val="center"/>
          </w:tcPr>
          <w:p w:rsidR="003B0F2C" w:rsidRPr="00FD1683" w:rsidRDefault="003B0F2C" w:rsidP="009E3A43">
            <w:pPr>
              <w:jc w:val="right"/>
              <w:rPr>
                <w:sz w:val="20"/>
              </w:rPr>
            </w:pPr>
            <w:r>
              <w:rPr>
                <w:sz w:val="20"/>
              </w:rPr>
              <w:t>189</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r>
              <w:rPr>
                <w:sz w:val="20"/>
              </w:rPr>
              <w:t>189</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p>
        </w:tc>
        <w:tc>
          <w:tcPr>
            <w:tcW w:w="951" w:type="dxa"/>
            <w:tcMar>
              <w:right w:w="115" w:type="dxa"/>
            </w:tcMar>
            <w:vAlign w:val="center"/>
          </w:tcPr>
          <w:p w:rsidR="003B0F2C" w:rsidRDefault="003B0F2C" w:rsidP="009E3A43">
            <w:pPr>
              <w:jc w:val="right"/>
              <w:rPr>
                <w:sz w:val="20"/>
              </w:rPr>
            </w:pPr>
          </w:p>
        </w:tc>
      </w:tr>
      <w:tr w:rsidR="003B0F2C" w:rsidRPr="00FD1683" w:rsidTr="009E3A43">
        <w:trPr>
          <w:trHeight w:val="233"/>
          <w:jc w:val="center"/>
        </w:trPr>
        <w:tc>
          <w:tcPr>
            <w:tcW w:w="3919" w:type="dxa"/>
          </w:tcPr>
          <w:p w:rsidR="003B0F2C" w:rsidRDefault="003B0F2C" w:rsidP="009E3A43">
            <w:pPr>
              <w:rPr>
                <w:sz w:val="20"/>
              </w:rPr>
            </w:pPr>
            <w:r>
              <w:rPr>
                <w:sz w:val="20"/>
              </w:rPr>
              <w:t>Jefferson Parish Prevention (JPHSA)</w:t>
            </w:r>
          </w:p>
        </w:tc>
        <w:tc>
          <w:tcPr>
            <w:tcW w:w="809" w:type="dxa"/>
            <w:tcMar>
              <w:right w:w="115" w:type="dxa"/>
            </w:tcMar>
            <w:vAlign w:val="center"/>
          </w:tcPr>
          <w:p w:rsidR="003B0F2C" w:rsidRPr="00FD1683" w:rsidRDefault="003B0F2C" w:rsidP="009E3A43">
            <w:pPr>
              <w:jc w:val="right"/>
              <w:rPr>
                <w:sz w:val="20"/>
              </w:rPr>
            </w:pPr>
            <w:r>
              <w:rPr>
                <w:sz w:val="20"/>
              </w:rPr>
              <w:t>278</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r>
              <w:rPr>
                <w:sz w:val="20"/>
              </w:rPr>
              <w:t>278</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p>
        </w:tc>
        <w:tc>
          <w:tcPr>
            <w:tcW w:w="951" w:type="dxa"/>
            <w:tcMar>
              <w:right w:w="115" w:type="dxa"/>
            </w:tcMar>
            <w:vAlign w:val="center"/>
          </w:tcPr>
          <w:p w:rsidR="003B0F2C" w:rsidRDefault="003B0F2C" w:rsidP="009E3A43">
            <w:pPr>
              <w:jc w:val="right"/>
              <w:rPr>
                <w:sz w:val="20"/>
              </w:rPr>
            </w:pPr>
          </w:p>
        </w:tc>
      </w:tr>
      <w:tr w:rsidR="003B0F2C" w:rsidRPr="00FD1683" w:rsidTr="009E3A43">
        <w:trPr>
          <w:trHeight w:val="233"/>
          <w:jc w:val="center"/>
        </w:trPr>
        <w:tc>
          <w:tcPr>
            <w:tcW w:w="3919" w:type="dxa"/>
          </w:tcPr>
          <w:p w:rsidR="003B0F2C" w:rsidRDefault="003B0F2C" w:rsidP="009E3A43">
            <w:pPr>
              <w:rPr>
                <w:sz w:val="20"/>
              </w:rPr>
            </w:pPr>
            <w:proofErr w:type="spellStart"/>
            <w:r>
              <w:rPr>
                <w:sz w:val="20"/>
              </w:rPr>
              <w:t>NuVision</w:t>
            </w:r>
            <w:proofErr w:type="spellEnd"/>
          </w:p>
        </w:tc>
        <w:tc>
          <w:tcPr>
            <w:tcW w:w="809" w:type="dxa"/>
            <w:tcMar>
              <w:right w:w="115" w:type="dxa"/>
            </w:tcMar>
            <w:vAlign w:val="center"/>
          </w:tcPr>
          <w:p w:rsidR="003B0F2C" w:rsidRDefault="003B0F2C" w:rsidP="009E3A43">
            <w:pPr>
              <w:jc w:val="right"/>
              <w:rPr>
                <w:sz w:val="20"/>
              </w:rPr>
            </w:pPr>
            <w:r>
              <w:rPr>
                <w:sz w:val="20"/>
              </w:rPr>
              <w:t>977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r>
              <w:rPr>
                <w:sz w:val="20"/>
              </w:rPr>
              <w:t>977</w:t>
            </w:r>
          </w:p>
        </w:tc>
        <w:tc>
          <w:tcPr>
            <w:tcW w:w="946" w:type="dxa"/>
            <w:tcMar>
              <w:right w:w="115" w:type="dxa"/>
            </w:tcMar>
            <w:vAlign w:val="center"/>
          </w:tcPr>
          <w:p w:rsidR="003B0F2C" w:rsidRPr="00FD1683" w:rsidRDefault="003B0F2C" w:rsidP="009E3A43">
            <w:pPr>
              <w:jc w:val="right"/>
              <w:rPr>
                <w:sz w:val="20"/>
              </w:rPr>
            </w:pPr>
          </w:p>
        </w:tc>
        <w:tc>
          <w:tcPr>
            <w:tcW w:w="946" w:type="dxa"/>
            <w:tcMar>
              <w:right w:w="115" w:type="dxa"/>
            </w:tcMar>
            <w:vAlign w:val="center"/>
          </w:tcPr>
          <w:p w:rsidR="003B0F2C" w:rsidRDefault="003B0F2C" w:rsidP="009E3A43">
            <w:pPr>
              <w:jc w:val="right"/>
              <w:rPr>
                <w:sz w:val="20"/>
              </w:rPr>
            </w:pPr>
          </w:p>
        </w:tc>
        <w:tc>
          <w:tcPr>
            <w:tcW w:w="951" w:type="dxa"/>
            <w:tcMar>
              <w:right w:w="115" w:type="dxa"/>
            </w:tcMar>
            <w:vAlign w:val="center"/>
          </w:tcPr>
          <w:p w:rsidR="003B0F2C" w:rsidRDefault="003B0F2C" w:rsidP="009E3A43">
            <w:pPr>
              <w:jc w:val="right"/>
              <w:rPr>
                <w:sz w:val="20"/>
              </w:rPr>
            </w:pPr>
          </w:p>
        </w:tc>
      </w:tr>
      <w:tr w:rsidR="003B0F2C" w:rsidRPr="00FD1683" w:rsidTr="009E3A43">
        <w:trPr>
          <w:trHeight w:val="233"/>
          <w:jc w:val="center"/>
        </w:trPr>
        <w:tc>
          <w:tcPr>
            <w:tcW w:w="3919" w:type="dxa"/>
            <w:tcBorders>
              <w:bottom w:val="single" w:sz="4" w:space="0" w:color="auto"/>
            </w:tcBorders>
          </w:tcPr>
          <w:p w:rsidR="003B0F2C" w:rsidRPr="00FD5746" w:rsidRDefault="003B0F2C" w:rsidP="009E3A43">
            <w:pPr>
              <w:jc w:val="right"/>
              <w:rPr>
                <w:sz w:val="20"/>
              </w:rPr>
            </w:pPr>
            <w:r w:rsidRPr="00FD5746">
              <w:rPr>
                <w:sz w:val="20"/>
              </w:rPr>
              <w:t>Region Total</w:t>
            </w:r>
          </w:p>
        </w:tc>
        <w:tc>
          <w:tcPr>
            <w:tcW w:w="809"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t>3,656</w:t>
            </w:r>
          </w:p>
        </w:tc>
        <w:tc>
          <w:tcPr>
            <w:tcW w:w="946"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t>0</w:t>
            </w:r>
          </w:p>
        </w:tc>
        <w:tc>
          <w:tcPr>
            <w:tcW w:w="946"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fldChar w:fldCharType="begin"/>
            </w:r>
            <w:r>
              <w:rPr>
                <w:b/>
                <w:sz w:val="20"/>
              </w:rPr>
              <w:instrText xml:space="preserve"> =SUM(ABOVE) </w:instrText>
            </w:r>
            <w:r>
              <w:rPr>
                <w:b/>
                <w:sz w:val="20"/>
              </w:rPr>
              <w:fldChar w:fldCharType="separate"/>
            </w:r>
            <w:r w:rsidR="003754F1">
              <w:rPr>
                <w:b/>
                <w:noProof/>
                <w:sz w:val="20"/>
              </w:rPr>
              <w:t>3031</w:t>
            </w:r>
            <w:r>
              <w:rPr>
                <w:b/>
                <w:sz w:val="20"/>
              </w:rPr>
              <w:fldChar w:fldCharType="end"/>
            </w:r>
          </w:p>
        </w:tc>
        <w:tc>
          <w:tcPr>
            <w:tcW w:w="946"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t>0</w:t>
            </w:r>
          </w:p>
        </w:tc>
        <w:tc>
          <w:tcPr>
            <w:tcW w:w="946"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t>635</w:t>
            </w:r>
          </w:p>
        </w:tc>
        <w:tc>
          <w:tcPr>
            <w:tcW w:w="951" w:type="dxa"/>
            <w:tcBorders>
              <w:bottom w:val="single" w:sz="4" w:space="0" w:color="auto"/>
            </w:tcBorders>
            <w:tcMar>
              <w:right w:w="115" w:type="dxa"/>
            </w:tcMar>
            <w:vAlign w:val="center"/>
          </w:tcPr>
          <w:p w:rsidR="003B0F2C" w:rsidRPr="000C69A6" w:rsidRDefault="003B0F2C" w:rsidP="009E3A43">
            <w:pPr>
              <w:jc w:val="right"/>
              <w:rPr>
                <w:b/>
                <w:sz w:val="20"/>
              </w:rPr>
            </w:pPr>
            <w:r>
              <w:rPr>
                <w:b/>
                <w:sz w:val="20"/>
              </w:rPr>
              <w:t>0</w:t>
            </w:r>
          </w:p>
        </w:tc>
      </w:tr>
      <w:tr w:rsidR="003B0F2C" w:rsidRPr="00FD1683" w:rsidTr="009E3A43">
        <w:trPr>
          <w:trHeight w:val="503"/>
          <w:jc w:val="center"/>
        </w:trPr>
        <w:tc>
          <w:tcPr>
            <w:tcW w:w="9463" w:type="dxa"/>
            <w:gridSpan w:val="7"/>
            <w:tcBorders>
              <w:left w:val="nil"/>
              <w:bottom w:val="nil"/>
              <w:right w:val="nil"/>
            </w:tcBorders>
            <w:vAlign w:val="center"/>
          </w:tcPr>
          <w:p w:rsidR="003B0F2C" w:rsidRPr="00FD5746" w:rsidRDefault="003B0F2C" w:rsidP="009E3A43">
            <w:r>
              <w:rPr>
                <w:sz w:val="18"/>
                <w:szCs w:val="18"/>
              </w:rPr>
              <w:t xml:space="preserve">Source: Louisiana Department of Health and Hospitals, Office of Behavioral Health, </w:t>
            </w:r>
            <w:r>
              <w:rPr>
                <w:i/>
                <w:sz w:val="18"/>
                <w:szCs w:val="18"/>
              </w:rPr>
              <w:t>Prevention Services SFY 20</w:t>
            </w:r>
            <w:r w:rsidRPr="00D87698">
              <w:rPr>
                <w:i/>
                <w:sz w:val="18"/>
                <w:szCs w:val="18"/>
              </w:rPr>
              <w:t>1</w:t>
            </w:r>
            <w:r>
              <w:rPr>
                <w:i/>
                <w:sz w:val="18"/>
                <w:szCs w:val="18"/>
              </w:rPr>
              <w:t>3 Process Outcome</w:t>
            </w:r>
            <w:r w:rsidRPr="00D87698">
              <w:rPr>
                <w:i/>
                <w:sz w:val="18"/>
                <w:szCs w:val="18"/>
              </w:rPr>
              <w:t xml:space="preserve"> Report</w:t>
            </w:r>
            <w:r>
              <w:rPr>
                <w:sz w:val="18"/>
                <w:szCs w:val="18"/>
              </w:rPr>
              <w:t>, pp. 9-11.</w:t>
            </w:r>
          </w:p>
        </w:tc>
      </w:tr>
    </w:tbl>
    <w:p w:rsidR="003B0F2C" w:rsidRDefault="003B0F2C" w:rsidP="003B0F2C"/>
    <w:tbl>
      <w:tblPr>
        <w:tblpPr w:leftFromText="180" w:rightFromText="180" w:vertAnchor="text" w:tblpXSpec="right" w:tblpY="1"/>
        <w:tblOverlap w:val="never"/>
        <w:tblW w:w="0" w:type="auto"/>
        <w:jc w:val="right"/>
        <w:tblLayout w:type="fixed"/>
        <w:tblCellMar>
          <w:left w:w="29" w:type="dxa"/>
          <w:right w:w="29" w:type="dxa"/>
        </w:tblCellMar>
        <w:tblLook w:val="0000" w:firstRow="0" w:lastRow="0" w:firstColumn="0" w:lastColumn="0" w:noHBand="0" w:noVBand="0"/>
      </w:tblPr>
      <w:tblGrid>
        <w:gridCol w:w="2729"/>
        <w:gridCol w:w="998"/>
        <w:gridCol w:w="998"/>
        <w:gridCol w:w="998"/>
      </w:tblGrid>
      <w:tr w:rsidR="003B0F2C" w:rsidRPr="00C60C50" w:rsidTr="009E3A43">
        <w:trPr>
          <w:cantSplit/>
          <w:trHeight w:val="706"/>
          <w:jc w:val="right"/>
        </w:trPr>
        <w:tc>
          <w:tcPr>
            <w:tcW w:w="5723" w:type="dxa"/>
            <w:gridSpan w:val="4"/>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line="182" w:lineRule="exact"/>
              <w:ind w:right="111"/>
              <w:jc w:val="center"/>
              <w:textAlignment w:val="baseline"/>
              <w:rPr>
                <w:rFonts w:eastAsia="Arial"/>
                <w:b/>
                <w:color w:val="000000"/>
                <w:sz w:val="20"/>
              </w:rPr>
            </w:pPr>
            <w:r>
              <w:rPr>
                <w:rFonts w:eastAsia="Arial"/>
                <w:b/>
                <w:color w:val="000000"/>
                <w:sz w:val="20"/>
              </w:rPr>
              <w:t>Table 4: Enrollees’ Target Population for Educational Prevention Services Provided in the Metropolitan District, Jefferson Parish and Statewide, SFY 2013</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line="182" w:lineRule="exact"/>
              <w:ind w:left="110"/>
              <w:jc w:val="center"/>
              <w:textAlignment w:val="baseline"/>
              <w:rPr>
                <w:rFonts w:eastAsia="Arial"/>
                <w:b/>
                <w:color w:val="000000"/>
                <w:sz w:val="20"/>
              </w:rPr>
            </w:pPr>
            <w:r w:rsidRPr="00C60C50">
              <w:rPr>
                <w:rFonts w:eastAsia="Arial"/>
                <w:b/>
                <w:color w:val="000000"/>
                <w:sz w:val="20"/>
              </w:rPr>
              <w:t>Primary Target Population</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Default="003B0F2C" w:rsidP="009E3A43">
            <w:pPr>
              <w:spacing w:line="182" w:lineRule="exact"/>
              <w:ind w:left="-29" w:right="18"/>
              <w:jc w:val="center"/>
              <w:textAlignment w:val="baseline"/>
              <w:rPr>
                <w:rFonts w:eastAsia="Arial"/>
                <w:b/>
                <w:color w:val="000000"/>
                <w:sz w:val="20"/>
              </w:rPr>
            </w:pPr>
            <w:r>
              <w:rPr>
                <w:rFonts w:eastAsia="Arial"/>
                <w:b/>
                <w:color w:val="000000"/>
                <w:sz w:val="20"/>
              </w:rPr>
              <w:t>Metro-</w:t>
            </w:r>
            <w:proofErr w:type="spellStart"/>
            <w:r>
              <w:rPr>
                <w:rFonts w:eastAsia="Arial"/>
                <w:b/>
                <w:color w:val="000000"/>
                <w:sz w:val="20"/>
              </w:rPr>
              <w:t>politan</w:t>
            </w:r>
            <w:proofErr w:type="spellEnd"/>
          </w:p>
          <w:p w:rsidR="003B0F2C" w:rsidRPr="00C60C50" w:rsidRDefault="003B0F2C" w:rsidP="009E3A43">
            <w:pPr>
              <w:spacing w:line="182" w:lineRule="exact"/>
              <w:ind w:left="-29" w:right="18"/>
              <w:jc w:val="center"/>
              <w:textAlignment w:val="baseline"/>
              <w:rPr>
                <w:rFonts w:eastAsia="Arial"/>
                <w:b/>
                <w:color w:val="000000"/>
                <w:sz w:val="20"/>
              </w:rPr>
            </w:pPr>
            <w:r>
              <w:rPr>
                <w:rFonts w:eastAsia="Arial"/>
                <w:b/>
                <w:color w:val="000000"/>
                <w:sz w:val="20"/>
              </w:rPr>
              <w:t>District</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line="182" w:lineRule="exact"/>
              <w:ind w:right="101"/>
              <w:jc w:val="center"/>
              <w:textAlignment w:val="baseline"/>
              <w:rPr>
                <w:rFonts w:eastAsia="Arial"/>
                <w:b/>
                <w:color w:val="000000"/>
                <w:sz w:val="20"/>
              </w:rPr>
            </w:pPr>
            <w:r>
              <w:rPr>
                <w:rFonts w:eastAsia="Arial"/>
                <w:b/>
                <w:color w:val="000000"/>
                <w:sz w:val="20"/>
              </w:rPr>
              <w:t>Jefferson Parish</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line="182" w:lineRule="exact"/>
              <w:ind w:right="111"/>
              <w:jc w:val="center"/>
              <w:textAlignment w:val="baseline"/>
              <w:rPr>
                <w:rFonts w:eastAsia="Arial"/>
                <w:b/>
                <w:color w:val="000000"/>
                <w:sz w:val="20"/>
              </w:rPr>
            </w:pPr>
            <w:r w:rsidRPr="00C60C50">
              <w:rPr>
                <w:rFonts w:eastAsia="Arial"/>
                <w:b/>
                <w:color w:val="000000"/>
                <w:sz w:val="20"/>
              </w:rPr>
              <w:t>State</w:t>
            </w:r>
            <w:r>
              <w:rPr>
                <w:rFonts w:eastAsia="Arial"/>
                <w:b/>
                <w:color w:val="000000"/>
                <w:sz w:val="20"/>
              </w:rPr>
              <w:t>-wide</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77" w:lineRule="exact"/>
              <w:ind w:left="110"/>
              <w:textAlignment w:val="baseline"/>
              <w:rPr>
                <w:rFonts w:eastAsia="Arial"/>
                <w:color w:val="000000"/>
                <w:sz w:val="20"/>
              </w:rPr>
            </w:pPr>
            <w:r w:rsidRPr="00C60C50">
              <w:rPr>
                <w:rFonts w:eastAsia="Arial"/>
                <w:color w:val="000000"/>
                <w:sz w:val="20"/>
              </w:rPr>
              <w:t>Students-Preschool</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77"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77"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77" w:lineRule="exact"/>
              <w:ind w:right="111"/>
              <w:jc w:val="right"/>
              <w:textAlignment w:val="baseline"/>
              <w:rPr>
                <w:rFonts w:eastAsia="Arial"/>
                <w:color w:val="000000"/>
                <w:sz w:val="20"/>
              </w:rPr>
            </w:pPr>
            <w:r w:rsidRPr="00C60C50">
              <w:rPr>
                <w:rFonts w:eastAsia="Arial"/>
                <w:color w:val="000000"/>
                <w:sz w:val="20"/>
              </w:rPr>
              <w:t>2</w:t>
            </w:r>
            <w:r>
              <w:rPr>
                <w:rFonts w:eastAsia="Arial"/>
                <w:color w:val="000000"/>
                <w:sz w:val="20"/>
              </w:rPr>
              <w:t>,</w:t>
            </w:r>
            <w:r w:rsidRPr="00C60C50">
              <w:rPr>
                <w:rFonts w:eastAsia="Arial"/>
                <w:color w:val="000000"/>
                <w:sz w:val="20"/>
              </w:rPr>
              <w:t>032</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2" w:lineRule="exact"/>
              <w:ind w:left="110"/>
              <w:textAlignment w:val="baseline"/>
              <w:rPr>
                <w:rFonts w:eastAsia="Arial"/>
                <w:color w:val="000000"/>
                <w:sz w:val="20"/>
              </w:rPr>
            </w:pPr>
            <w:r w:rsidRPr="00C60C50">
              <w:rPr>
                <w:rFonts w:eastAsia="Arial"/>
                <w:color w:val="000000"/>
                <w:sz w:val="20"/>
              </w:rPr>
              <w:t>Students-Elementary School</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2" w:lineRule="exact"/>
              <w:ind w:right="106"/>
              <w:jc w:val="right"/>
              <w:textAlignment w:val="baseline"/>
              <w:rPr>
                <w:rFonts w:eastAsia="Arial"/>
                <w:color w:val="000000"/>
                <w:sz w:val="20"/>
              </w:rPr>
            </w:pPr>
            <w:r w:rsidRPr="00C60C50">
              <w:rPr>
                <w:rFonts w:eastAsia="Arial"/>
                <w:color w:val="000000"/>
                <w:sz w:val="20"/>
              </w:rPr>
              <w:t>4</w:t>
            </w:r>
            <w:r>
              <w:rPr>
                <w:rFonts w:eastAsia="Arial"/>
                <w:color w:val="000000"/>
                <w:sz w:val="20"/>
              </w:rPr>
              <w:t>,</w:t>
            </w:r>
            <w:r w:rsidRPr="00C60C50">
              <w:rPr>
                <w:rFonts w:eastAsia="Arial"/>
                <w:color w:val="000000"/>
                <w:sz w:val="20"/>
              </w:rPr>
              <w:t>677</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2" w:lineRule="exact"/>
              <w:ind w:right="101"/>
              <w:jc w:val="right"/>
              <w:textAlignment w:val="baseline"/>
              <w:rPr>
                <w:rFonts w:eastAsia="Arial"/>
                <w:color w:val="000000"/>
                <w:sz w:val="20"/>
              </w:rPr>
            </w:pPr>
            <w:r w:rsidRPr="00C60C50">
              <w:rPr>
                <w:rFonts w:eastAsia="Arial"/>
                <w:color w:val="000000"/>
                <w:sz w:val="20"/>
              </w:rPr>
              <w:t>3</w:t>
            </w:r>
            <w:r>
              <w:rPr>
                <w:rFonts w:eastAsia="Arial"/>
                <w:color w:val="000000"/>
                <w:sz w:val="20"/>
              </w:rPr>
              <w:t>,</w:t>
            </w:r>
            <w:r w:rsidRPr="00C60C50">
              <w:rPr>
                <w:rFonts w:eastAsia="Arial"/>
                <w:color w:val="000000"/>
                <w:sz w:val="20"/>
              </w:rPr>
              <w:t>467</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2" w:lineRule="exact"/>
              <w:ind w:right="111"/>
              <w:jc w:val="right"/>
              <w:textAlignment w:val="baseline"/>
              <w:rPr>
                <w:rFonts w:eastAsia="Arial"/>
                <w:color w:val="000000"/>
                <w:sz w:val="20"/>
              </w:rPr>
            </w:pPr>
            <w:r w:rsidRPr="00C60C50">
              <w:rPr>
                <w:rFonts w:eastAsia="Arial"/>
                <w:color w:val="000000"/>
                <w:sz w:val="20"/>
              </w:rPr>
              <w:t>42</w:t>
            </w:r>
            <w:r>
              <w:rPr>
                <w:rFonts w:eastAsia="Arial"/>
                <w:color w:val="000000"/>
                <w:sz w:val="20"/>
              </w:rPr>
              <w:t>,</w:t>
            </w:r>
            <w:r w:rsidRPr="00C60C50">
              <w:rPr>
                <w:rFonts w:eastAsia="Arial"/>
                <w:color w:val="000000"/>
                <w:sz w:val="20"/>
              </w:rPr>
              <w:t>124</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2" w:lineRule="exact"/>
              <w:ind w:left="110"/>
              <w:textAlignment w:val="baseline"/>
              <w:rPr>
                <w:rFonts w:eastAsia="Arial"/>
                <w:color w:val="000000"/>
                <w:sz w:val="20"/>
              </w:rPr>
            </w:pPr>
            <w:r w:rsidRPr="00C60C50">
              <w:rPr>
                <w:rFonts w:eastAsia="Arial"/>
                <w:color w:val="000000"/>
                <w:sz w:val="20"/>
              </w:rPr>
              <w:t>Students-Middle School</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2" w:lineRule="exact"/>
              <w:ind w:right="106"/>
              <w:jc w:val="right"/>
              <w:textAlignment w:val="baseline"/>
              <w:rPr>
                <w:rFonts w:eastAsia="Arial"/>
                <w:color w:val="000000"/>
                <w:sz w:val="20"/>
              </w:rPr>
            </w:pPr>
            <w:r w:rsidRPr="00C60C50">
              <w:rPr>
                <w:rFonts w:eastAsia="Arial"/>
                <w:color w:val="000000"/>
                <w:sz w:val="20"/>
              </w:rPr>
              <w:t>4</w:t>
            </w:r>
            <w:r>
              <w:rPr>
                <w:rFonts w:eastAsia="Arial"/>
                <w:color w:val="000000"/>
                <w:sz w:val="20"/>
              </w:rPr>
              <w:t>,</w:t>
            </w:r>
            <w:r w:rsidRPr="00C60C50">
              <w:rPr>
                <w:rFonts w:eastAsia="Arial"/>
                <w:color w:val="000000"/>
                <w:sz w:val="20"/>
              </w:rPr>
              <w:t>444</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2"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2" w:lineRule="exact"/>
              <w:ind w:right="111"/>
              <w:jc w:val="right"/>
              <w:textAlignment w:val="baseline"/>
              <w:rPr>
                <w:rFonts w:eastAsia="Arial"/>
                <w:color w:val="000000"/>
                <w:sz w:val="20"/>
              </w:rPr>
            </w:pPr>
            <w:r w:rsidRPr="00C60C50">
              <w:rPr>
                <w:rFonts w:eastAsia="Arial"/>
                <w:color w:val="000000"/>
                <w:sz w:val="20"/>
              </w:rPr>
              <w:t>37</w:t>
            </w:r>
            <w:r>
              <w:rPr>
                <w:rFonts w:eastAsia="Arial"/>
                <w:color w:val="000000"/>
                <w:sz w:val="20"/>
              </w:rPr>
              <w:t>,</w:t>
            </w:r>
            <w:r w:rsidRPr="00C60C50">
              <w:rPr>
                <w:rFonts w:eastAsia="Arial"/>
                <w:color w:val="000000"/>
                <w:sz w:val="20"/>
              </w:rPr>
              <w:t>771</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left="110"/>
              <w:textAlignment w:val="baseline"/>
              <w:rPr>
                <w:rFonts w:eastAsia="Arial"/>
                <w:color w:val="000000"/>
                <w:sz w:val="20"/>
              </w:rPr>
            </w:pPr>
            <w:r w:rsidRPr="00C60C50">
              <w:rPr>
                <w:rFonts w:eastAsia="Arial"/>
                <w:color w:val="000000"/>
                <w:sz w:val="20"/>
              </w:rPr>
              <w:t>Students-High School</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6"/>
              <w:jc w:val="right"/>
              <w:textAlignment w:val="baseline"/>
              <w:rPr>
                <w:rFonts w:eastAsia="Arial"/>
                <w:color w:val="000000"/>
                <w:sz w:val="20"/>
              </w:rPr>
            </w:pPr>
            <w:r w:rsidRPr="00C60C50">
              <w:rPr>
                <w:rFonts w:eastAsia="Arial"/>
                <w:color w:val="000000"/>
                <w:sz w:val="20"/>
              </w:rPr>
              <w:t>1</w:t>
            </w:r>
            <w:r>
              <w:rPr>
                <w:rFonts w:eastAsia="Arial"/>
                <w:color w:val="000000"/>
                <w:sz w:val="20"/>
              </w:rPr>
              <w:t>,</w:t>
            </w:r>
            <w:r w:rsidRPr="00C60C50">
              <w:rPr>
                <w:rFonts w:eastAsia="Arial"/>
                <w:color w:val="000000"/>
                <w:sz w:val="20"/>
              </w:rPr>
              <w:t>669</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1"/>
              <w:jc w:val="right"/>
              <w:textAlignment w:val="baseline"/>
              <w:rPr>
                <w:rFonts w:eastAsia="Arial"/>
                <w:color w:val="000000"/>
                <w:sz w:val="20"/>
              </w:rPr>
            </w:pPr>
            <w:r w:rsidRPr="00C60C50">
              <w:rPr>
                <w:rFonts w:eastAsia="Arial"/>
                <w:color w:val="000000"/>
                <w:sz w:val="20"/>
              </w:rPr>
              <w:t>189</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11"/>
              <w:jc w:val="right"/>
              <w:textAlignment w:val="baseline"/>
              <w:rPr>
                <w:rFonts w:eastAsia="Arial"/>
                <w:color w:val="000000"/>
                <w:sz w:val="20"/>
              </w:rPr>
            </w:pPr>
            <w:r w:rsidRPr="00C60C50">
              <w:rPr>
                <w:rFonts w:eastAsia="Arial"/>
                <w:color w:val="000000"/>
                <w:sz w:val="20"/>
              </w:rPr>
              <w:t>5</w:t>
            </w:r>
            <w:r>
              <w:rPr>
                <w:rFonts w:eastAsia="Arial"/>
                <w:color w:val="000000"/>
                <w:sz w:val="20"/>
              </w:rPr>
              <w:t>,</w:t>
            </w:r>
            <w:r w:rsidRPr="00C60C50">
              <w:rPr>
                <w:rFonts w:eastAsia="Arial"/>
                <w:color w:val="000000"/>
                <w:sz w:val="20"/>
              </w:rPr>
              <w:t>899</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7" w:lineRule="exact"/>
              <w:ind w:left="110"/>
              <w:textAlignment w:val="baseline"/>
              <w:rPr>
                <w:rFonts w:eastAsia="Arial"/>
                <w:color w:val="000000"/>
                <w:sz w:val="20"/>
              </w:rPr>
            </w:pPr>
            <w:r w:rsidRPr="00C60C50">
              <w:rPr>
                <w:rFonts w:eastAsia="Arial"/>
                <w:color w:val="000000"/>
                <w:sz w:val="20"/>
              </w:rPr>
              <w:t>Students-College</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7"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7"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7" w:lineRule="exact"/>
              <w:ind w:right="111"/>
              <w:jc w:val="right"/>
              <w:textAlignment w:val="baseline"/>
              <w:rPr>
                <w:rFonts w:eastAsia="Arial"/>
                <w:color w:val="000000"/>
                <w:sz w:val="20"/>
              </w:rPr>
            </w:pPr>
            <w:r w:rsidRPr="00C60C50">
              <w:rPr>
                <w:rFonts w:eastAsia="Arial"/>
                <w:color w:val="000000"/>
                <w:sz w:val="20"/>
              </w:rPr>
              <w:t>0</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7" w:lineRule="exact"/>
              <w:ind w:left="110"/>
              <w:textAlignment w:val="baseline"/>
              <w:rPr>
                <w:rFonts w:eastAsia="Arial"/>
                <w:color w:val="000000"/>
                <w:sz w:val="20"/>
              </w:rPr>
            </w:pPr>
            <w:r w:rsidRPr="00C60C50">
              <w:rPr>
                <w:rFonts w:eastAsia="Arial"/>
                <w:color w:val="000000"/>
                <w:sz w:val="20"/>
              </w:rPr>
              <w:t>Youth-High Risk</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7"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7"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7" w:lineRule="exact"/>
              <w:ind w:right="111"/>
              <w:jc w:val="right"/>
              <w:textAlignment w:val="baseline"/>
              <w:rPr>
                <w:rFonts w:eastAsia="Arial"/>
                <w:color w:val="000000"/>
                <w:sz w:val="20"/>
              </w:rPr>
            </w:pPr>
            <w:r w:rsidRPr="00C60C50">
              <w:rPr>
                <w:rFonts w:eastAsia="Arial"/>
                <w:color w:val="000000"/>
                <w:sz w:val="20"/>
              </w:rPr>
              <w:t>82</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6" w:lineRule="exact"/>
              <w:ind w:left="110"/>
              <w:textAlignment w:val="baseline"/>
              <w:rPr>
                <w:rFonts w:eastAsia="Arial"/>
                <w:color w:val="000000"/>
                <w:sz w:val="20"/>
              </w:rPr>
            </w:pPr>
            <w:r w:rsidRPr="00C60C50">
              <w:rPr>
                <w:rFonts w:eastAsia="Arial"/>
                <w:color w:val="000000"/>
                <w:sz w:val="20"/>
              </w:rPr>
              <w:t>Children of Substance Abusers</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6"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6"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6" w:lineRule="exact"/>
              <w:ind w:right="111"/>
              <w:jc w:val="right"/>
              <w:textAlignment w:val="baseline"/>
              <w:rPr>
                <w:rFonts w:eastAsia="Arial"/>
                <w:color w:val="000000"/>
                <w:sz w:val="20"/>
              </w:rPr>
            </w:pPr>
            <w:r w:rsidRPr="00C60C50">
              <w:rPr>
                <w:rFonts w:eastAsia="Arial"/>
                <w:color w:val="000000"/>
                <w:sz w:val="20"/>
              </w:rPr>
              <w:t>0</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1" w:line="182" w:lineRule="exact"/>
              <w:ind w:left="110"/>
              <w:textAlignment w:val="baseline"/>
              <w:rPr>
                <w:rFonts w:eastAsia="Arial"/>
                <w:color w:val="000000"/>
                <w:sz w:val="20"/>
              </w:rPr>
            </w:pPr>
            <w:r w:rsidRPr="00C60C50">
              <w:rPr>
                <w:rFonts w:eastAsia="Arial"/>
                <w:color w:val="000000"/>
                <w:sz w:val="20"/>
              </w:rPr>
              <w:t>Families</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1" w:line="182"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1" w:line="182"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1" w:line="182" w:lineRule="exact"/>
              <w:ind w:right="111"/>
              <w:jc w:val="right"/>
              <w:textAlignment w:val="baseline"/>
              <w:rPr>
                <w:rFonts w:eastAsia="Arial"/>
                <w:color w:val="000000"/>
                <w:sz w:val="20"/>
              </w:rPr>
            </w:pPr>
            <w:r w:rsidRPr="00C60C50">
              <w:rPr>
                <w:rFonts w:eastAsia="Arial"/>
                <w:color w:val="000000"/>
                <w:sz w:val="20"/>
              </w:rPr>
              <w:t>106</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8" w:lineRule="exact"/>
              <w:ind w:left="110"/>
              <w:textAlignment w:val="baseline"/>
              <w:rPr>
                <w:rFonts w:eastAsia="Arial"/>
                <w:color w:val="000000"/>
                <w:sz w:val="20"/>
              </w:rPr>
            </w:pPr>
            <w:r w:rsidRPr="00C60C50">
              <w:rPr>
                <w:rFonts w:eastAsia="Arial"/>
                <w:color w:val="000000"/>
                <w:sz w:val="20"/>
              </w:rPr>
              <w:t>Parents/Guardians</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8"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8"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82" w:line="168" w:lineRule="exact"/>
              <w:ind w:right="111"/>
              <w:jc w:val="right"/>
              <w:textAlignment w:val="baseline"/>
              <w:rPr>
                <w:rFonts w:eastAsia="Arial"/>
                <w:color w:val="000000"/>
                <w:sz w:val="20"/>
              </w:rPr>
            </w:pPr>
            <w:r w:rsidRPr="00C60C50">
              <w:rPr>
                <w:rFonts w:eastAsia="Arial"/>
                <w:color w:val="000000"/>
                <w:sz w:val="20"/>
              </w:rPr>
              <w:t>13</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left="110"/>
              <w:textAlignment w:val="baseline"/>
              <w:rPr>
                <w:rFonts w:eastAsia="Arial"/>
                <w:color w:val="000000"/>
                <w:sz w:val="20"/>
              </w:rPr>
            </w:pPr>
            <w:r w:rsidRPr="00C60C50">
              <w:rPr>
                <w:rFonts w:eastAsia="Arial"/>
                <w:color w:val="000000"/>
                <w:sz w:val="20"/>
              </w:rPr>
              <w:t>Pregnant Women/Teens</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11"/>
              <w:jc w:val="right"/>
              <w:textAlignment w:val="baseline"/>
              <w:rPr>
                <w:rFonts w:eastAsia="Arial"/>
                <w:color w:val="000000"/>
                <w:sz w:val="20"/>
              </w:rPr>
            </w:pPr>
            <w:r w:rsidRPr="00C60C50">
              <w:rPr>
                <w:rFonts w:eastAsia="Arial"/>
                <w:color w:val="000000"/>
                <w:sz w:val="20"/>
              </w:rPr>
              <w:t>0</w:t>
            </w:r>
          </w:p>
        </w:tc>
      </w:tr>
      <w:tr w:rsidR="003B0F2C" w:rsidRPr="00C60C50" w:rsidTr="009E3A43">
        <w:trPr>
          <w:cantSplit/>
          <w:trHeight w:val="216"/>
          <w:jc w:val="right"/>
        </w:trPr>
        <w:tc>
          <w:tcPr>
            <w:tcW w:w="2729"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87" w:lineRule="exact"/>
              <w:ind w:left="110"/>
              <w:textAlignment w:val="baseline"/>
              <w:rPr>
                <w:rFonts w:eastAsia="Arial"/>
                <w:color w:val="000000"/>
                <w:sz w:val="20"/>
              </w:rPr>
            </w:pPr>
            <w:r w:rsidRPr="00C60C50">
              <w:rPr>
                <w:rFonts w:eastAsia="Arial"/>
                <w:color w:val="000000"/>
                <w:sz w:val="20"/>
              </w:rPr>
              <w:t>All Other Primary Target</w:t>
            </w:r>
            <w:r>
              <w:rPr>
                <w:rFonts w:eastAsia="Arial"/>
                <w:color w:val="000000"/>
                <w:sz w:val="20"/>
              </w:rPr>
              <w:t>s</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6"/>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01"/>
              <w:jc w:val="right"/>
              <w:textAlignment w:val="baseline"/>
              <w:rPr>
                <w:rFonts w:eastAsia="Arial"/>
                <w:color w:val="000000"/>
                <w:sz w:val="20"/>
              </w:rPr>
            </w:pPr>
            <w:r w:rsidRPr="00C60C50">
              <w:rPr>
                <w:rFonts w:eastAsia="Arial"/>
                <w:color w:val="000000"/>
                <w:sz w:val="20"/>
              </w:rPr>
              <w:t>0</w:t>
            </w:r>
          </w:p>
        </w:tc>
        <w:tc>
          <w:tcPr>
            <w:tcW w:w="998" w:type="dxa"/>
            <w:tcBorders>
              <w:top w:val="single" w:sz="5" w:space="0" w:color="000000"/>
              <w:left w:val="single" w:sz="5" w:space="0" w:color="000000"/>
              <w:bottom w:val="single" w:sz="5" w:space="0" w:color="000000"/>
              <w:right w:val="single" w:sz="5" w:space="0" w:color="000000"/>
            </w:tcBorders>
            <w:vAlign w:val="center"/>
          </w:tcPr>
          <w:p w:rsidR="003B0F2C" w:rsidRPr="00C60C50" w:rsidRDefault="003B0F2C" w:rsidP="009E3A43">
            <w:pPr>
              <w:spacing w:before="77" w:line="177" w:lineRule="exact"/>
              <w:ind w:right="111"/>
              <w:jc w:val="right"/>
              <w:textAlignment w:val="baseline"/>
              <w:rPr>
                <w:rFonts w:eastAsia="Arial"/>
                <w:color w:val="000000"/>
                <w:sz w:val="20"/>
              </w:rPr>
            </w:pPr>
            <w:r w:rsidRPr="00C60C50">
              <w:rPr>
                <w:rFonts w:eastAsia="Arial"/>
                <w:color w:val="000000"/>
                <w:sz w:val="20"/>
              </w:rPr>
              <w:t>0</w:t>
            </w:r>
          </w:p>
        </w:tc>
      </w:tr>
      <w:tr w:rsidR="003B0F2C" w:rsidRPr="00C60C50" w:rsidTr="009E3A43">
        <w:trPr>
          <w:cantSplit/>
          <w:trHeight w:val="268"/>
          <w:jc w:val="right"/>
        </w:trPr>
        <w:tc>
          <w:tcPr>
            <w:tcW w:w="2729" w:type="dxa"/>
            <w:tcBorders>
              <w:top w:val="single" w:sz="5" w:space="0" w:color="000000"/>
              <w:left w:val="single" w:sz="5" w:space="0" w:color="000000"/>
              <w:bottom w:val="single" w:sz="6" w:space="0" w:color="000000"/>
              <w:right w:val="single" w:sz="5" w:space="0" w:color="000000"/>
            </w:tcBorders>
            <w:vAlign w:val="center"/>
          </w:tcPr>
          <w:p w:rsidR="003B0F2C" w:rsidRPr="00C60C50" w:rsidRDefault="003B0F2C" w:rsidP="009E3A43">
            <w:pPr>
              <w:spacing w:before="77" w:line="182" w:lineRule="exact"/>
              <w:ind w:left="110"/>
              <w:jc w:val="center"/>
              <w:textAlignment w:val="baseline"/>
              <w:rPr>
                <w:rFonts w:eastAsia="Arial"/>
                <w:color w:val="000000"/>
                <w:sz w:val="20"/>
              </w:rPr>
            </w:pPr>
            <w:r>
              <w:rPr>
                <w:rFonts w:eastAsia="Arial"/>
                <w:color w:val="000000"/>
                <w:sz w:val="20"/>
              </w:rPr>
              <w:t>Total</w:t>
            </w:r>
          </w:p>
        </w:tc>
        <w:tc>
          <w:tcPr>
            <w:tcW w:w="998" w:type="dxa"/>
            <w:tcBorders>
              <w:top w:val="single" w:sz="5" w:space="0" w:color="000000"/>
              <w:left w:val="single" w:sz="5" w:space="0" w:color="000000"/>
              <w:bottom w:val="single" w:sz="6" w:space="0" w:color="000000"/>
              <w:right w:val="single" w:sz="5" w:space="0" w:color="000000"/>
            </w:tcBorders>
            <w:vAlign w:val="center"/>
          </w:tcPr>
          <w:p w:rsidR="003B0F2C" w:rsidRPr="00C60C50" w:rsidRDefault="003B0F2C" w:rsidP="009E3A43">
            <w:pPr>
              <w:spacing w:before="77" w:line="182" w:lineRule="exact"/>
              <w:ind w:right="106"/>
              <w:jc w:val="right"/>
              <w:textAlignment w:val="baseline"/>
              <w:rPr>
                <w:rFonts w:eastAsia="Arial"/>
                <w:color w:val="000000"/>
                <w:sz w:val="20"/>
              </w:rPr>
            </w:pPr>
            <w:r w:rsidRPr="00C60C50">
              <w:rPr>
                <w:rFonts w:eastAsia="Arial"/>
                <w:color w:val="000000"/>
                <w:sz w:val="20"/>
              </w:rPr>
              <w:t>10</w:t>
            </w:r>
            <w:r>
              <w:rPr>
                <w:rFonts w:eastAsia="Arial"/>
                <w:color w:val="000000"/>
                <w:sz w:val="20"/>
              </w:rPr>
              <w:t>,</w:t>
            </w:r>
            <w:r w:rsidRPr="00C60C50">
              <w:rPr>
                <w:rFonts w:eastAsia="Arial"/>
                <w:color w:val="000000"/>
                <w:sz w:val="20"/>
              </w:rPr>
              <w:t>790</w:t>
            </w:r>
          </w:p>
        </w:tc>
        <w:tc>
          <w:tcPr>
            <w:tcW w:w="998" w:type="dxa"/>
            <w:tcBorders>
              <w:top w:val="single" w:sz="5" w:space="0" w:color="000000"/>
              <w:left w:val="single" w:sz="5" w:space="0" w:color="000000"/>
              <w:bottom w:val="single" w:sz="6" w:space="0" w:color="000000"/>
              <w:right w:val="single" w:sz="5" w:space="0" w:color="000000"/>
            </w:tcBorders>
            <w:vAlign w:val="center"/>
          </w:tcPr>
          <w:p w:rsidR="003B0F2C" w:rsidRPr="00C60C50" w:rsidRDefault="003B0F2C" w:rsidP="009E3A43">
            <w:pPr>
              <w:spacing w:before="77" w:line="182" w:lineRule="exact"/>
              <w:ind w:right="101"/>
              <w:jc w:val="right"/>
              <w:textAlignment w:val="baseline"/>
              <w:rPr>
                <w:rFonts w:eastAsia="Arial"/>
                <w:color w:val="000000"/>
                <w:sz w:val="20"/>
              </w:rPr>
            </w:pPr>
            <w:r w:rsidRPr="00C60C50">
              <w:rPr>
                <w:rFonts w:eastAsia="Arial"/>
                <w:color w:val="000000"/>
                <w:sz w:val="20"/>
              </w:rPr>
              <w:t>3</w:t>
            </w:r>
            <w:r>
              <w:rPr>
                <w:rFonts w:eastAsia="Arial"/>
                <w:color w:val="000000"/>
                <w:sz w:val="20"/>
              </w:rPr>
              <w:t>,</w:t>
            </w:r>
            <w:r w:rsidRPr="00C60C50">
              <w:rPr>
                <w:rFonts w:eastAsia="Arial"/>
                <w:color w:val="000000"/>
                <w:sz w:val="20"/>
              </w:rPr>
              <w:t>656</w:t>
            </w:r>
          </w:p>
        </w:tc>
        <w:tc>
          <w:tcPr>
            <w:tcW w:w="998" w:type="dxa"/>
            <w:tcBorders>
              <w:top w:val="single" w:sz="5" w:space="0" w:color="000000"/>
              <w:left w:val="single" w:sz="5" w:space="0" w:color="000000"/>
              <w:bottom w:val="single" w:sz="6" w:space="0" w:color="000000"/>
              <w:right w:val="single" w:sz="5" w:space="0" w:color="000000"/>
            </w:tcBorders>
            <w:vAlign w:val="center"/>
          </w:tcPr>
          <w:p w:rsidR="003B0F2C" w:rsidRPr="00C60C50" w:rsidRDefault="003B0F2C" w:rsidP="009E3A43">
            <w:pPr>
              <w:spacing w:before="77" w:line="182" w:lineRule="exact"/>
              <w:ind w:right="111"/>
              <w:jc w:val="right"/>
              <w:textAlignment w:val="baseline"/>
              <w:rPr>
                <w:rFonts w:eastAsia="Arial"/>
                <w:color w:val="000000"/>
                <w:sz w:val="20"/>
              </w:rPr>
            </w:pPr>
            <w:r w:rsidRPr="00C60C50">
              <w:rPr>
                <w:rFonts w:eastAsia="Arial"/>
                <w:color w:val="000000"/>
                <w:sz w:val="20"/>
              </w:rPr>
              <w:t>88</w:t>
            </w:r>
            <w:r>
              <w:rPr>
                <w:rFonts w:eastAsia="Arial"/>
                <w:color w:val="000000"/>
                <w:sz w:val="20"/>
              </w:rPr>
              <w:t>,</w:t>
            </w:r>
            <w:r w:rsidRPr="00C60C50">
              <w:rPr>
                <w:rFonts w:eastAsia="Arial"/>
                <w:color w:val="000000"/>
                <w:sz w:val="20"/>
              </w:rPr>
              <w:t>027</w:t>
            </w:r>
          </w:p>
        </w:tc>
      </w:tr>
      <w:tr w:rsidR="003B0F2C" w:rsidRPr="00C60C50" w:rsidTr="009E3A43">
        <w:trPr>
          <w:cantSplit/>
          <w:trHeight w:val="505"/>
          <w:jc w:val="right"/>
        </w:trPr>
        <w:tc>
          <w:tcPr>
            <w:tcW w:w="5723" w:type="dxa"/>
            <w:gridSpan w:val="4"/>
            <w:tcBorders>
              <w:top w:val="single" w:sz="6" w:space="0" w:color="000000"/>
            </w:tcBorders>
            <w:vAlign w:val="center"/>
          </w:tcPr>
          <w:p w:rsidR="003B0F2C" w:rsidRPr="00C60C50" w:rsidRDefault="003B0F2C" w:rsidP="009E3A43">
            <w:pPr>
              <w:spacing w:before="77" w:line="182" w:lineRule="exact"/>
              <w:ind w:right="111"/>
              <w:textAlignment w:val="baseline"/>
              <w:rPr>
                <w:rFonts w:eastAsia="Arial"/>
                <w:color w:val="000000"/>
                <w:sz w:val="20"/>
              </w:rPr>
            </w:pPr>
            <w:r>
              <w:rPr>
                <w:sz w:val="18"/>
                <w:szCs w:val="18"/>
              </w:rPr>
              <w:t xml:space="preserve">Source: Louisiana Department of Health and Hospitals, Office of Behavioral Health, </w:t>
            </w:r>
            <w:r>
              <w:rPr>
                <w:i/>
                <w:sz w:val="18"/>
                <w:szCs w:val="18"/>
              </w:rPr>
              <w:t>Prevention Services SFY 20</w:t>
            </w:r>
            <w:r w:rsidRPr="00D87698">
              <w:rPr>
                <w:i/>
                <w:sz w:val="18"/>
                <w:szCs w:val="18"/>
              </w:rPr>
              <w:t>1</w:t>
            </w:r>
            <w:r>
              <w:rPr>
                <w:i/>
                <w:sz w:val="18"/>
                <w:szCs w:val="18"/>
              </w:rPr>
              <w:t>3 Process Outcome</w:t>
            </w:r>
            <w:r w:rsidRPr="00D87698">
              <w:rPr>
                <w:i/>
                <w:sz w:val="18"/>
                <w:szCs w:val="18"/>
              </w:rPr>
              <w:t xml:space="preserve"> Report</w:t>
            </w:r>
            <w:r>
              <w:rPr>
                <w:sz w:val="18"/>
                <w:szCs w:val="18"/>
              </w:rPr>
              <w:t>, pp. 8.</w:t>
            </w:r>
          </w:p>
        </w:tc>
      </w:tr>
    </w:tbl>
    <w:p w:rsidR="003B0F2C" w:rsidRDefault="003B0F2C" w:rsidP="003B0F2C">
      <w:r>
        <w:t>Based on the services received, each enrollee in a prevention education program represents a target population. Across the state, this type of service is almost exclusively limited to students in grades K-12. At the state level, almost half (48%) of all enrollees are elementary school students while 43 percent are middle school students and only 7 percent are high school students. In the Metropolitan District the distribution is similar except that 15 percent of enrollees are high school students. In Jefferson Parish almost all enrollees (95%) are elementary school students.</w:t>
      </w:r>
    </w:p>
    <w:p w:rsidR="003B0F2C" w:rsidRDefault="003B0F2C" w:rsidP="003B0F2C"/>
    <w:p w:rsidR="003B0F2C" w:rsidRPr="00AD43BA" w:rsidRDefault="003B0F2C" w:rsidP="003B0F2C">
      <w:pPr>
        <w:rPr>
          <w:b/>
        </w:rPr>
      </w:pPr>
      <w:r w:rsidRPr="00AD43BA">
        <w:rPr>
          <w:b/>
        </w:rPr>
        <w:t>Public Health Approach</w:t>
      </w:r>
    </w:p>
    <w:p w:rsidR="003B0F2C" w:rsidRDefault="003B0F2C" w:rsidP="003B0F2C"/>
    <w:p w:rsidR="003B0F2C" w:rsidRDefault="003B0F2C" w:rsidP="003B0F2C">
      <w:r>
        <w:t xml:space="preserve">“As OBH Prevention Services moves to a Public Health Approach [the following] three prevention strategies in particular will be critical in delivering services to the general population:” Community-based Process; Environmental Strategies; and Information Dissemination. (Refer to pages 17 and 25 of the Process Outcome Report.) </w:t>
      </w:r>
    </w:p>
    <w:p w:rsidR="003B0F2C" w:rsidRDefault="003B0F2C" w:rsidP="003B0F2C"/>
    <w:p w:rsidR="003B0F2C" w:rsidRDefault="003B0F2C" w:rsidP="003B0F2C">
      <w:r>
        <w:t>Unfortunately it is difficult to collect meaningful counts for these services on a broad scale. The Prevention Management System (PMIS) collects counts and limited characteristics on “participants served” by prevention activities. In many cases these will be estimates due to the difficulty in enumerating persons and characteristics for activities with large groups. For SFY 2013, PMIS recorded 168,686 participants served by prevention activities of contract provider staff and 156,098 participants served by activities of state and local government staff. Metropolitan HSD and Jefferson Parish HSA rely almost entirely on contract providers to deliver these services. A total of 19,382 participants served are recorded for Metropolitan, of which 29 percent were students in grades K-12, while 12,045 participants were served in Jefferson Parish, of which 50 percent were students in grades K-12. (Refer to page 21</w:t>
      </w:r>
      <w:r w:rsidRPr="009C7D7D">
        <w:t xml:space="preserve"> of the Process Outcome Report</w:t>
      </w:r>
      <w:r>
        <w:t>.)</w:t>
      </w:r>
    </w:p>
    <w:p w:rsidR="003B0F2C" w:rsidRDefault="003B0F2C" w:rsidP="003B0F2C"/>
    <w:p w:rsidR="003B0F2C" w:rsidRPr="009C7D7D" w:rsidRDefault="003B0F2C" w:rsidP="003B0F2C">
      <w:r w:rsidRPr="009C7D7D">
        <w:rPr>
          <w:b/>
        </w:rPr>
        <w:t>Tobacco Sales to Minors</w:t>
      </w:r>
    </w:p>
    <w:p w:rsidR="003B0F2C" w:rsidRDefault="003B0F2C" w:rsidP="003B0F2C"/>
    <w:p w:rsidR="00B71B8A" w:rsidRDefault="003B0F2C" w:rsidP="007367EF">
      <w:r>
        <w:t>The Prevention Management Information System also collects data on “</w:t>
      </w:r>
      <w:proofErr w:type="spellStart"/>
      <w:r>
        <w:t>Synar</w:t>
      </w:r>
      <w:proofErr w:type="spellEnd"/>
      <w:r>
        <w:t xml:space="preserve"> Unconsummated Compliance Checks.” Under penalty of losing a portion of SAPT Block Grant funding, states must monitor compliance of tobacco retailers and achieve a target rate for non-compliance. Louisiana’s 1997 baseline rate was the highest in the nation (73%). For SFY 2013, the state’s non-compliance rate is 9 percent, just below its 10 percent target.</w:t>
      </w:r>
    </w:p>
    <w:sectPr w:rsidR="00B71B8A" w:rsidSect="003754F1">
      <w:footerReference w:type="defaul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F0" w:rsidRDefault="007531F0" w:rsidP="00B71B8A">
      <w:r>
        <w:separator/>
      </w:r>
    </w:p>
  </w:endnote>
  <w:endnote w:type="continuationSeparator" w:id="0">
    <w:p w:rsidR="007531F0" w:rsidRDefault="007531F0" w:rsidP="00B7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D5" w:rsidRDefault="00D523D5">
    <w:pPr>
      <w:pStyle w:val="Footer"/>
    </w:pPr>
    <w:r w:rsidRPr="00DF4549">
      <w:rPr>
        <w:sz w:val="16"/>
        <w:szCs w:val="16"/>
      </w:rPr>
      <w:fldChar w:fldCharType="begin"/>
    </w:r>
    <w:r w:rsidRPr="00DF4549">
      <w:rPr>
        <w:sz w:val="16"/>
        <w:szCs w:val="16"/>
      </w:rPr>
      <w:instrText xml:space="preserve"> FILENAME   \* MERGEFORMAT </w:instrText>
    </w:r>
    <w:r w:rsidRPr="00DF4549">
      <w:rPr>
        <w:sz w:val="16"/>
        <w:szCs w:val="16"/>
      </w:rPr>
      <w:fldChar w:fldCharType="separate"/>
    </w:r>
    <w:r w:rsidR="00D2404D">
      <w:rPr>
        <w:noProof/>
        <w:sz w:val="16"/>
        <w:szCs w:val="16"/>
      </w:rPr>
      <w:t>Overview_PMIS_ProcessOutcomeRpt_2013_2011031.docx</w:t>
    </w:r>
    <w:r w:rsidRPr="00DF4549">
      <w:rPr>
        <w:sz w:val="16"/>
        <w:szCs w:val="16"/>
      </w:rPr>
      <w:fldChar w:fldCharType="end"/>
    </w:r>
    <w:r>
      <w:tab/>
    </w:r>
    <w:r w:rsidR="003754F1">
      <w:fldChar w:fldCharType="begin"/>
    </w:r>
    <w:r w:rsidR="003754F1">
      <w:instrText xml:space="preserve"> PAGE   \* MERGEFORMAT </w:instrText>
    </w:r>
    <w:r w:rsidR="003754F1">
      <w:fldChar w:fldCharType="separate"/>
    </w:r>
    <w:r w:rsidR="00D2404D">
      <w:rPr>
        <w:noProof/>
      </w:rPr>
      <w:t>4</w:t>
    </w:r>
    <w:r w:rsidR="003754F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F0" w:rsidRDefault="007531F0" w:rsidP="00B71B8A">
      <w:r>
        <w:separator/>
      </w:r>
    </w:p>
  </w:footnote>
  <w:footnote w:type="continuationSeparator" w:id="0">
    <w:p w:rsidR="007531F0" w:rsidRDefault="007531F0" w:rsidP="00B7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5363D"/>
    <w:rsid w:val="000726C0"/>
    <w:rsid w:val="000C092D"/>
    <w:rsid w:val="00202AD8"/>
    <w:rsid w:val="002305F0"/>
    <w:rsid w:val="002318EB"/>
    <w:rsid w:val="002517AA"/>
    <w:rsid w:val="00263ECF"/>
    <w:rsid w:val="002B140C"/>
    <w:rsid w:val="002C5D2D"/>
    <w:rsid w:val="003348D2"/>
    <w:rsid w:val="003754F1"/>
    <w:rsid w:val="003B0F2C"/>
    <w:rsid w:val="004402B5"/>
    <w:rsid w:val="004856CD"/>
    <w:rsid w:val="004A474C"/>
    <w:rsid w:val="005917EF"/>
    <w:rsid w:val="0062071A"/>
    <w:rsid w:val="00650C16"/>
    <w:rsid w:val="00693BBB"/>
    <w:rsid w:val="00694BCF"/>
    <w:rsid w:val="006A65C8"/>
    <w:rsid w:val="006B22A9"/>
    <w:rsid w:val="00722A7F"/>
    <w:rsid w:val="007367EF"/>
    <w:rsid w:val="007439F1"/>
    <w:rsid w:val="007531F0"/>
    <w:rsid w:val="007619DF"/>
    <w:rsid w:val="007F56FA"/>
    <w:rsid w:val="008020DA"/>
    <w:rsid w:val="008302C3"/>
    <w:rsid w:val="008D578E"/>
    <w:rsid w:val="008F74AA"/>
    <w:rsid w:val="009D1DAB"/>
    <w:rsid w:val="00A02D06"/>
    <w:rsid w:val="00AC3FD1"/>
    <w:rsid w:val="00AD6173"/>
    <w:rsid w:val="00B71B8A"/>
    <w:rsid w:val="00C17E6A"/>
    <w:rsid w:val="00C42104"/>
    <w:rsid w:val="00C64A71"/>
    <w:rsid w:val="00CC58D0"/>
    <w:rsid w:val="00CE012F"/>
    <w:rsid w:val="00D146B2"/>
    <w:rsid w:val="00D2404D"/>
    <w:rsid w:val="00D523D5"/>
    <w:rsid w:val="00D66870"/>
    <w:rsid w:val="00D92B0A"/>
    <w:rsid w:val="00DF4549"/>
    <w:rsid w:val="00E77285"/>
    <w:rsid w:val="00E81BD9"/>
    <w:rsid w:val="00E82620"/>
    <w:rsid w:val="00E8405F"/>
    <w:rsid w:val="00F31326"/>
    <w:rsid w:val="00F94B0C"/>
    <w:rsid w:val="00FD1659"/>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Header">
    <w:name w:val="header"/>
    <w:basedOn w:val="Normal"/>
    <w:link w:val="HeaderChar"/>
    <w:uiPriority w:val="99"/>
    <w:unhideWhenUsed/>
    <w:rsid w:val="00B71B8A"/>
    <w:pPr>
      <w:tabs>
        <w:tab w:val="center" w:pos="4680"/>
        <w:tab w:val="right" w:pos="9360"/>
      </w:tabs>
    </w:pPr>
  </w:style>
  <w:style w:type="character" w:customStyle="1" w:styleId="HeaderChar">
    <w:name w:val="Header Char"/>
    <w:basedOn w:val="DefaultParagraphFont"/>
    <w:link w:val="Header"/>
    <w:uiPriority w:val="99"/>
    <w:rsid w:val="00B71B8A"/>
    <w:rPr>
      <w:sz w:val="24"/>
    </w:rPr>
  </w:style>
  <w:style w:type="paragraph" w:styleId="Footer">
    <w:name w:val="footer"/>
    <w:basedOn w:val="Normal"/>
    <w:link w:val="FooterChar"/>
    <w:uiPriority w:val="99"/>
    <w:unhideWhenUsed/>
    <w:rsid w:val="00B71B8A"/>
    <w:pPr>
      <w:tabs>
        <w:tab w:val="center" w:pos="4680"/>
        <w:tab w:val="right" w:pos="9360"/>
      </w:tabs>
    </w:pPr>
  </w:style>
  <w:style w:type="character" w:customStyle="1" w:styleId="FooterChar">
    <w:name w:val="Footer Char"/>
    <w:basedOn w:val="DefaultParagraphFont"/>
    <w:link w:val="Footer"/>
    <w:uiPriority w:val="99"/>
    <w:rsid w:val="00B71B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Header">
    <w:name w:val="header"/>
    <w:basedOn w:val="Normal"/>
    <w:link w:val="HeaderChar"/>
    <w:uiPriority w:val="99"/>
    <w:unhideWhenUsed/>
    <w:rsid w:val="00B71B8A"/>
    <w:pPr>
      <w:tabs>
        <w:tab w:val="center" w:pos="4680"/>
        <w:tab w:val="right" w:pos="9360"/>
      </w:tabs>
    </w:pPr>
  </w:style>
  <w:style w:type="character" w:customStyle="1" w:styleId="HeaderChar">
    <w:name w:val="Header Char"/>
    <w:basedOn w:val="DefaultParagraphFont"/>
    <w:link w:val="Header"/>
    <w:uiPriority w:val="99"/>
    <w:rsid w:val="00B71B8A"/>
    <w:rPr>
      <w:sz w:val="24"/>
    </w:rPr>
  </w:style>
  <w:style w:type="paragraph" w:styleId="Footer">
    <w:name w:val="footer"/>
    <w:basedOn w:val="Normal"/>
    <w:link w:val="FooterChar"/>
    <w:uiPriority w:val="99"/>
    <w:unhideWhenUsed/>
    <w:rsid w:val="00B71B8A"/>
    <w:pPr>
      <w:tabs>
        <w:tab w:val="center" w:pos="4680"/>
        <w:tab w:val="right" w:pos="9360"/>
      </w:tabs>
    </w:pPr>
  </w:style>
  <w:style w:type="character" w:customStyle="1" w:styleId="FooterChar">
    <w:name w:val="Footer Char"/>
    <w:basedOn w:val="DefaultParagraphFont"/>
    <w:link w:val="Footer"/>
    <w:uiPriority w:val="99"/>
    <w:rsid w:val="00B71B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15</TotalTime>
  <Pages>6</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8</cp:revision>
  <cp:lastPrinted>2014-07-05T15:26:00Z</cp:lastPrinted>
  <dcterms:created xsi:type="dcterms:W3CDTF">2014-07-05T15:26:00Z</dcterms:created>
  <dcterms:modified xsi:type="dcterms:W3CDTF">2014-07-05T15:39:00Z</dcterms:modified>
</cp:coreProperties>
</file>