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FD" w:rsidRPr="004E18BF" w:rsidRDefault="003D73FD" w:rsidP="00677B9F">
      <w:pPr>
        <w:pStyle w:val="NoSpacing"/>
        <w:rPr>
          <w:b/>
          <w:sz w:val="28"/>
          <w:szCs w:val="28"/>
        </w:rPr>
      </w:pPr>
      <w:r w:rsidRPr="004E18BF">
        <w:rPr>
          <w:b/>
          <w:sz w:val="28"/>
          <w:szCs w:val="28"/>
        </w:rPr>
        <w:t xml:space="preserve">SSHS Initiative </w:t>
      </w:r>
      <w:r w:rsidR="00677B9F" w:rsidRPr="004E18BF">
        <w:rPr>
          <w:b/>
          <w:sz w:val="28"/>
          <w:szCs w:val="28"/>
        </w:rPr>
        <w:t>Performance Outcomes</w:t>
      </w:r>
    </w:p>
    <w:p w:rsidR="00677B9F" w:rsidRPr="00677B9F" w:rsidRDefault="00677B9F" w:rsidP="00677B9F">
      <w:pPr>
        <w:pStyle w:val="NoSpacing"/>
        <w:rPr>
          <w:b/>
        </w:rPr>
      </w:pPr>
    </w:p>
    <w:p w:rsidR="003D73FD" w:rsidRDefault="003D73FD" w:rsidP="00677B9F">
      <w:pPr>
        <w:pStyle w:val="NoSpacing"/>
      </w:pPr>
      <w:r w:rsidRPr="00EB415D">
        <w:t>Recovery School District SS/HS initiative was funded in fiscal year (FY) 2009</w:t>
      </w:r>
      <w:r>
        <w:t xml:space="preserve">, and began actual services and implementation in the fall of 2010.  </w:t>
      </w:r>
      <w:r w:rsidRPr="00EB415D">
        <w:t>The original application for the Recovery School District included universal and targeted interventions for six schools in the Recovery School District, including</w:t>
      </w:r>
      <w:r>
        <w:t xml:space="preserve"> Craig, Harney, Reed E</w:t>
      </w:r>
      <w:r w:rsidRPr="00EB415D">
        <w:t>lementary schools</w:t>
      </w:r>
      <w:r>
        <w:t>,</w:t>
      </w:r>
      <w:r w:rsidRPr="00EB415D">
        <w:t xml:space="preserve"> and John </w:t>
      </w:r>
      <w:proofErr w:type="spellStart"/>
      <w:r w:rsidRPr="00EB415D">
        <w:t>McDonogh</w:t>
      </w:r>
      <w:proofErr w:type="spellEnd"/>
      <w:r w:rsidRPr="00EB415D">
        <w:t xml:space="preserve">, </w:t>
      </w:r>
      <w:r>
        <w:t xml:space="preserve">Landry, </w:t>
      </w:r>
      <w:r w:rsidRPr="00EB415D">
        <w:t xml:space="preserve">and Reed high schools.  Since the beginning of the grant John </w:t>
      </w:r>
      <w:proofErr w:type="spellStart"/>
      <w:r w:rsidRPr="00EB415D">
        <w:t>McDonogh</w:t>
      </w:r>
      <w:proofErr w:type="spellEnd"/>
      <w:r w:rsidRPr="00EB415D">
        <w:t xml:space="preserve"> has been re</w:t>
      </w:r>
      <w:r>
        <w:t>placed with Martin Luther King H</w:t>
      </w:r>
      <w:r w:rsidRPr="00EB415D">
        <w:t>igh school.</w:t>
      </w:r>
    </w:p>
    <w:p w:rsidR="00677B9F" w:rsidRDefault="00677B9F" w:rsidP="00677B9F">
      <w:pPr>
        <w:pStyle w:val="NoSpacing"/>
      </w:pPr>
    </w:p>
    <w:p w:rsidR="003D73FD" w:rsidRPr="00677B9F" w:rsidRDefault="003D73FD" w:rsidP="00677B9F">
      <w:pPr>
        <w:pStyle w:val="NoSpacing"/>
        <w:rPr>
          <w:b/>
        </w:rPr>
      </w:pPr>
      <w:r>
        <w:t xml:space="preserve">The primary focus of the initiative encompasses </w:t>
      </w:r>
      <w:r w:rsidRPr="00677B9F">
        <w:rPr>
          <w:b/>
        </w:rPr>
        <w:t xml:space="preserve">5 Core Elements: </w:t>
      </w:r>
    </w:p>
    <w:p w:rsidR="003D73FD" w:rsidRPr="00677B9F" w:rsidRDefault="003D73FD" w:rsidP="00677B9F">
      <w:pPr>
        <w:pStyle w:val="NoSpacing"/>
        <w:numPr>
          <w:ilvl w:val="0"/>
          <w:numId w:val="3"/>
        </w:numPr>
        <w:rPr>
          <w:rFonts w:ascii="ChaparralPro-Semibold" w:hAnsi="ChaparralPro-Semibold" w:cs="ChaparralPro-Semibold"/>
          <w:b/>
        </w:rPr>
      </w:pPr>
      <w:r w:rsidRPr="00677B9F">
        <w:rPr>
          <w:rFonts w:ascii="ChaparralPro-Semibold" w:hAnsi="ChaparralPro-Semibold" w:cs="ChaparralPro-Semibold"/>
          <w:b/>
        </w:rPr>
        <w:t>Safe school environments and violence prevention activities</w:t>
      </w:r>
    </w:p>
    <w:p w:rsidR="003D73FD" w:rsidRPr="00677B9F" w:rsidRDefault="003D73FD" w:rsidP="00677B9F">
      <w:pPr>
        <w:pStyle w:val="NoSpacing"/>
        <w:numPr>
          <w:ilvl w:val="0"/>
          <w:numId w:val="3"/>
        </w:numPr>
        <w:rPr>
          <w:rFonts w:ascii="ChaparralPro-Light" w:hAnsi="ChaparralPro-Light" w:cs="ChaparralPro-Light"/>
          <w:b/>
        </w:rPr>
      </w:pPr>
      <w:r w:rsidRPr="00677B9F">
        <w:rPr>
          <w:rFonts w:ascii="ChaparralPro-Semibold" w:hAnsi="ChaparralPro-Semibold" w:cs="ChaparralPro-Semibold"/>
          <w:b/>
        </w:rPr>
        <w:t>Alcohol, tobacco, and other drug prevention activities</w:t>
      </w:r>
      <w:r w:rsidRPr="00677B9F">
        <w:rPr>
          <w:rFonts w:ascii="ChaparralPro-Light" w:hAnsi="ChaparralPro-Light" w:cs="ChaparralPro-Light"/>
          <w:b/>
        </w:rPr>
        <w:t xml:space="preserve"> </w:t>
      </w:r>
    </w:p>
    <w:p w:rsidR="003D73FD" w:rsidRPr="00677B9F" w:rsidRDefault="003D73FD" w:rsidP="00677B9F">
      <w:pPr>
        <w:pStyle w:val="NoSpacing"/>
        <w:numPr>
          <w:ilvl w:val="0"/>
          <w:numId w:val="3"/>
        </w:numPr>
        <w:rPr>
          <w:rFonts w:ascii="ChaparralPro-Semibold" w:hAnsi="ChaparralPro-Semibold" w:cs="ChaparralPro-Semibold"/>
          <w:b/>
        </w:rPr>
      </w:pPr>
      <w:r w:rsidRPr="00677B9F">
        <w:rPr>
          <w:rFonts w:ascii="ChaparralPro-Semibold" w:hAnsi="ChaparralPro-Semibold" w:cs="ChaparralPro-Semibold"/>
          <w:b/>
        </w:rPr>
        <w:t>Student behavioral, social, and emotional supports</w:t>
      </w:r>
    </w:p>
    <w:p w:rsidR="003D73FD" w:rsidRPr="00677B9F" w:rsidRDefault="003D73FD" w:rsidP="00677B9F">
      <w:pPr>
        <w:pStyle w:val="NoSpacing"/>
        <w:numPr>
          <w:ilvl w:val="0"/>
          <w:numId w:val="3"/>
        </w:numPr>
        <w:rPr>
          <w:rFonts w:ascii="ChaparralPro-Semibold" w:hAnsi="ChaparralPro-Semibold" w:cs="ChaparralPro-Semibold"/>
          <w:b/>
        </w:rPr>
      </w:pPr>
      <w:r w:rsidRPr="00677B9F">
        <w:rPr>
          <w:rFonts w:ascii="ChaparralPro-Semibold" w:hAnsi="ChaparralPro-Semibold" w:cs="ChaparralPro-Semibold"/>
          <w:b/>
        </w:rPr>
        <w:t>Mental health services</w:t>
      </w:r>
    </w:p>
    <w:p w:rsidR="003D73FD" w:rsidRPr="00677B9F" w:rsidRDefault="003D73FD" w:rsidP="00677B9F">
      <w:pPr>
        <w:pStyle w:val="NoSpacing"/>
        <w:numPr>
          <w:ilvl w:val="0"/>
          <w:numId w:val="3"/>
        </w:numPr>
        <w:rPr>
          <w:b/>
        </w:rPr>
      </w:pPr>
      <w:r w:rsidRPr="00677B9F">
        <w:rPr>
          <w:rFonts w:ascii="ChaparralPro-Semibold" w:hAnsi="ChaparralPro-Semibold" w:cs="ChaparralPro-Semibold"/>
          <w:b/>
        </w:rPr>
        <w:t>Early childhood social and emotional learning programs</w:t>
      </w:r>
    </w:p>
    <w:p w:rsidR="003D73FD" w:rsidRDefault="003D73FD" w:rsidP="00677B9F">
      <w:pPr>
        <w:pStyle w:val="NoSpacing"/>
      </w:pPr>
    </w:p>
    <w:p w:rsidR="003D73FD" w:rsidRPr="00677B9F" w:rsidRDefault="003D73FD" w:rsidP="00677B9F">
      <w:pPr>
        <w:pStyle w:val="NoSpacing"/>
        <w:rPr>
          <w:rFonts w:ascii="ChaparralPro-Light" w:eastAsia="Calibri" w:hAnsi="ChaparralPro-Light" w:cs="ChaparralPro-Light"/>
          <w:b/>
          <w:sz w:val="24"/>
          <w:szCs w:val="24"/>
        </w:rPr>
      </w:pPr>
      <w:r w:rsidRPr="00677B9F">
        <w:rPr>
          <w:rFonts w:ascii="ChaparralPro-Light" w:eastAsia="Calibri" w:hAnsi="ChaparralPro-Light" w:cs="ChaparralPro-Light"/>
          <w:b/>
          <w:sz w:val="24"/>
          <w:szCs w:val="24"/>
        </w:rPr>
        <w:t>Key Outcomes:</w:t>
      </w:r>
    </w:p>
    <w:p w:rsidR="003D73FD" w:rsidRPr="00E901DC" w:rsidRDefault="003D73FD" w:rsidP="00677B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901DC">
        <w:rPr>
          <w:rFonts w:ascii="Times New Roman" w:hAnsi="Times New Roman" w:cs="Times New Roman"/>
          <w:sz w:val="24"/>
          <w:szCs w:val="24"/>
        </w:rPr>
        <w:t>• Building safer and healthier communities</w:t>
      </w:r>
    </w:p>
    <w:p w:rsidR="003D73FD" w:rsidRPr="00E901DC" w:rsidRDefault="003D73FD" w:rsidP="00677B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901DC">
        <w:rPr>
          <w:rFonts w:ascii="Times New Roman" w:hAnsi="Times New Roman" w:cs="Times New Roman"/>
          <w:sz w:val="24"/>
          <w:szCs w:val="24"/>
        </w:rPr>
        <w:t>• Making mental health services accessible to more students</w:t>
      </w:r>
    </w:p>
    <w:p w:rsidR="003D73FD" w:rsidRPr="00E901DC" w:rsidRDefault="003D73FD" w:rsidP="00677B9F">
      <w:pPr>
        <w:pStyle w:val="NoSpacing"/>
        <w:ind w:left="720"/>
        <w:rPr>
          <w:rFonts w:ascii="ChaparralPro-Light" w:hAnsi="ChaparralPro-Light" w:cs="ChaparralPro-Light"/>
          <w:sz w:val="24"/>
          <w:szCs w:val="24"/>
        </w:rPr>
      </w:pPr>
      <w:r w:rsidRPr="00E901DC">
        <w:rPr>
          <w:rFonts w:ascii="Times New Roman" w:hAnsi="Times New Roman" w:cs="Times New Roman"/>
          <w:sz w:val="24"/>
          <w:szCs w:val="24"/>
        </w:rPr>
        <w:t>• Improving academic performance</w:t>
      </w:r>
    </w:p>
    <w:p w:rsidR="00677B9F" w:rsidRDefault="00677B9F">
      <w:pPr>
        <w:rPr>
          <w:rFonts w:ascii="ChaparralPro-Light" w:eastAsia="Calibri" w:hAnsi="ChaparralPro-Light" w:cs="ChaparralPro-Light"/>
          <w:sz w:val="24"/>
          <w:szCs w:val="24"/>
        </w:rPr>
      </w:pPr>
    </w:p>
    <w:p w:rsidR="00677B9F" w:rsidRDefault="00677B9F">
      <w:pPr>
        <w:rPr>
          <w:rFonts w:ascii="ChaparralPro-Light" w:eastAsia="Calibri" w:hAnsi="ChaparralPro-Light" w:cs="ChaparralPro-Light"/>
          <w:sz w:val="24"/>
          <w:szCs w:val="24"/>
        </w:rPr>
      </w:pPr>
      <w:r>
        <w:rPr>
          <w:rFonts w:ascii="ChaparralPro-Light" w:eastAsia="Calibri" w:hAnsi="ChaparralPro-Light" w:cs="ChaparralPro-Light"/>
          <w:sz w:val="24"/>
          <w:szCs w:val="24"/>
        </w:rPr>
        <w:t xml:space="preserve">SSHS </w:t>
      </w:r>
      <w:r w:rsidR="004E18BF">
        <w:rPr>
          <w:rFonts w:ascii="ChaparralPro-Light" w:eastAsia="Calibri" w:hAnsi="ChaparralPro-Light" w:cs="ChaparralPro-Light"/>
          <w:sz w:val="24"/>
          <w:szCs w:val="24"/>
        </w:rPr>
        <w:t xml:space="preserve">employs </w:t>
      </w:r>
      <w:r>
        <w:rPr>
          <w:rFonts w:ascii="ChaparralPro-Light" w:eastAsia="Calibri" w:hAnsi="ChaparralPro-Light" w:cs="ChaparralPro-Light"/>
          <w:sz w:val="24"/>
          <w:szCs w:val="24"/>
        </w:rPr>
        <w:t>a Response to Intervention (</w:t>
      </w:r>
      <w:proofErr w:type="spellStart"/>
      <w:r>
        <w:rPr>
          <w:rFonts w:ascii="ChaparralPro-Light" w:eastAsia="Calibri" w:hAnsi="ChaparralPro-Light" w:cs="ChaparralPro-Light"/>
          <w:sz w:val="24"/>
          <w:szCs w:val="24"/>
        </w:rPr>
        <w:t>RtI</w:t>
      </w:r>
      <w:proofErr w:type="spellEnd"/>
      <w:r>
        <w:rPr>
          <w:rFonts w:ascii="ChaparralPro-Light" w:eastAsia="Calibri" w:hAnsi="ChaparralPro-Light" w:cs="ChaparralPro-Light"/>
          <w:sz w:val="24"/>
          <w:szCs w:val="24"/>
        </w:rPr>
        <w:t>) Framework in the six target schools:</w:t>
      </w:r>
      <w:r w:rsidR="004E18BF">
        <w:rPr>
          <w:rFonts w:ascii="ChaparralPro-Light" w:eastAsia="Calibri" w:hAnsi="ChaparralPro-Light" w:cs="ChaparralPro-Light"/>
          <w:sz w:val="24"/>
          <w:szCs w:val="24"/>
        </w:rPr>
        <w:t xml:space="preserve"> services are tiered, i.e., offering universal (green), selected (yellow) and intensive (red) services as indicated.</w:t>
      </w:r>
    </w:p>
    <w:p w:rsidR="00677B9F" w:rsidRDefault="00450C79" w:rsidP="00450C79">
      <w:pPr>
        <w:pStyle w:val="NoSpacing"/>
      </w:pPr>
      <w:r>
        <w:t xml:space="preserve">                                              </w:t>
      </w:r>
      <w:r w:rsidRPr="00450C79">
        <w:drawing>
          <wp:inline distT="0" distB="0" distL="0" distR="0">
            <wp:extent cx="2143705" cy="1160890"/>
            <wp:effectExtent l="19050" t="0" r="0" b="0"/>
            <wp:docPr id="9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72000" cy="2590800"/>
                      <a:chOff x="3657600" y="-457200"/>
                      <a:chExt cx="4572000" cy="2590800"/>
                    </a:xfrm>
                  </a:grpSpPr>
                  <a:grpSp>
                    <a:nvGrpSpPr>
                      <a:cNvPr id="2" name="Group 1"/>
                      <a:cNvGrpSpPr/>
                    </a:nvGrpSpPr>
                    <a:grpSpPr>
                      <a:xfrm>
                        <a:off x="3657600" y="-457200"/>
                        <a:ext cx="4572000" cy="2590800"/>
                        <a:chOff x="1317383" y="-812713"/>
                        <a:chExt cx="4419600" cy="2881434"/>
                      </a:xfrm>
                    </a:grpSpPr>
                    <a:sp>
                      <a:nvSpPr>
                        <a:cNvPr id="3" name="Trapezoid 2"/>
                        <a:cNvSpPr/>
                      </a:nvSpPr>
                      <a:spPr>
                        <a:xfrm>
                          <a:off x="1317383" y="-1"/>
                          <a:ext cx="1894251" cy="2068722"/>
                        </a:xfrm>
                        <a:prstGeom prst="trapezoid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</a:spPr>
                      <a:style>
                        <a:lnRef idx="3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rgbClr r="0" g="0" b="0"/>
                        </a:fillRef>
                        <a:effect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Trapezoid 4"/>
                        <a:cNvSpPr/>
                      </a:nvSpPr>
                      <a:spPr>
                        <a:xfrm>
                          <a:off x="3842732" y="-812713"/>
                          <a:ext cx="1894251" cy="206872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0" vert="horz" wrap="square" lIns="15240" tIns="15240" rIns="15240" bIns="15240" numCol="1" spcCol="1270" anchor="ctr" anchorCtr="0">
                            <a:no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5334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en-US" sz="1200" kern="1200" dirty="0" smtClean="0"/>
                              <a:t/>
                            </a:r>
                            <a:br>
                              <a:rPr lang="en-US" sz="1200" kern="1200" dirty="0" smtClean="0"/>
                            </a:br>
                            <a:endParaRPr lang="en-US" sz="1200" kern="1200" dirty="0" smtClean="0"/>
                          </a:p>
                          <a:p>
                            <a:pPr lvl="0" algn="ctr" defTabSz="5334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endParaRPr lang="en-US" sz="1200" kern="1200" dirty="0" smtClean="0"/>
                          </a:p>
                          <a:p>
                            <a:pPr lvl="0" algn="ctr" defTabSz="5334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endParaRPr lang="en-US" sz="1200" kern="1200" dirty="0" smtClean="0"/>
                          </a:p>
                          <a:p>
                            <a:pPr lvl="0" algn="ctr" defTabSz="5334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en-US" sz="1200" b="1" kern="1200" dirty="0" smtClean="0">
                                <a:latin typeface="Agency FB" pitchFamily="34" charset="0"/>
                              </a:rPr>
                              <a:t/>
                            </a:r>
                            <a:br>
                              <a:rPr lang="en-US" sz="1200" b="1" kern="1200" dirty="0" smtClean="0">
                                <a:latin typeface="Agency FB" pitchFamily="34" charset="0"/>
                              </a:rPr>
                            </a:br>
                            <a:endParaRPr lang="en-US" sz="1200" b="1" kern="1200" dirty="0">
                              <a:latin typeface="Agency FB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Pr="00450C79">
        <w:drawing>
          <wp:inline distT="0" distB="0" distL="0" distR="0">
            <wp:extent cx="2040338" cy="954157"/>
            <wp:effectExtent l="19050" t="0" r="0" b="0"/>
            <wp:docPr id="11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429000" cy="1828800"/>
                      <a:chOff x="5486400" y="228600"/>
                      <a:chExt cx="3429000" cy="1828800"/>
                    </a:xfrm>
                  </a:grpSpPr>
                  <a:sp>
                    <a:nvSpPr>
                      <a:cNvPr id="16" name="Left Arrow 15"/>
                      <a:cNvSpPr/>
                    </a:nvSpPr>
                    <a:spPr>
                      <a:xfrm>
                        <a:off x="5486400" y="228600"/>
                        <a:ext cx="3429000" cy="1828800"/>
                      </a:xfrm>
                      <a:prstGeom prst="leftArrow">
                        <a:avLst>
                          <a:gd name="adj1" fmla="val 56439"/>
                          <a:gd name="adj2" fmla="val 50000"/>
                        </a:avLst>
                      </a:prstGeom>
                      <a:solidFill>
                        <a:srgbClr val="FF000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2"/>
                          <a:r>
                            <a:rPr lang="en-US" sz="1400" dirty="0" smtClean="0">
                              <a:solidFill>
                                <a:sysClr val="windowText" lastClr="000000"/>
                              </a:solidFill>
                            </a:rPr>
                            <a:t/>
                          </a:r>
                          <a:br>
                            <a:rPr lang="en-US" sz="1400" dirty="0" smtClean="0">
                              <a:solidFill>
                                <a:sysClr val="windowText" lastClr="000000"/>
                              </a:solidFill>
                            </a:rPr>
                          </a:br>
                          <a:endParaRPr lang="en-US" sz="1400" dirty="0" smtClean="0">
                            <a:solidFill>
                              <a:sysClr val="windowText" lastClr="000000"/>
                            </a:solidFill>
                          </a:endParaRPr>
                        </a:p>
                        <a:p>
                          <a:pPr lvl="2">
                            <a:buFont typeface="Arial" pitchFamily="34" charset="0"/>
                            <a:buChar char="•"/>
                          </a:pPr>
                          <a:r>
                            <a:rPr lang="en-US" sz="1200" dirty="0" smtClean="0">
                              <a:solidFill>
                                <a:sysClr val="windowText" lastClr="000000"/>
                              </a:solidFill>
                            </a:rPr>
                            <a:t> </a:t>
                          </a:r>
                          <a:r>
                            <a:rPr lang="en-US" sz="1400" dirty="0" smtClean="0">
                              <a:solidFill>
                                <a:sysClr val="windowText" lastClr="000000"/>
                              </a:solidFill>
                            </a:rPr>
                            <a:t>Child Psychiatrist</a:t>
                          </a:r>
                        </a:p>
                        <a:p>
                          <a:pPr lvl="2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ysClr val="windowText" lastClr="000000"/>
                              </a:solidFill>
                            </a:rPr>
                            <a:t> MSFT, CBT,  CBITS </a:t>
                          </a:r>
                        </a:p>
                        <a:p>
                          <a:pPr lvl="2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ysClr val="windowText" lastClr="000000"/>
                              </a:solidFill>
                            </a:rPr>
                            <a:t> Brief Substance Abuse</a:t>
                          </a:r>
                        </a:p>
                        <a:p>
                          <a:pPr lvl="2"/>
                          <a:r>
                            <a:rPr lang="en-US" sz="1400" dirty="0" smtClean="0">
                              <a:solidFill>
                                <a:sysClr val="windowText" lastClr="000000"/>
                              </a:solidFill>
                            </a:rPr>
                            <a:t>    Intervention Therapy</a:t>
                          </a:r>
                        </a:p>
                        <a:p>
                          <a:pPr lvl="2">
                            <a:buFont typeface="Arial" pitchFamily="34" charset="0"/>
                            <a:buChar char="•"/>
                          </a:pPr>
                          <a:endParaRPr lang="en-US" sz="1200" dirty="0" smtClean="0">
                            <a:solidFill>
                              <a:sysClr val="windowText" lastClr="000000"/>
                            </a:solidFill>
                          </a:endParaRPr>
                        </a:p>
                        <a:p>
                          <a:pPr lvl="1"/>
                          <a:endParaRPr lang="en-US" sz="1400" dirty="0" smtClean="0">
                            <a:solidFill>
                              <a:sysClr val="windowText" lastClr="0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450C79" w:rsidRDefault="004E18BF" w:rsidP="00450C79">
      <w:pPr>
        <w:pStyle w:val="NoSpacing"/>
        <w:tabs>
          <w:tab w:val="left" w:pos="727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1260475</wp:posOffset>
            </wp:positionV>
            <wp:extent cx="3487420" cy="1868170"/>
            <wp:effectExtent l="19050" t="0" r="0" b="0"/>
            <wp:wrapThrough wrapText="bothSides">
              <wp:wrapPolygon edited="0">
                <wp:start x="3894" y="220"/>
                <wp:lineTo x="-118" y="21145"/>
                <wp:lineTo x="21474" y="21145"/>
                <wp:lineTo x="21592" y="21145"/>
                <wp:lineTo x="21356" y="19603"/>
                <wp:lineTo x="21002" y="17841"/>
                <wp:lineTo x="20294" y="14537"/>
                <wp:lineTo x="20294" y="14317"/>
                <wp:lineTo x="19586" y="11013"/>
                <wp:lineTo x="19586" y="10793"/>
                <wp:lineTo x="17580" y="220"/>
                <wp:lineTo x="3894" y="220"/>
              </wp:wrapPolygon>
            </wp:wrapThrough>
            <wp:docPr id="6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38800" cy="2362199"/>
                      <a:chOff x="1828800" y="3886200"/>
                      <a:chExt cx="5638800" cy="2362199"/>
                    </a:xfrm>
                  </a:grpSpPr>
                  <a:sp>
                    <a:nvSpPr>
                      <a:cNvPr id="9" name="Trapezoid 8"/>
                      <a:cNvSpPr/>
                    </a:nvSpPr>
                    <a:spPr>
                      <a:xfrm>
                        <a:off x="1828800" y="3886200"/>
                        <a:ext cx="5638800" cy="2362199"/>
                      </a:xfrm>
                      <a:prstGeom prst="trapezoid">
                        <a:avLst>
                          <a:gd name="adj" fmla="val 45783"/>
                        </a:avLst>
                      </a:prstGeom>
                      <a:solidFill>
                        <a:srgbClr val="92D050"/>
                      </a:solidFill>
                    </a:spPr>
                    <a:style>
                      <a:lnRef idx="3">
                        <a:schemeClr val="lt1">
                          <a:hueOff val="0"/>
                          <a:satOff val="0"/>
                          <a:lumOff val="0"/>
                          <a:alphaOff val="0"/>
                        </a:schemeClr>
                      </a:lnRef>
                      <a:fillRef idx="1">
                        <a:scrgbClr r="0" g="0" b="0"/>
                      </a:fillRef>
                      <a:effectRef idx="1">
                        <a:schemeClr val="accent1">
                          <a:hueOff val="0"/>
                          <a:satOff val="0"/>
                          <a:lumOff val="0"/>
                          <a:alphaOff val="0"/>
                        </a:schemeClr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450C79">
        <w:t xml:space="preserve">                              </w:t>
      </w:r>
      <w:r w:rsidR="00450C79" w:rsidRPr="00450C79">
        <w:drawing>
          <wp:inline distT="0" distB="0" distL="0" distR="0">
            <wp:extent cx="2035534" cy="1264257"/>
            <wp:effectExtent l="19050" t="0" r="2816" b="0"/>
            <wp:docPr id="1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05200" cy="1752600"/>
                      <a:chOff x="2895600" y="2133600"/>
                      <a:chExt cx="3505200" cy="1752600"/>
                    </a:xfrm>
                  </a:grpSpPr>
                  <a:grpSp>
                    <a:nvGrpSpPr>
                      <a:cNvPr id="5" name="Group 4"/>
                      <a:cNvGrpSpPr/>
                    </a:nvGrpSpPr>
                    <a:grpSpPr>
                      <a:xfrm>
                        <a:off x="2895600" y="2133600"/>
                        <a:ext cx="3505200" cy="1752600"/>
                        <a:chOff x="-159803" y="2057395"/>
                        <a:chExt cx="3761528" cy="2039263"/>
                      </a:xfrm>
                    </a:grpSpPr>
                    <a:sp>
                      <a:nvSpPr>
                        <a:cNvPr id="6" name="Trapezoid 5"/>
                        <a:cNvSpPr/>
                      </a:nvSpPr>
                      <a:spPr>
                        <a:xfrm>
                          <a:off x="-159803" y="2057395"/>
                          <a:ext cx="3761528" cy="2039263"/>
                        </a:xfrm>
                        <a:prstGeom prst="trapezoid">
                          <a:avLst>
                            <a:gd name="adj" fmla="val 45783"/>
                          </a:avLst>
                        </a:prstGeom>
                        <a:solidFill>
                          <a:srgbClr val="FFFF00"/>
                        </a:solidFill>
                      </a:spPr>
                      <a:style>
                        <a:lnRef idx="3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rgbClr r="0" g="0" b="0"/>
                        </a:fillRef>
                        <a:effect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Trapezoid 4"/>
                        <a:cNvSpPr/>
                      </a:nvSpPr>
                      <a:spPr>
                        <a:xfrm>
                          <a:off x="576148" y="2057395"/>
                          <a:ext cx="2289626" cy="203926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0" vert="horz" wrap="square" lIns="20320" tIns="20320" rIns="20320" bIns="20320" numCol="1" spcCol="1270" anchor="ctr" anchorCtr="0">
                            <a:no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7112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en-US" sz="1600" b="1" kern="1200" dirty="0" smtClean="0">
                                <a:solidFill>
                                  <a:schemeClr val="tx1"/>
                                </a:solidFill>
                                <a:latin typeface="Arial Narrow" pitchFamily="34" charset="0"/>
                              </a:rPr>
                              <a:t>Selected</a:t>
                            </a:r>
                            <a:br>
                              <a:rPr lang="en-US" sz="1600" b="1" kern="1200" dirty="0" smtClean="0">
                                <a:solidFill>
                                  <a:schemeClr val="tx1"/>
                                </a:solidFill>
                                <a:latin typeface="Arial Narrow" pitchFamily="34" charset="0"/>
                              </a:rPr>
                            </a:br>
                            <a:r>
                              <a:rPr lang="en-US" sz="1600" b="1" kern="1200" dirty="0" smtClean="0">
                                <a:solidFill>
                                  <a:schemeClr val="tx1"/>
                                </a:solidFill>
                                <a:latin typeface="Arial Narrow" pitchFamily="34" charset="0"/>
                              </a:rPr>
                              <a:t>At-Risk Students</a:t>
                            </a:r>
                          </a:p>
                          <a:p>
                            <a:pPr lvl="0" algn="ctr" defTabSz="7112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en-US" sz="1600" b="1" kern="1200" dirty="0" smtClean="0">
                                <a:solidFill>
                                  <a:schemeClr val="tx1"/>
                                </a:solidFill>
                                <a:latin typeface="Arial Narrow" pitchFamily="34" charset="0"/>
                              </a:rPr>
                              <a:t>Classroom Specific </a:t>
                            </a:r>
                          </a:p>
                          <a:p>
                            <a:pPr lvl="0" algn="ctr" defTabSz="7112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en-US" sz="1600" b="1" kern="1200" dirty="0" smtClean="0">
                                <a:solidFill>
                                  <a:schemeClr val="tx1"/>
                                </a:solidFill>
                                <a:latin typeface="Arial Narrow" pitchFamily="34" charset="0"/>
                              </a:rPr>
                              <a:t>&amp; Small Groups</a:t>
                            </a:r>
                            <a:endParaRPr lang="en-US" sz="1600" b="1" kern="1200" dirty="0">
                              <a:solidFill>
                                <a:schemeClr val="tx1"/>
                              </a:solidFill>
                              <a:latin typeface="Arial Narrow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>
        <w:t xml:space="preserve">                </w:t>
      </w:r>
      <w:r w:rsidR="00450C79" w:rsidRPr="00450C79">
        <w:drawing>
          <wp:inline distT="0" distB="0" distL="0" distR="0">
            <wp:extent cx="2183461" cy="1041620"/>
            <wp:effectExtent l="19050" t="0" r="7289" b="0"/>
            <wp:docPr id="14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48000" cy="1447800"/>
                      <a:chOff x="5867400" y="2133600"/>
                      <a:chExt cx="3048000" cy="1447800"/>
                    </a:xfrm>
                  </a:grpSpPr>
                  <a:sp>
                    <a:nvSpPr>
                      <a:cNvPr id="17" name="Left Arrow 16"/>
                      <a:cNvSpPr/>
                    </a:nvSpPr>
                    <a:spPr>
                      <a:xfrm>
                        <a:off x="5867400" y="2133600"/>
                        <a:ext cx="3048000" cy="1447800"/>
                      </a:xfrm>
                      <a:prstGeom prst="leftArrow">
                        <a:avLst>
                          <a:gd name="adj1" fmla="val 71127"/>
                          <a:gd name="adj2" fmla="val 37155"/>
                        </a:avLst>
                      </a:prstGeom>
                      <a:solidFill>
                        <a:srgbClr val="FFFF0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2">
                            <a:buFont typeface="Arial" pitchFamily="34" charset="0"/>
                            <a:buChar char="•"/>
                          </a:pPr>
                          <a:r>
                            <a:rPr lang="en-US" sz="1200" dirty="0" smtClean="0">
                              <a:solidFill>
                                <a:schemeClr val="tx1"/>
                              </a:solidFill>
                            </a:rPr>
                            <a:t> </a:t>
                          </a:r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ART </a:t>
                          </a:r>
                        </a:p>
                        <a:p>
                          <a:pPr lvl="2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ysClr val="windowText" lastClr="000000"/>
                              </a:solidFill>
                            </a:rPr>
                            <a:t> CBT, CBITS </a:t>
                          </a:r>
                          <a:endParaRPr lang="en-US" sz="1400" dirty="0" smtClean="0">
                            <a:solidFill>
                              <a:schemeClr val="tx1"/>
                            </a:solidFill>
                          </a:endParaRPr>
                        </a:p>
                        <a:p>
                          <a:pPr lvl="2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 Check &amp; Connect</a:t>
                          </a:r>
                        </a:p>
                        <a:p>
                          <a:pPr lvl="2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 Parenting Wisely 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450C79">
        <w:tab/>
      </w:r>
    </w:p>
    <w:p w:rsidR="00450C79" w:rsidRPr="00450C79" w:rsidRDefault="004E18BF" w:rsidP="00450C79">
      <w:pPr>
        <w:pStyle w:val="NoSpacing"/>
      </w:pPr>
      <w:r>
        <w:t xml:space="preserve">       </w:t>
      </w:r>
      <w:r w:rsidR="00450C79">
        <w:t xml:space="preserve"> </w:t>
      </w:r>
      <w:r w:rsidRPr="004E18BF">
        <w:drawing>
          <wp:inline distT="0" distB="0" distL="0" distR="0">
            <wp:extent cx="2000581" cy="1367624"/>
            <wp:effectExtent l="19050" t="0" r="0" b="0"/>
            <wp:docPr id="16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19400" cy="1905000"/>
                      <a:chOff x="6096000" y="3962400"/>
                      <a:chExt cx="2819400" cy="1905000"/>
                    </a:xfrm>
                  </a:grpSpPr>
                  <a:sp>
                    <a:nvSpPr>
                      <a:cNvPr id="18" name="Left Arrow 17"/>
                      <a:cNvSpPr/>
                    </a:nvSpPr>
                    <a:spPr>
                      <a:xfrm>
                        <a:off x="6096000" y="3962400"/>
                        <a:ext cx="2819400" cy="1905000"/>
                      </a:xfrm>
                      <a:prstGeom prst="leftArrow">
                        <a:avLst>
                          <a:gd name="adj1" fmla="val 62100"/>
                          <a:gd name="adj2" fmla="val 26821"/>
                        </a:avLst>
                      </a:prstGeom>
                      <a:solidFill>
                        <a:srgbClr val="92D05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1">
                            <a:buFont typeface="Arial" pitchFamily="34" charset="0"/>
                            <a:buChar char="•"/>
                          </a:pPr>
                          <a:endParaRPr lang="en-US" sz="1200" dirty="0" smtClean="0">
                            <a:solidFill>
                              <a:schemeClr val="tx1"/>
                            </a:solidFill>
                          </a:endParaRP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Too Good For Drugs</a:t>
                          </a: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Too Good for Violence</a:t>
                          </a: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 PATHS</a:t>
                          </a: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 Olweus Bully Prevention</a:t>
                          </a: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 PBIS </a:t>
                          </a: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endParaRPr lang="en-US" sz="11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>
        <w:t xml:space="preserve">      </w:t>
      </w:r>
      <w:r w:rsidR="00450C79">
        <w:t xml:space="preserve"> </w:t>
      </w:r>
    </w:p>
    <w:p w:rsidR="003D73FD" w:rsidRDefault="003D73FD" w:rsidP="00450C79">
      <w:pPr>
        <w:pStyle w:val="NoSpacing"/>
      </w:pPr>
    </w:p>
    <w:p w:rsidR="003D73FD" w:rsidRDefault="003D73FD" w:rsidP="00450C79">
      <w:pPr>
        <w:pStyle w:val="NoSpacing"/>
      </w:pPr>
    </w:p>
    <w:p w:rsidR="003D73FD" w:rsidRDefault="003D73FD" w:rsidP="00450C79">
      <w:pPr>
        <w:pStyle w:val="NoSpacing"/>
      </w:pPr>
    </w:p>
    <w:p w:rsidR="003D73FD" w:rsidRDefault="003D73FD" w:rsidP="00450C79">
      <w:pPr>
        <w:pStyle w:val="NoSpacing"/>
      </w:pPr>
    </w:p>
    <w:p w:rsidR="00677B9F" w:rsidRDefault="00677B9F" w:rsidP="00450C79">
      <w:pPr>
        <w:pStyle w:val="NoSpacing"/>
      </w:pPr>
    </w:p>
    <w:p w:rsidR="00450C79" w:rsidRDefault="00450C79" w:rsidP="00450C79">
      <w:pPr>
        <w:pStyle w:val="NoSpacing"/>
      </w:pPr>
    </w:p>
    <w:p w:rsidR="00450C79" w:rsidRDefault="00450C79" w:rsidP="00450C79">
      <w:pPr>
        <w:pStyle w:val="NoSpacing"/>
      </w:pPr>
    </w:p>
    <w:p w:rsidR="006126C9" w:rsidRPr="00E87E47" w:rsidRDefault="006126C9" w:rsidP="00677B9F">
      <w:pPr>
        <w:pStyle w:val="NoSpacing"/>
        <w:rPr>
          <w:b/>
          <w:sz w:val="24"/>
          <w:szCs w:val="24"/>
        </w:rPr>
      </w:pPr>
      <w:r w:rsidRPr="00E87E47">
        <w:rPr>
          <w:b/>
          <w:sz w:val="24"/>
          <w:szCs w:val="24"/>
        </w:rPr>
        <w:t>Positive Behavior Intervention Supports (PBIS)</w:t>
      </w:r>
    </w:p>
    <w:p w:rsidR="006126C9" w:rsidRDefault="006126C9" w:rsidP="00677B9F">
      <w:pPr>
        <w:pStyle w:val="NoSpacing"/>
      </w:pPr>
    </w:p>
    <w:p w:rsidR="006126C9" w:rsidRDefault="006126C9" w:rsidP="00677B9F">
      <w:pPr>
        <w:pStyle w:val="NoSpacing"/>
      </w:pPr>
      <w:r>
        <w:t xml:space="preserve">Chart demonstrates growth and improvement the school climate.  In 2008-09 before SSHS Program </w:t>
      </w:r>
      <w:r w:rsidR="00E87E47">
        <w:t xml:space="preserve">the target schools </w:t>
      </w:r>
      <w:r>
        <w:t xml:space="preserve">climate </w:t>
      </w:r>
      <w:r w:rsidR="00E87E47">
        <w:t>averaged (</w:t>
      </w:r>
      <w:r w:rsidRPr="00E87E47">
        <w:rPr>
          <w:b/>
        </w:rPr>
        <w:t>69.2</w:t>
      </w:r>
      <w:r>
        <w:t>%</w:t>
      </w:r>
      <w:r w:rsidR="00E87E47">
        <w:t>)</w:t>
      </w:r>
      <w:r>
        <w:t>.  In 2009-10, SSHS was first implemented; 2010-11 and 2011-12 represent ongoing improvement</w:t>
      </w:r>
      <w:r w:rsidRPr="006126C9">
        <w:t xml:space="preserve"> </w:t>
      </w:r>
      <w:r>
        <w:t>of the targeted schools</w:t>
      </w:r>
      <w:r w:rsidR="00E87E47">
        <w:t>’</w:t>
      </w:r>
      <w:r>
        <w:t xml:space="preserve"> climate</w:t>
      </w:r>
      <w:r w:rsidR="00E87E47">
        <w:t xml:space="preserve"> (</w:t>
      </w:r>
      <w:r w:rsidR="00E87E47" w:rsidRPr="00E87E47">
        <w:rPr>
          <w:b/>
        </w:rPr>
        <w:t>92.3%</w:t>
      </w:r>
      <w:r w:rsidR="00E87E47">
        <w:t>).</w:t>
      </w:r>
      <w:r>
        <w:t xml:space="preserve">  </w:t>
      </w:r>
    </w:p>
    <w:p w:rsidR="006126C9" w:rsidRDefault="006126C9" w:rsidP="00677B9F">
      <w:pPr>
        <w:pStyle w:val="NoSpacing"/>
      </w:pPr>
    </w:p>
    <w:p w:rsidR="006126C9" w:rsidRDefault="006126C9" w:rsidP="00677B9F">
      <w:pPr>
        <w:pStyle w:val="NoSpacing"/>
      </w:pPr>
      <w:r>
        <w:t xml:space="preserve">                    </w:t>
      </w:r>
      <w:r w:rsidRPr="006126C9">
        <w:drawing>
          <wp:inline distT="0" distB="0" distL="0" distR="0">
            <wp:extent cx="4559328" cy="2997642"/>
            <wp:effectExtent l="19050" t="0" r="12672" b="0"/>
            <wp:docPr id="17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126C9" w:rsidRDefault="006126C9" w:rsidP="00677B9F">
      <w:pPr>
        <w:pStyle w:val="NoSpacing"/>
      </w:pPr>
    </w:p>
    <w:p w:rsidR="006126C9" w:rsidRDefault="006126C9" w:rsidP="00677B9F">
      <w:pPr>
        <w:pStyle w:val="NoSpacing"/>
      </w:pPr>
    </w:p>
    <w:p w:rsidR="006126C9" w:rsidRPr="00E87E47" w:rsidRDefault="00E87E47" w:rsidP="00677B9F">
      <w:pPr>
        <w:pStyle w:val="NoSpacing"/>
        <w:rPr>
          <w:b/>
          <w:sz w:val="24"/>
          <w:szCs w:val="24"/>
        </w:rPr>
      </w:pPr>
      <w:r w:rsidRPr="00E87E47">
        <w:rPr>
          <w:b/>
          <w:sz w:val="24"/>
          <w:szCs w:val="24"/>
        </w:rPr>
        <w:t>SSHS Evidenced Based Practices (EBP) - Behavioral Interventions</w:t>
      </w:r>
    </w:p>
    <w:p w:rsidR="006126C9" w:rsidRDefault="006126C9" w:rsidP="00677B9F">
      <w:pPr>
        <w:pStyle w:val="NoSpacing"/>
      </w:pPr>
    </w:p>
    <w:p w:rsidR="003D73FD" w:rsidRDefault="003D73FD" w:rsidP="00677B9F">
      <w:pPr>
        <w:pStyle w:val="NoSpacing"/>
      </w:pPr>
      <w:r>
        <w:t xml:space="preserve">Students participating in </w:t>
      </w:r>
      <w:r w:rsidRPr="003D73FD">
        <w:rPr>
          <w:b/>
        </w:rPr>
        <w:t>Aggression Replacement Training</w:t>
      </w:r>
      <w:r>
        <w:t xml:space="preserve"> conducted by SSHS Social Workers</w:t>
      </w:r>
    </w:p>
    <w:p w:rsidR="00677B9F" w:rsidRDefault="00677B9F" w:rsidP="00677B9F">
      <w:pPr>
        <w:pStyle w:val="NoSpacing"/>
      </w:pPr>
      <w:r>
        <w:t xml:space="preserve">Student participants evidenced a </w:t>
      </w:r>
      <w:r w:rsidRPr="00E87E47">
        <w:rPr>
          <w:b/>
        </w:rPr>
        <w:t xml:space="preserve">78% </w:t>
      </w:r>
      <w:r>
        <w:t>reduction in aggressive behaviors.</w:t>
      </w:r>
    </w:p>
    <w:p w:rsidR="00677B9F" w:rsidRDefault="00677B9F" w:rsidP="00677B9F">
      <w:pPr>
        <w:pStyle w:val="NoSpacing"/>
      </w:pPr>
    </w:p>
    <w:p w:rsidR="00E87E47" w:rsidRDefault="00677B9F" w:rsidP="003D73FD">
      <w:pPr>
        <w:tabs>
          <w:tab w:val="left" w:pos="383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-63776</wp:posOffset>
            </wp:positionH>
            <wp:positionV relativeFrom="paragraph">
              <wp:posOffset>78988</wp:posOffset>
            </wp:positionV>
            <wp:extent cx="2242433" cy="2097461"/>
            <wp:effectExtent l="95250" t="76200" r="100717" b="55189"/>
            <wp:wrapNone/>
            <wp:docPr id="23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3D73FD">
        <w:tab/>
        <w:t xml:space="preserve">       </w:t>
      </w:r>
      <w:r w:rsidR="003D73FD" w:rsidRPr="003D73FD">
        <w:drawing>
          <wp:inline distT="0" distB="0" distL="0" distR="0">
            <wp:extent cx="2210628" cy="2100001"/>
            <wp:effectExtent l="95250" t="76200" r="94422" b="52649"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7E47" w:rsidRPr="00E87E47" w:rsidRDefault="00E87E47" w:rsidP="00E87E47"/>
    <w:p w:rsidR="00E87E47" w:rsidRPr="00E87E47" w:rsidRDefault="00E87E47" w:rsidP="00E87E47"/>
    <w:p w:rsidR="00E87E47" w:rsidRDefault="00E87E47" w:rsidP="00E87E47"/>
    <w:p w:rsidR="003D73FD" w:rsidRDefault="003D73FD" w:rsidP="00E87E47"/>
    <w:p w:rsidR="00E87E47" w:rsidRPr="00E87E47" w:rsidRDefault="00E87E47" w:rsidP="00E87E47">
      <w:r w:rsidRPr="00E87E47">
        <w:rPr>
          <w:b/>
        </w:rPr>
        <w:lastRenderedPageBreak/>
        <w:t>Mental Health Services</w:t>
      </w:r>
      <w:r>
        <w:t xml:space="preserve"> – collaborating with Community-based services</w:t>
      </w:r>
    </w:p>
    <w:p w:rsidR="003D73FD" w:rsidRDefault="003D73FD" w:rsidP="003D73FD">
      <w:pPr>
        <w:tabs>
          <w:tab w:val="left" w:pos="3832"/>
        </w:tabs>
      </w:pPr>
      <w:r>
        <w:t xml:space="preserve">                                     </w:t>
      </w:r>
      <w:r w:rsidRPr="003D73FD">
        <w:drawing>
          <wp:inline distT="0" distB="0" distL="0" distR="0">
            <wp:extent cx="2324100" cy="2042160"/>
            <wp:effectExtent l="95250" t="76200" r="95250" b="53340"/>
            <wp:docPr id="29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73FD" w:rsidRDefault="003D73FD" w:rsidP="00677B9F">
      <w:pPr>
        <w:pStyle w:val="NoSpacing"/>
      </w:pPr>
    </w:p>
    <w:p w:rsidR="003D73FD" w:rsidRDefault="003D73FD" w:rsidP="00677B9F">
      <w:pPr>
        <w:pStyle w:val="NoSpacing"/>
      </w:pPr>
      <w:r w:rsidRPr="00677B9F">
        <w:rPr>
          <w:b/>
        </w:rPr>
        <w:t xml:space="preserve">Parenting </w:t>
      </w:r>
      <w:proofErr w:type="gramStart"/>
      <w:r w:rsidRPr="00677B9F">
        <w:rPr>
          <w:b/>
        </w:rPr>
        <w:t>Wisely</w:t>
      </w:r>
      <w:r>
        <w:t xml:space="preserve">  this</w:t>
      </w:r>
      <w:proofErr w:type="gramEnd"/>
      <w:r>
        <w:t xml:space="preserve"> intervention was conducted by SSHS Nurses.  NOTE: </w:t>
      </w:r>
      <w:r w:rsidR="00677B9F">
        <w:t xml:space="preserve">a </w:t>
      </w:r>
      <w:r w:rsidR="00677B9F" w:rsidRPr="00E87E47">
        <w:rPr>
          <w:b/>
        </w:rPr>
        <w:t>42%</w:t>
      </w:r>
      <w:r w:rsidR="00677B9F">
        <w:t xml:space="preserve"> increase in attitude and knowledge of positive parenting skills was demonstrated by</w:t>
      </w:r>
      <w:r>
        <w:t xml:space="preserve"> teen participants (mothers and fathers)</w:t>
      </w:r>
      <w:r w:rsidR="00677B9F">
        <w:t>;</w:t>
      </w:r>
      <w:r>
        <w:t xml:space="preserve"> none have had a second child; </w:t>
      </w:r>
      <w:r w:rsidRPr="00677B9F">
        <w:rPr>
          <w:b/>
        </w:rPr>
        <w:t>all 12</w:t>
      </w:r>
      <w:r w:rsidRPr="00677B9F">
        <w:rPr>
          <w:b/>
          <w:vertAlign w:val="superscript"/>
        </w:rPr>
        <w:t>th</w:t>
      </w:r>
      <w:r w:rsidRPr="00677B9F">
        <w:rPr>
          <w:b/>
        </w:rPr>
        <w:t xml:space="preserve"> grade participants graduated</w:t>
      </w:r>
      <w:r>
        <w:t xml:space="preserve">! </w:t>
      </w:r>
    </w:p>
    <w:p w:rsidR="00677B9F" w:rsidRDefault="00677B9F" w:rsidP="00677B9F">
      <w:pPr>
        <w:pStyle w:val="NoSpacing"/>
      </w:pPr>
    </w:p>
    <w:p w:rsidR="003D73FD" w:rsidRDefault="003D73FD" w:rsidP="003D73FD">
      <w:pPr>
        <w:tabs>
          <w:tab w:val="left" w:pos="3832"/>
        </w:tabs>
      </w:pPr>
      <w:r>
        <w:t xml:space="preserve">               </w:t>
      </w:r>
      <w:r w:rsidRPr="003D73FD">
        <w:drawing>
          <wp:inline distT="0" distB="0" distL="0" distR="0">
            <wp:extent cx="4555518" cy="2417197"/>
            <wp:effectExtent l="19050" t="0" r="16482" b="2153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</w:p>
    <w:p w:rsidR="00A762FC" w:rsidRDefault="00A762FC" w:rsidP="003D73FD">
      <w:pPr>
        <w:tabs>
          <w:tab w:val="left" w:pos="3832"/>
        </w:tabs>
      </w:pPr>
      <w:r w:rsidRPr="00A762FC">
        <w:drawing>
          <wp:inline distT="0" distB="0" distL="0" distR="0">
            <wp:extent cx="5434302" cy="2337683"/>
            <wp:effectExtent l="19050" t="0" r="13998" b="5467"/>
            <wp:docPr id="18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62FC" w:rsidRPr="00C578B5" w:rsidRDefault="00A762FC" w:rsidP="003D73FD">
      <w:pPr>
        <w:tabs>
          <w:tab w:val="left" w:pos="3832"/>
        </w:tabs>
        <w:rPr>
          <w:b/>
        </w:rPr>
      </w:pPr>
    </w:p>
    <w:p w:rsidR="00A762FC" w:rsidRPr="00C578B5" w:rsidRDefault="00C578B5" w:rsidP="003D73FD">
      <w:pPr>
        <w:tabs>
          <w:tab w:val="left" w:pos="3832"/>
        </w:tabs>
        <w:rPr>
          <w:b/>
        </w:rPr>
      </w:pPr>
      <w:r w:rsidRPr="00C578B5">
        <w:rPr>
          <w:b/>
        </w:rPr>
        <w:t>Substance Abuse Prevention</w:t>
      </w:r>
    </w:p>
    <w:p w:rsidR="00C578B5" w:rsidRDefault="00C578B5" w:rsidP="003D73FD">
      <w:pPr>
        <w:tabs>
          <w:tab w:val="left" w:pos="3832"/>
        </w:tabs>
      </w:pPr>
      <w:r w:rsidRPr="00C578B5">
        <w:drawing>
          <wp:inline distT="0" distB="0" distL="0" distR="0">
            <wp:extent cx="5928526" cy="2319876"/>
            <wp:effectExtent l="19050" t="0" r="15074" b="4224"/>
            <wp:docPr id="19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62FC" w:rsidRDefault="00A762FC" w:rsidP="003D73FD">
      <w:pPr>
        <w:tabs>
          <w:tab w:val="left" w:pos="3832"/>
        </w:tabs>
      </w:pPr>
    </w:p>
    <w:p w:rsidR="00A762FC" w:rsidRPr="003D73FD" w:rsidRDefault="00C578B5" w:rsidP="003D73FD">
      <w:pPr>
        <w:tabs>
          <w:tab w:val="left" w:pos="3832"/>
        </w:tabs>
      </w:pPr>
      <w:r w:rsidRPr="00C578B5">
        <w:drawing>
          <wp:inline distT="0" distB="0" distL="0" distR="0">
            <wp:extent cx="5888769" cy="2531387"/>
            <wp:effectExtent l="19050" t="0" r="16731" b="2263"/>
            <wp:docPr id="20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A762FC" w:rsidRPr="003D73FD" w:rsidSect="004E18BF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aparral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E7E"/>
    <w:multiLevelType w:val="hybridMultilevel"/>
    <w:tmpl w:val="DD5C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5777"/>
    <w:multiLevelType w:val="hybridMultilevel"/>
    <w:tmpl w:val="3FBC7AA0"/>
    <w:lvl w:ilvl="0" w:tplc="900A6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4747E"/>
    <w:multiLevelType w:val="hybridMultilevel"/>
    <w:tmpl w:val="94D6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D73FD"/>
    <w:rsid w:val="003D73FD"/>
    <w:rsid w:val="00450C79"/>
    <w:rsid w:val="004E18BF"/>
    <w:rsid w:val="006126C9"/>
    <w:rsid w:val="00677B9F"/>
    <w:rsid w:val="009B5D4F"/>
    <w:rsid w:val="00A762FC"/>
    <w:rsid w:val="00C578B5"/>
    <w:rsid w:val="00E8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D73FD"/>
    <w:pPr>
      <w:spacing w:after="0" w:line="240" w:lineRule="auto"/>
    </w:pPr>
  </w:style>
  <w:style w:type="paragraph" w:customStyle="1" w:styleId="HeaderBoldBlack">
    <w:name w:val="Header Bold Black"/>
    <w:basedOn w:val="Normal"/>
    <w:link w:val="HeaderBoldBlackChar"/>
    <w:qFormat/>
    <w:rsid w:val="003D73FD"/>
    <w:pPr>
      <w:autoSpaceDE w:val="0"/>
      <w:autoSpaceDN w:val="0"/>
      <w:adjustRightInd w:val="0"/>
      <w:spacing w:after="0" w:line="300" w:lineRule="auto"/>
      <w:ind w:left="3312"/>
      <w:textAlignment w:val="center"/>
    </w:pPr>
    <w:rPr>
      <w:rFonts w:ascii="Arial" w:eastAsia="Times New Roman" w:hAnsi="Arial" w:cs="Arial"/>
      <w:b/>
      <w:caps/>
      <w:color w:val="000000"/>
      <w:sz w:val="20"/>
      <w:szCs w:val="20"/>
    </w:rPr>
  </w:style>
  <w:style w:type="character" w:customStyle="1" w:styleId="HeaderBoldBlackChar">
    <w:name w:val="Header Bold Black Char"/>
    <w:basedOn w:val="DefaultParagraphFont"/>
    <w:link w:val="HeaderBoldBlack"/>
    <w:rsid w:val="003D73FD"/>
    <w:rPr>
      <w:rFonts w:ascii="Arial" w:eastAsia="Times New Roman" w:hAnsi="Arial" w:cs="Arial"/>
      <w:b/>
      <w:cap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SSHS%20Cumulative%20Data%20-%20MOL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morton\My%20Documents\SSHS%20Cumulative%20Data%20-%20MOL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morton\My%20Documents\SSHS%20Cumulative%20Data%20-%20MOL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morton\Local%20Settings\Temporary%20Internet%20Files\Content.IE5\K0RSNP3W\SSHS%2520Cumulative%2520Data%5b1%5d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morton\My%20Documents\SSHS%20Cumulative%20Data%20-%20MOLLY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rbiggar\Documents\Safe%20Schools%20Healthy%20Students\Year%203%20Data\2011-2012%20PARKS%20Survey\Charts%20for%20baseline%20and%20year%201\charts_for_baseline_and_year_1.xls" TargetMode="External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biggar\Documents\Safe%20Schools%20Healthy%20Students\Year%203%20Data\2011-2012%20PARKS%20Survey\Charts%20for%20baseline%20and%20year%201\charts_for_baseline_and_year_1.xls" TargetMode="External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biggar\Documents\Safe%20Schools%20Healthy%20Students\Year%203%20Data\2011-2012%20PARKS%20Survey\Charts%20for%20baseline%20and%20year%201\charts_for_baseline_and_year_1.xls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31"/>
  <c:chart>
    <c:title>
      <c:tx>
        <c:rich>
          <a:bodyPr/>
          <a:lstStyle/>
          <a:p>
            <a:pPr>
              <a:defRPr/>
            </a:pPr>
            <a:r>
              <a:rPr lang="en-US"/>
              <a:t>SET</a:t>
            </a:r>
            <a:r>
              <a:rPr lang="en-US" baseline="0"/>
              <a:t> Score Improvements Since SSHS Implementation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'SET Scores'!$G$1:$J$1</c:f>
              <c:strCache>
                <c:ptCount val="4"/>
                <c:pt idx="0">
                  <c:v>08-09 SY</c:v>
                </c:pt>
                <c:pt idx="1">
                  <c:v>09-10 SY</c:v>
                </c:pt>
                <c:pt idx="2">
                  <c:v>10-11 SY</c:v>
                </c:pt>
                <c:pt idx="3">
                  <c:v>11-12 SY</c:v>
                </c:pt>
              </c:strCache>
            </c:strRef>
          </c:cat>
          <c:val>
            <c:numRef>
              <c:f>'SET Scores'!$G$2:$J$2</c:f>
              <c:numCache>
                <c:formatCode>General</c:formatCode>
                <c:ptCount val="4"/>
                <c:pt idx="0">
                  <c:v>69.2</c:v>
                </c:pt>
                <c:pt idx="1">
                  <c:v>76</c:v>
                </c:pt>
                <c:pt idx="2">
                  <c:v>80.2</c:v>
                </c:pt>
                <c:pt idx="3">
                  <c:v>92.3</c:v>
                </c:pt>
              </c:numCache>
            </c:numRef>
          </c:val>
        </c:ser>
        <c:gapWidth val="0"/>
        <c:axId val="112631808"/>
        <c:axId val="112654592"/>
      </c:barChart>
      <c:catAx>
        <c:axId val="112631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School Year</a:t>
                </a:r>
              </a:p>
            </c:rich>
          </c:tx>
        </c:title>
        <c:majorTickMark val="none"/>
        <c:tickLblPos val="nextTo"/>
        <c:crossAx val="112654592"/>
        <c:crosses val="autoZero"/>
        <c:auto val="1"/>
        <c:lblAlgn val="ctr"/>
        <c:lblOffset val="100"/>
      </c:catAx>
      <c:valAx>
        <c:axId val="11265459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Average of SSHS Schools SET </a:t>
                </a:r>
                <a:r>
                  <a:rPr lang="en-US" baseline="0"/>
                  <a:t> Scores</a:t>
                </a:r>
                <a:endParaRPr lang="en-US"/>
              </a:p>
            </c:rich>
          </c:tx>
        </c:title>
        <c:numFmt formatCode="General" sourceLinked="1"/>
        <c:tickLblPos val="nextTo"/>
        <c:crossAx val="11263180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2"/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Fight Reduction after ART</a:t>
            </a:r>
          </a:p>
        </c:rich>
      </c:tx>
      <c:layout>
        <c:manualLayout>
          <c:xMode val="edge"/>
          <c:yMode val="edge"/>
          <c:x val="0.15768246360509333"/>
          <c:y val="5.7782842934107119E-2"/>
        </c:manualLayout>
      </c:layout>
    </c:title>
    <c:plotArea>
      <c:layout>
        <c:manualLayout>
          <c:layoutTarget val="inner"/>
          <c:xMode val="edge"/>
          <c:yMode val="edge"/>
          <c:x val="0.15681803361536376"/>
          <c:y val="0.24372759856630852"/>
          <c:w val="0.69421548101284958"/>
          <c:h val="0.582915643609065"/>
        </c:manualLayout>
      </c:layout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ART!$P$1:$Q$1</c:f>
              <c:strCache>
                <c:ptCount val="2"/>
                <c:pt idx="0">
                  <c:v>Fights Before SSHS</c:v>
                </c:pt>
                <c:pt idx="1">
                  <c:v>Fights After SSHS</c:v>
                </c:pt>
              </c:strCache>
            </c:strRef>
          </c:cat>
          <c:val>
            <c:numRef>
              <c:f>ART!$P$2:$Q$2</c:f>
              <c:numCache>
                <c:formatCode>General</c:formatCode>
                <c:ptCount val="2"/>
                <c:pt idx="0">
                  <c:v>196</c:v>
                </c:pt>
                <c:pt idx="1">
                  <c:v>43</c:v>
                </c:pt>
              </c:numCache>
            </c:numRef>
          </c:val>
        </c:ser>
        <c:axId val="118106368"/>
        <c:axId val="118110464"/>
      </c:barChart>
      <c:catAx>
        <c:axId val="1181063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18110464"/>
        <c:crosses val="autoZero"/>
        <c:auto val="1"/>
        <c:lblAlgn val="ctr"/>
        <c:lblOffset val="100"/>
      </c:catAx>
      <c:valAx>
        <c:axId val="1181104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18106368"/>
        <c:crosses val="autoZero"/>
        <c:crossBetween val="between"/>
      </c:valAx>
    </c:plotArea>
    <c:plotVisOnly val="1"/>
    <c:dispBlanksAs val="gap"/>
  </c:chart>
  <c:spPr>
    <a:effectLst>
      <a:glow rad="101600">
        <a:schemeClr val="bg1">
          <a:lumMod val="50000"/>
          <a:alpha val="75000"/>
        </a:schemeClr>
      </a:glow>
    </a:effectLst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0"/>
  <c:chart>
    <c:title>
      <c:tx>
        <c:rich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r>
              <a:rPr lang="en-US" sz="1100">
                <a:latin typeface="Arial" pitchFamily="34" charset="0"/>
                <a:cs typeface="Arial" pitchFamily="34" charset="0"/>
              </a:rPr>
              <a:t>Suspension</a:t>
            </a:r>
            <a:r>
              <a:rPr lang="en-US" sz="1100" baseline="0">
                <a:latin typeface="Arial" pitchFamily="34" charset="0"/>
                <a:cs typeface="Arial" pitchFamily="34" charset="0"/>
              </a:rPr>
              <a:t> Reduction after ART</a:t>
            </a:r>
          </a:p>
        </c:rich>
      </c:tx>
      <c:layout>
        <c:manualLayout>
          <c:xMode val="edge"/>
          <c:yMode val="edge"/>
          <c:x val="0.137920079874742"/>
          <c:y val="2.1755775003262784E-2"/>
        </c:manualLayout>
      </c:layout>
    </c:title>
    <c:plotArea>
      <c:layout>
        <c:manualLayout>
          <c:layoutTarget val="inner"/>
          <c:xMode val="edge"/>
          <c:yMode val="edge"/>
          <c:x val="0.16985439140639075"/>
          <c:y val="0.31400043744531908"/>
          <c:w val="0.75215140595438579"/>
          <c:h val="0.45103338213376593"/>
        </c:manualLayout>
      </c:layout>
      <c:bar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0"/>
                  <c:y val="-1.2458989501312301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2.7777777777777964E-2"/>
                </c:manualLayout>
              </c:layout>
              <c:showVal val="1"/>
            </c:dLbl>
            <c:showVal val="1"/>
          </c:dLbls>
          <c:cat>
            <c:strRef>
              <c:f>ART!$S$1:$T$1</c:f>
              <c:strCache>
                <c:ptCount val="2"/>
                <c:pt idx="0">
                  <c:v>Suspensions Before SSHS</c:v>
                </c:pt>
                <c:pt idx="1">
                  <c:v>Suspensions After SSHS</c:v>
                </c:pt>
              </c:strCache>
            </c:strRef>
          </c:cat>
          <c:val>
            <c:numRef>
              <c:f>ART!$S$2:$T$2</c:f>
              <c:numCache>
                <c:formatCode>General</c:formatCode>
                <c:ptCount val="2"/>
                <c:pt idx="0">
                  <c:v>228</c:v>
                </c:pt>
                <c:pt idx="1">
                  <c:v>52</c:v>
                </c:pt>
              </c:numCache>
            </c:numRef>
          </c:val>
        </c:ser>
        <c:axId val="121214848"/>
        <c:axId val="121216384"/>
      </c:barChart>
      <c:catAx>
        <c:axId val="1212148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1216384"/>
        <c:crosses val="autoZero"/>
        <c:auto val="1"/>
        <c:lblAlgn val="ctr"/>
        <c:lblOffset val="100"/>
      </c:catAx>
      <c:valAx>
        <c:axId val="1212163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1214848"/>
        <c:crosses val="autoZero"/>
        <c:crossBetween val="between"/>
      </c:valAx>
    </c:plotArea>
    <c:plotVisOnly val="1"/>
    <c:dispBlanksAs val="gap"/>
  </c:chart>
  <c:spPr>
    <a:effectLst>
      <a:glow rad="101600">
        <a:schemeClr val="bg1">
          <a:lumMod val="50000"/>
          <a:alpha val="75000"/>
        </a:schemeClr>
      </a:glow>
    </a:effectLst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8"/>
  <c:chart>
    <c:title>
      <c:tx>
        <c:rich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r>
              <a:rPr lang="en-US" sz="1100">
                <a:latin typeface="Arial" pitchFamily="34" charset="0"/>
                <a:cs typeface="Arial" pitchFamily="34" charset="0"/>
              </a:rPr>
              <a:t>Number of Children</a:t>
            </a:r>
            <a:r>
              <a:rPr lang="en-US" sz="1100" baseline="0">
                <a:latin typeface="Arial" pitchFamily="34" charset="0"/>
                <a:cs typeface="Arial" pitchFamily="34" charset="0"/>
              </a:rPr>
              <a:t> Receiving School-Based Mental Health Services </a:t>
            </a:r>
            <a:endParaRPr lang="en-US" sz="110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13051373464310401"/>
          <c:y val="0"/>
        </c:manualLayout>
      </c:layout>
    </c:title>
    <c:plotArea>
      <c:layout>
        <c:manualLayout>
          <c:layoutTarget val="inner"/>
          <c:xMode val="edge"/>
          <c:yMode val="edge"/>
          <c:x val="0.16294444172739503"/>
          <c:y val="0.36527723097112774"/>
          <c:w val="0.66096443063311905"/>
          <c:h val="0.4934268372703437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9.8360655737704944E-2"/>
                  <c:y val="4.9751243781094495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4875621890547303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'MH Services'!$F$9:$G$9</c:f>
              <c:strCache>
                <c:ptCount val="2"/>
                <c:pt idx="0">
                  <c:v>2010-11</c:v>
                </c:pt>
                <c:pt idx="1">
                  <c:v>2011-12</c:v>
                </c:pt>
              </c:strCache>
            </c:strRef>
          </c:cat>
          <c:val>
            <c:numRef>
              <c:f>'MH Services'!$F$10:$G$10</c:f>
              <c:numCache>
                <c:formatCode>General</c:formatCode>
                <c:ptCount val="2"/>
                <c:pt idx="0">
                  <c:v>295</c:v>
                </c:pt>
                <c:pt idx="1">
                  <c:v>413</c:v>
                </c:pt>
              </c:numCache>
            </c:numRef>
          </c:val>
        </c:ser>
        <c:marker val="1"/>
        <c:axId val="112764032"/>
        <c:axId val="112765568"/>
      </c:lineChart>
      <c:catAx>
        <c:axId val="1127640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12765568"/>
        <c:crosses val="autoZero"/>
        <c:auto val="1"/>
        <c:lblAlgn val="ctr"/>
        <c:lblOffset val="100"/>
      </c:catAx>
      <c:valAx>
        <c:axId val="112765568"/>
        <c:scaling>
          <c:orientation val="minMax"/>
          <c:min val="25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12764032"/>
        <c:crosses val="autoZero"/>
        <c:crossBetween val="between"/>
      </c:valAx>
    </c:plotArea>
    <c:plotVisOnly val="1"/>
    <c:dispBlanksAs val="gap"/>
  </c:chart>
  <c:spPr>
    <a:effectLst>
      <a:glow rad="101600">
        <a:schemeClr val="bg1">
          <a:lumMod val="50000"/>
          <a:alpha val="75000"/>
        </a:schemeClr>
      </a:glow>
    </a:effectLst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7"/>
  <c:chart>
    <c:title>
      <c:tx>
        <c:rich>
          <a:bodyPr/>
          <a:lstStyle/>
          <a:p>
            <a:pPr>
              <a:defRPr/>
            </a:pPr>
            <a:r>
              <a:rPr lang="en-US"/>
              <a:t>Average Parenting Knowledge</a:t>
            </a:r>
            <a:r>
              <a:rPr lang="en-US" baseline="0"/>
              <a:t> Test Score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1600"/>
                </a:pPr>
                <a:endParaRPr lang="en-US"/>
              </a:p>
            </c:txPr>
            <c:dLblPos val="inEnd"/>
            <c:showVal val="1"/>
          </c:dLbls>
          <c:cat>
            <c:strRef>
              <c:f>Nurse!$N$1:$O$1</c:f>
              <c:strCache>
                <c:ptCount val="2"/>
                <c:pt idx="0">
                  <c:v>Pretest </c:v>
                </c:pt>
                <c:pt idx="1">
                  <c:v>Posttest </c:v>
                </c:pt>
              </c:strCache>
            </c:strRef>
          </c:cat>
          <c:val>
            <c:numRef>
              <c:f>Nurse!$N$2:$O$2</c:f>
              <c:numCache>
                <c:formatCode>General</c:formatCode>
                <c:ptCount val="2"/>
                <c:pt idx="0">
                  <c:v>39.370000000000005</c:v>
                </c:pt>
                <c:pt idx="1">
                  <c:v>81.11999999999999</c:v>
                </c:pt>
              </c:numCache>
            </c:numRef>
          </c:val>
        </c:ser>
        <c:gapWidth val="75"/>
        <c:overlap val="40"/>
        <c:axId val="112793856"/>
        <c:axId val="112820224"/>
      </c:barChart>
      <c:catAx>
        <c:axId val="112793856"/>
        <c:scaling>
          <c:orientation val="minMax"/>
        </c:scaling>
        <c:axPos val="b"/>
        <c:majorTickMark val="none"/>
        <c:tickLblPos val="nextTo"/>
        <c:crossAx val="112820224"/>
        <c:crosses val="autoZero"/>
        <c:auto val="1"/>
        <c:lblAlgn val="ctr"/>
        <c:lblOffset val="100"/>
      </c:catAx>
      <c:valAx>
        <c:axId val="1128202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2793856"/>
        <c:crosses val="autoZero"/>
        <c:crossBetween val="between"/>
      </c:valAx>
    </c:plotArea>
    <c:plotVisOnly val="1"/>
    <c:dispBlanksAs val="gap"/>
  </c:chart>
  <c:spPr>
    <a:ln w="15875">
      <a:solidFill>
        <a:srgbClr val="C00000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400" dirty="0"/>
              <a:t>% That Missed</a:t>
            </a:r>
            <a:r>
              <a:rPr lang="en-US" sz="1400" baseline="0" dirty="0"/>
              <a:t> at Least One Day </a:t>
            </a:r>
            <a:r>
              <a:rPr lang="en-US" sz="1400" baseline="0" dirty="0" smtClean="0"/>
              <a:t>because </a:t>
            </a:r>
            <a:r>
              <a:rPr lang="en-US" sz="1400" baseline="0" dirty="0"/>
              <a:t>Felt Unsafe at School</a:t>
            </a:r>
            <a:endParaRPr lang="en-US" sz="1400" dirty="0"/>
          </a:p>
        </c:rich>
      </c:tx>
      <c:layout>
        <c:manualLayout>
          <c:xMode val="edge"/>
          <c:yMode val="edge"/>
          <c:x val="0.13054155730533684"/>
          <c:y val="1.8518518518518639E-2"/>
        </c:manualLayout>
      </c:layout>
    </c:title>
    <c:plotArea>
      <c:layout>
        <c:manualLayout>
          <c:layoutTarget val="inner"/>
          <c:xMode val="edge"/>
          <c:yMode val="edge"/>
          <c:x val="0.11080994683356887"/>
          <c:y val="0.2226968167440608"/>
          <c:w val="0.6589733738102016"/>
          <c:h val="0.66132327209099373"/>
        </c:manualLayout>
      </c:layout>
      <c:barChart>
        <c:barDir val="col"/>
        <c:grouping val="clustered"/>
        <c:ser>
          <c:idx val="0"/>
          <c:order val="0"/>
          <c:tx>
            <c:strRef>
              <c:f>'Safety 4th '!$B$127</c:f>
              <c:strCache>
                <c:ptCount val="1"/>
                <c:pt idx="0">
                  <c:v>Baseline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1.3888888888889018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aseline="0"/>
                </a:pPr>
                <a:endParaRPr lang="en-US"/>
              </a:p>
            </c:txPr>
            <c:showVal val="1"/>
          </c:dLbls>
          <c:cat>
            <c:strRef>
              <c:f>'Safety 4th '!$C$126:$D$126</c:f>
              <c:strCache>
                <c:ptCount val="2"/>
                <c:pt idx="0">
                  <c:v>6th All</c:v>
                </c:pt>
                <c:pt idx="1">
                  <c:v>9th All</c:v>
                </c:pt>
              </c:strCache>
            </c:strRef>
          </c:cat>
          <c:val>
            <c:numRef>
              <c:f>'Safety 4th '!$C$127:$D$127</c:f>
              <c:numCache>
                <c:formatCode>0.0%</c:formatCode>
                <c:ptCount val="2"/>
                <c:pt idx="0">
                  <c:v>0.41600000000000031</c:v>
                </c:pt>
                <c:pt idx="1">
                  <c:v>0.46700000000000008</c:v>
                </c:pt>
              </c:numCache>
            </c:numRef>
          </c:val>
        </c:ser>
        <c:ser>
          <c:idx val="1"/>
          <c:order val="1"/>
          <c:tx>
            <c:strRef>
              <c:f>'Safety 4th '!$B$128</c:f>
              <c:strCache>
                <c:ptCount val="1"/>
                <c:pt idx="0">
                  <c:v>Year 1</c:v>
                </c:pt>
              </c:strCache>
            </c:strRef>
          </c:tx>
          <c:dLbls>
            <c:txPr>
              <a:bodyPr/>
              <a:lstStyle/>
              <a:p>
                <a:pPr>
                  <a:defRPr sz="900" baseline="0"/>
                </a:pPr>
                <a:endParaRPr lang="en-US"/>
              </a:p>
            </c:txPr>
            <c:showVal val="1"/>
          </c:dLbls>
          <c:cat>
            <c:strRef>
              <c:f>'Safety 4th '!$C$126:$D$126</c:f>
              <c:strCache>
                <c:ptCount val="2"/>
                <c:pt idx="0">
                  <c:v>6th All</c:v>
                </c:pt>
                <c:pt idx="1">
                  <c:v>9th All</c:v>
                </c:pt>
              </c:strCache>
            </c:strRef>
          </c:cat>
          <c:val>
            <c:numRef>
              <c:f>'Safety 4th '!$C$128:$D$128</c:f>
              <c:numCache>
                <c:formatCode>0.0%</c:formatCode>
                <c:ptCount val="2"/>
                <c:pt idx="0">
                  <c:v>0.23600000000000004</c:v>
                </c:pt>
                <c:pt idx="1">
                  <c:v>0.57600000000000062</c:v>
                </c:pt>
              </c:numCache>
            </c:numRef>
          </c:val>
        </c:ser>
        <c:ser>
          <c:idx val="2"/>
          <c:order val="2"/>
          <c:tx>
            <c:strRef>
              <c:f>'Safety 4th '!$B$129</c:f>
              <c:strCache>
                <c:ptCount val="1"/>
                <c:pt idx="0">
                  <c:v>Target % Year 1</c:v>
                </c:pt>
              </c:strCache>
            </c:strRef>
          </c:tx>
          <c:spPr>
            <a:solidFill>
              <a:srgbClr val="FFFF00"/>
            </a:solidFill>
          </c:spPr>
          <c:dLbls>
            <c:txPr>
              <a:bodyPr/>
              <a:lstStyle/>
              <a:p>
                <a:pPr>
                  <a:defRPr sz="900" baseline="0"/>
                </a:pPr>
                <a:endParaRPr lang="en-US"/>
              </a:p>
            </c:txPr>
            <c:showVal val="1"/>
          </c:dLbls>
          <c:cat>
            <c:strRef>
              <c:f>'Safety 4th '!$C$126:$D$126</c:f>
              <c:strCache>
                <c:ptCount val="2"/>
                <c:pt idx="0">
                  <c:v>6th All</c:v>
                </c:pt>
                <c:pt idx="1">
                  <c:v>9th All</c:v>
                </c:pt>
              </c:strCache>
            </c:strRef>
          </c:cat>
          <c:val>
            <c:numRef>
              <c:f>'Safety 4th '!$C$129:$D$129</c:f>
              <c:numCache>
                <c:formatCode>0.0%</c:formatCode>
                <c:ptCount val="2"/>
                <c:pt idx="0">
                  <c:v>0.3750000000000015</c:v>
                </c:pt>
                <c:pt idx="1">
                  <c:v>0.42100000000000032</c:v>
                </c:pt>
              </c:numCache>
            </c:numRef>
          </c:val>
        </c:ser>
        <c:axId val="68475520"/>
        <c:axId val="109564288"/>
      </c:barChart>
      <c:catAx>
        <c:axId val="68475520"/>
        <c:scaling>
          <c:orientation val="minMax"/>
        </c:scaling>
        <c:axPos val="b"/>
        <c:tickLblPos val="nextTo"/>
        <c:crossAx val="109564288"/>
        <c:crosses val="autoZero"/>
        <c:auto val="1"/>
        <c:lblAlgn val="ctr"/>
        <c:lblOffset val="100"/>
      </c:catAx>
      <c:valAx>
        <c:axId val="109564288"/>
        <c:scaling>
          <c:orientation val="minMax"/>
        </c:scaling>
        <c:axPos val="l"/>
        <c:majorGridlines/>
        <c:numFmt formatCode="0%" sourceLinked="0"/>
        <c:tickLblPos val="nextTo"/>
        <c:crossAx val="68475520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spPr>
        <a:ln>
          <a:solidFill>
            <a:sysClr val="windowText" lastClr="000000"/>
          </a:solidFill>
        </a:ln>
      </c:spPr>
    </c:legend>
    <c:plotVisOnly val="1"/>
  </c:chart>
  <c:spPr>
    <a:ln>
      <a:solidFill>
        <a:schemeClr val="tx1"/>
      </a:solidFill>
    </a:ln>
  </c:spPr>
  <c:externalData r:id="rId2"/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30 Day Alcohol Use</a:t>
            </a:r>
          </a:p>
        </c:rich>
      </c:tx>
      <c:layout>
        <c:manualLayout>
          <c:xMode val="edge"/>
          <c:yMode val="edge"/>
          <c:x val="0.24474501007141702"/>
          <c:y val="2.0833333333333412E-2"/>
        </c:manualLayout>
      </c:layout>
    </c:title>
    <c:plotArea>
      <c:layout>
        <c:manualLayout>
          <c:layoutTarget val="inner"/>
          <c:xMode val="edge"/>
          <c:yMode val="edge"/>
          <c:x val="9.1849518810148481E-2"/>
          <c:y val="0.13936351706036745"/>
          <c:w val="0.69797930781908468"/>
          <c:h val="0.74465660542432555"/>
        </c:manualLayout>
      </c:layout>
      <c:barChart>
        <c:barDir val="col"/>
        <c:grouping val="clustered"/>
        <c:ser>
          <c:idx val="0"/>
          <c:order val="0"/>
          <c:tx>
            <c:strRef>
              <c:f>'30 day use'!$C$397</c:f>
              <c:strCache>
                <c:ptCount val="1"/>
                <c:pt idx="0">
                  <c:v>Baseline</c:v>
                </c:pt>
              </c:strCache>
            </c:strRef>
          </c:tx>
          <c:dLbls>
            <c:txPr>
              <a:bodyPr/>
              <a:lstStyle/>
              <a:p>
                <a:pPr>
                  <a:defRPr sz="950" baseline="0"/>
                </a:pPr>
                <a:endParaRPr lang="en-US"/>
              </a:p>
            </c:txPr>
            <c:showVal val="1"/>
          </c:dLbls>
          <c:cat>
            <c:strRef>
              <c:f>'30 day use'!$D$396:$E$396</c:f>
              <c:strCache>
                <c:ptCount val="2"/>
                <c:pt idx="0">
                  <c:v>6th GPRA</c:v>
                </c:pt>
                <c:pt idx="1">
                  <c:v>9th GPRA</c:v>
                </c:pt>
              </c:strCache>
            </c:strRef>
          </c:cat>
          <c:val>
            <c:numRef>
              <c:f>'30 day use'!$D$397:$E$397</c:f>
              <c:numCache>
                <c:formatCode>0.0%</c:formatCode>
                <c:ptCount val="2"/>
                <c:pt idx="0">
                  <c:v>0.13800000000000001</c:v>
                </c:pt>
                <c:pt idx="1">
                  <c:v>0.14800000000000021</c:v>
                </c:pt>
              </c:numCache>
            </c:numRef>
          </c:val>
        </c:ser>
        <c:ser>
          <c:idx val="1"/>
          <c:order val="1"/>
          <c:tx>
            <c:strRef>
              <c:f>'30 day use'!$C$398</c:f>
              <c:strCache>
                <c:ptCount val="1"/>
                <c:pt idx="0">
                  <c:v>Year 1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950" baseline="0"/>
                </a:pPr>
                <a:endParaRPr lang="en-US"/>
              </a:p>
            </c:txPr>
            <c:showVal val="1"/>
          </c:dLbls>
          <c:cat>
            <c:strRef>
              <c:f>'30 day use'!$D$396:$E$396</c:f>
              <c:strCache>
                <c:ptCount val="2"/>
                <c:pt idx="0">
                  <c:v>6th GPRA</c:v>
                </c:pt>
                <c:pt idx="1">
                  <c:v>9th GPRA</c:v>
                </c:pt>
              </c:strCache>
            </c:strRef>
          </c:cat>
          <c:val>
            <c:numRef>
              <c:f>'30 day use'!$D$398:$E$398</c:f>
              <c:numCache>
                <c:formatCode>0.0%</c:formatCode>
                <c:ptCount val="2"/>
                <c:pt idx="0">
                  <c:v>8.8000000000000245E-2</c:v>
                </c:pt>
                <c:pt idx="1">
                  <c:v>0.251</c:v>
                </c:pt>
              </c:numCache>
            </c:numRef>
          </c:val>
        </c:ser>
        <c:ser>
          <c:idx val="2"/>
          <c:order val="2"/>
          <c:tx>
            <c:strRef>
              <c:f>'30 day use'!$C$399</c:f>
              <c:strCache>
                <c:ptCount val="1"/>
                <c:pt idx="0">
                  <c:v>Target % Year 1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1"/>
              <c:layout>
                <c:manualLayout>
                  <c:x val="1.9444444444444445E-2"/>
                  <c:y val="-1.3888888888889015E-2"/>
                </c:manualLayout>
              </c:layout>
              <c:showVal val="1"/>
            </c:dLbl>
            <c:txPr>
              <a:bodyPr/>
              <a:lstStyle/>
              <a:p>
                <a:pPr>
                  <a:defRPr sz="950" baseline="0"/>
                </a:pPr>
                <a:endParaRPr lang="en-US"/>
              </a:p>
            </c:txPr>
            <c:showVal val="1"/>
          </c:dLbls>
          <c:cat>
            <c:strRef>
              <c:f>'30 day use'!$D$396:$E$396</c:f>
              <c:strCache>
                <c:ptCount val="2"/>
                <c:pt idx="0">
                  <c:v>6th GPRA</c:v>
                </c:pt>
                <c:pt idx="1">
                  <c:v>9th GPRA</c:v>
                </c:pt>
              </c:strCache>
            </c:strRef>
          </c:cat>
          <c:val>
            <c:numRef>
              <c:f>'30 day use'!$D$399:$E$399</c:f>
              <c:numCache>
                <c:formatCode>0.0%</c:formatCode>
                <c:ptCount val="2"/>
                <c:pt idx="0">
                  <c:v>0.125</c:v>
                </c:pt>
                <c:pt idx="1">
                  <c:v>0.13300000000000001</c:v>
                </c:pt>
              </c:numCache>
            </c:numRef>
          </c:val>
        </c:ser>
        <c:axId val="112941696"/>
        <c:axId val="112968064"/>
      </c:barChart>
      <c:catAx>
        <c:axId val="112941696"/>
        <c:scaling>
          <c:orientation val="minMax"/>
        </c:scaling>
        <c:axPos val="b"/>
        <c:tickLblPos val="nextTo"/>
        <c:crossAx val="112968064"/>
        <c:crosses val="autoZero"/>
        <c:auto val="1"/>
        <c:lblAlgn val="ctr"/>
        <c:lblOffset val="100"/>
      </c:catAx>
      <c:valAx>
        <c:axId val="112968064"/>
        <c:scaling>
          <c:orientation val="minMax"/>
        </c:scaling>
        <c:axPos val="l"/>
        <c:majorGridlines/>
        <c:numFmt formatCode="0%" sourceLinked="0"/>
        <c:tickLblPos val="nextTo"/>
        <c:crossAx val="112941696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r"/>
      <c:spPr>
        <a:ln>
          <a:solidFill>
            <a:sysClr val="windowText" lastClr="000000"/>
          </a:solidFill>
        </a:ln>
      </c:spPr>
    </c:legend>
    <c:plotVisOnly val="1"/>
  </c:chart>
  <c:spPr>
    <a:ln>
      <a:solidFill>
        <a:prstClr val="black"/>
      </a:solidFill>
    </a:ln>
  </c:sp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30 Day Marijuana Use</a:t>
            </a:r>
          </a:p>
        </c:rich>
      </c:tx>
      <c:layout>
        <c:manualLayout>
          <c:xMode val="edge"/>
          <c:yMode val="edge"/>
          <c:x val="0.21178403963549669"/>
          <c:y val="2.0833333333333412E-2"/>
        </c:manualLayout>
      </c:layout>
    </c:title>
    <c:plotArea>
      <c:layout>
        <c:manualLayout>
          <c:layoutTarget val="inner"/>
          <c:xMode val="edge"/>
          <c:yMode val="edge"/>
          <c:x val="9.1849518810148481E-2"/>
          <c:y val="0.14399314668999869"/>
          <c:w val="0.67651974905575829"/>
          <c:h val="0.74002697579469234"/>
        </c:manualLayout>
      </c:layout>
      <c:barChart>
        <c:barDir val="col"/>
        <c:grouping val="clustered"/>
        <c:ser>
          <c:idx val="0"/>
          <c:order val="0"/>
          <c:tx>
            <c:strRef>
              <c:f>'30 day use'!$B$373</c:f>
              <c:strCache>
                <c:ptCount val="1"/>
                <c:pt idx="0">
                  <c:v>Baseline</c:v>
                </c:pt>
              </c:strCache>
            </c:strRef>
          </c:tx>
          <c:spPr>
            <a:solidFill>
              <a:srgbClr val="00B0F0"/>
            </a:solidFill>
          </c:spPr>
          <c:dLbls>
            <c:txPr>
              <a:bodyPr/>
              <a:lstStyle/>
              <a:p>
                <a:pPr>
                  <a:defRPr sz="950" baseline="0"/>
                </a:pPr>
                <a:endParaRPr lang="en-US"/>
              </a:p>
            </c:txPr>
            <c:showVal val="1"/>
          </c:dLbls>
          <c:cat>
            <c:strRef>
              <c:f>'30 day use'!$C$372:$D$372</c:f>
              <c:strCache>
                <c:ptCount val="2"/>
                <c:pt idx="0">
                  <c:v>6th GPRA</c:v>
                </c:pt>
                <c:pt idx="1">
                  <c:v>9th GPRA</c:v>
                </c:pt>
              </c:strCache>
            </c:strRef>
          </c:cat>
          <c:val>
            <c:numRef>
              <c:f>'30 day use'!$C$373:$D$373</c:f>
              <c:numCache>
                <c:formatCode>0.0%</c:formatCode>
                <c:ptCount val="2"/>
                <c:pt idx="0">
                  <c:v>0.05</c:v>
                </c:pt>
                <c:pt idx="1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'30 day use'!$B$374</c:f>
              <c:strCache>
                <c:ptCount val="1"/>
                <c:pt idx="0">
                  <c:v>Year 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</c:spPr>
          <c:dLbls>
            <c:txPr>
              <a:bodyPr/>
              <a:lstStyle/>
              <a:p>
                <a:pPr>
                  <a:defRPr sz="950" baseline="0"/>
                </a:pPr>
                <a:endParaRPr lang="en-US"/>
              </a:p>
            </c:txPr>
            <c:showVal val="1"/>
          </c:dLbls>
          <c:cat>
            <c:strRef>
              <c:f>'30 day use'!$C$372:$D$372</c:f>
              <c:strCache>
                <c:ptCount val="2"/>
                <c:pt idx="0">
                  <c:v>6th GPRA</c:v>
                </c:pt>
                <c:pt idx="1">
                  <c:v>9th GPRA</c:v>
                </c:pt>
              </c:strCache>
            </c:strRef>
          </c:cat>
          <c:val>
            <c:numRef>
              <c:f>'30 day use'!$C$374:$D$374</c:f>
              <c:numCache>
                <c:formatCode>0.0%</c:formatCode>
                <c:ptCount val="2"/>
                <c:pt idx="0">
                  <c:v>4.3999999999999997E-2</c:v>
                </c:pt>
                <c:pt idx="1">
                  <c:v>0.255</c:v>
                </c:pt>
              </c:numCache>
            </c:numRef>
          </c:val>
        </c:ser>
        <c:ser>
          <c:idx val="2"/>
          <c:order val="2"/>
          <c:tx>
            <c:strRef>
              <c:f>'30 day use'!$B$375</c:f>
              <c:strCache>
                <c:ptCount val="1"/>
                <c:pt idx="0">
                  <c:v>Target % Year 1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1.3888888888889025E-2"/>
                  <c:y val="-8.4875562720136661E-17"/>
                </c:manualLayout>
              </c:layout>
              <c:showVal val="1"/>
            </c:dLbl>
            <c:txPr>
              <a:bodyPr/>
              <a:lstStyle/>
              <a:p>
                <a:pPr>
                  <a:defRPr sz="950" baseline="0"/>
                </a:pPr>
                <a:endParaRPr lang="en-US"/>
              </a:p>
            </c:txPr>
            <c:showVal val="1"/>
          </c:dLbls>
          <c:cat>
            <c:strRef>
              <c:f>'30 day use'!$C$372:$D$372</c:f>
              <c:strCache>
                <c:ptCount val="2"/>
                <c:pt idx="0">
                  <c:v>6th GPRA</c:v>
                </c:pt>
                <c:pt idx="1">
                  <c:v>9th GPRA</c:v>
                </c:pt>
              </c:strCache>
            </c:strRef>
          </c:cat>
          <c:val>
            <c:numRef>
              <c:f>'30 day use'!$C$375:$D$375</c:f>
              <c:numCache>
                <c:formatCode>0.0%</c:formatCode>
                <c:ptCount val="2"/>
                <c:pt idx="0">
                  <c:v>0.05</c:v>
                </c:pt>
                <c:pt idx="1">
                  <c:v>0.14500000000000021</c:v>
                </c:pt>
              </c:numCache>
            </c:numRef>
          </c:val>
        </c:ser>
        <c:axId val="113269376"/>
        <c:axId val="113287552"/>
      </c:barChart>
      <c:catAx>
        <c:axId val="113269376"/>
        <c:scaling>
          <c:orientation val="minMax"/>
        </c:scaling>
        <c:axPos val="b"/>
        <c:tickLblPos val="nextTo"/>
        <c:crossAx val="113287552"/>
        <c:crosses val="autoZero"/>
        <c:auto val="1"/>
        <c:lblAlgn val="ctr"/>
        <c:lblOffset val="100"/>
      </c:catAx>
      <c:valAx>
        <c:axId val="113287552"/>
        <c:scaling>
          <c:orientation val="minMax"/>
        </c:scaling>
        <c:axPos val="l"/>
        <c:majorGridlines/>
        <c:numFmt formatCode="0%" sourceLinked="0"/>
        <c:tickLblPos val="nextTo"/>
        <c:crossAx val="113269376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r"/>
      <c:spPr>
        <a:ln>
          <a:solidFill>
            <a:sysClr val="windowText" lastClr="000000"/>
          </a:solidFill>
        </a:ln>
      </c:spPr>
    </c:legend>
    <c:plotVisOnly val="1"/>
  </c:chart>
  <c:spPr>
    <a:ln>
      <a:solidFill>
        <a:prstClr val="black"/>
      </a:solidFill>
    </a:ln>
  </c:spPr>
  <c:externalData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0.875</cdr:x>
      <cdr:y>0.61667</cdr:y>
    </cdr:from>
    <cdr:to>
      <cdr:x>1</cdr:x>
      <cdr:y>0.81667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086600" y="28194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 dirty="0"/>
        </a:p>
      </cdr:txBody>
    </cdr:sp>
  </cdr:relSizeAnchor>
  <cdr:relSizeAnchor xmlns:cdr="http://schemas.openxmlformats.org/drawingml/2006/chartDrawing">
    <cdr:from>
      <cdr:x>0.875</cdr:x>
      <cdr:y>0.55</cdr:y>
    </cdr:from>
    <cdr:to>
      <cdr:x>1</cdr:x>
      <cdr:y>0.63333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400800" y="2514600"/>
          <a:ext cx="91440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 dirty="0"/>
        </a:p>
      </cdr:txBody>
    </cdr:sp>
  </cdr:relSizeAnchor>
  <cdr:relSizeAnchor xmlns:cdr="http://schemas.openxmlformats.org/drawingml/2006/chartDrawing">
    <cdr:from>
      <cdr:x>0.875</cdr:x>
      <cdr:y>0.61667</cdr:y>
    </cdr:from>
    <cdr:to>
      <cdr:x>1</cdr:x>
      <cdr:y>0.81667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6781800" y="28194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 dirty="0"/>
        </a:p>
      </cdr:txBody>
    </cdr:sp>
  </cdr:relSizeAnchor>
</c:userShapes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_rels/themeOverride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_rels/themeOverride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Concourse">
    <a:dk1>
      <a:sysClr val="windowText" lastClr="000000"/>
    </a:dk1>
    <a:lt1>
      <a:sysClr val="window" lastClr="FFFFFF"/>
    </a:lt1>
    <a:dk2>
      <a:srgbClr val="464646"/>
    </a:dk2>
    <a:lt2>
      <a:srgbClr val="DEF5FA"/>
    </a:lt2>
    <a:accent1>
      <a:srgbClr val="2DA2BF"/>
    </a:accent1>
    <a:accent2>
      <a:srgbClr val="DA1F28"/>
    </a:accent2>
    <a:accent3>
      <a:srgbClr val="EB641B"/>
    </a:accent3>
    <a:accent4>
      <a:srgbClr val="39639D"/>
    </a:accent4>
    <a:accent5>
      <a:srgbClr val="474B78"/>
    </a:accent5>
    <a:accent6>
      <a:srgbClr val="7D3C4A"/>
    </a:accent6>
    <a:hlink>
      <a:srgbClr val="FF8119"/>
    </a:hlink>
    <a:folHlink>
      <a:srgbClr val="44B9E8"/>
    </a:folHlink>
  </a:clrScheme>
  <a:fontScheme name="Concourse">
    <a:majorFont>
      <a:latin typeface="Lucida Sans Unicode"/>
      <a:ea typeface=""/>
      <a:cs typeface=""/>
      <a:font script="Jpan" typeface="ＭＳ Ｐゴシック"/>
      <a:font script="Hang" typeface="맑은 고딕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Uigh" typeface="Microsoft Uighur"/>
    </a:majorFont>
    <a:minorFont>
      <a:latin typeface="Lucida Sans Unicode"/>
      <a:ea typeface=""/>
      <a:cs typeface=""/>
      <a:font script="Jpan" typeface="ＭＳ Ｐゴシック"/>
      <a:font script="Hang" typeface="맑은 고딕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Uigh" typeface="Microsoft Uighur"/>
    </a:minorFont>
  </a:fontScheme>
  <a:fmtScheme name="Concourse">
    <a:fillStyleLst>
      <a:solidFill>
        <a:schemeClr val="phClr"/>
      </a:solidFill>
      <a:gradFill rotWithShape="1">
        <a:gsLst>
          <a:gs pos="0">
            <a:schemeClr val="phClr">
              <a:tint val="62000"/>
              <a:satMod val="180000"/>
            </a:schemeClr>
          </a:gs>
          <a:gs pos="65000">
            <a:schemeClr val="phClr">
              <a:tint val="32000"/>
              <a:satMod val="250000"/>
            </a:schemeClr>
          </a:gs>
          <a:gs pos="100000">
            <a:schemeClr val="phClr">
              <a:tint val="23000"/>
              <a:satMod val="300000"/>
            </a:schemeClr>
          </a:gs>
        </a:gsLst>
        <a:lin ang="16200000" scaled="0"/>
      </a:gradFill>
      <a:gradFill rotWithShape="1">
        <a:gsLst>
          <a:gs pos="0">
            <a:schemeClr val="phClr">
              <a:shade val="15000"/>
              <a:satMod val="180000"/>
            </a:schemeClr>
          </a:gs>
          <a:gs pos="50000">
            <a:schemeClr val="phClr">
              <a:shade val="45000"/>
              <a:satMod val="170000"/>
            </a:schemeClr>
          </a:gs>
          <a:gs pos="70000">
            <a:schemeClr val="phClr">
              <a:tint val="99000"/>
              <a:shade val="65000"/>
              <a:satMod val="155000"/>
            </a:schemeClr>
          </a:gs>
          <a:gs pos="100000">
            <a:schemeClr val="phClr">
              <a:tint val="95500"/>
              <a:shade val="100000"/>
              <a:satMod val="15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55000" cap="flat" cmpd="thickThin" algn="ctr">
        <a:solidFill>
          <a:schemeClr val="phClr"/>
        </a:solidFill>
        <a:prstDash val="solid"/>
      </a:ln>
      <a:ln w="63500" cap="flat" cmpd="thickThin" algn="ctr">
        <a:solidFill>
          <a:schemeClr val="phClr"/>
        </a:solidFill>
        <a:prstDash val="solid"/>
      </a:ln>
    </a:lnStyleLst>
    <a:effectStyleLst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63500" dist="381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glow" dir="t">
            <a:rot lat="0" lon="0" rev="6360000"/>
          </a:lightRig>
        </a:scene3d>
        <a:sp3d contourW="1000" prstMaterial="flat">
          <a:bevelT w="95250" h="101600"/>
          <a:contourClr>
            <a:schemeClr val="phClr">
              <a:satMod val="30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55000"/>
              <a:satMod val="300000"/>
            </a:schemeClr>
          </a:gs>
          <a:gs pos="40000">
            <a:schemeClr val="phClr">
              <a:tint val="65000"/>
              <a:satMod val="300000"/>
            </a:schemeClr>
          </a:gs>
          <a:gs pos="100000">
            <a:schemeClr val="phClr">
              <a:shade val="65000"/>
              <a:satMod val="300000"/>
            </a:schemeClr>
          </a:gs>
        </a:gsLst>
        <a:path path="circle">
          <a:fillToRect l="65000" b="98000"/>
        </a:path>
      </a:gradFill>
      <a:blipFill>
        <a:blip xmlns:r="http://schemas.openxmlformats.org/officeDocument/2006/relationships" r:embed="rId1">
          <a:duotone>
            <a:schemeClr val="phClr">
              <a:shade val="60000"/>
              <a:satMod val="110000"/>
            </a:schemeClr>
            <a:schemeClr val="phClr">
              <a:tint val="95000"/>
            </a:schemeClr>
          </a:duotone>
        </a:blip>
        <a:tile tx="0" ty="0" sx="50000" sy="50000" flip="none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Concourse">
    <a:dk1>
      <a:sysClr val="windowText" lastClr="000000"/>
    </a:dk1>
    <a:lt1>
      <a:sysClr val="window" lastClr="FFFFFF"/>
    </a:lt1>
    <a:dk2>
      <a:srgbClr val="464646"/>
    </a:dk2>
    <a:lt2>
      <a:srgbClr val="DEF5FA"/>
    </a:lt2>
    <a:accent1>
      <a:srgbClr val="2DA2BF"/>
    </a:accent1>
    <a:accent2>
      <a:srgbClr val="DA1F28"/>
    </a:accent2>
    <a:accent3>
      <a:srgbClr val="EB641B"/>
    </a:accent3>
    <a:accent4>
      <a:srgbClr val="39639D"/>
    </a:accent4>
    <a:accent5>
      <a:srgbClr val="474B78"/>
    </a:accent5>
    <a:accent6>
      <a:srgbClr val="7D3C4A"/>
    </a:accent6>
    <a:hlink>
      <a:srgbClr val="FF8119"/>
    </a:hlink>
    <a:folHlink>
      <a:srgbClr val="44B9E8"/>
    </a:folHlink>
  </a:clrScheme>
  <a:fontScheme name="Concourse">
    <a:majorFont>
      <a:latin typeface="Lucida Sans Unicode"/>
      <a:ea typeface=""/>
      <a:cs typeface=""/>
      <a:font script="Jpan" typeface="ＭＳ Ｐゴシック"/>
      <a:font script="Hang" typeface="맑은 고딕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Uigh" typeface="Microsoft Uighur"/>
    </a:majorFont>
    <a:minorFont>
      <a:latin typeface="Lucida Sans Unicode"/>
      <a:ea typeface=""/>
      <a:cs typeface=""/>
      <a:font script="Jpan" typeface="ＭＳ Ｐゴシック"/>
      <a:font script="Hang" typeface="맑은 고딕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Uigh" typeface="Microsoft Uighur"/>
    </a:minorFont>
  </a:fontScheme>
  <a:fmtScheme name="Concourse">
    <a:fillStyleLst>
      <a:solidFill>
        <a:schemeClr val="phClr"/>
      </a:solidFill>
      <a:gradFill rotWithShape="1">
        <a:gsLst>
          <a:gs pos="0">
            <a:schemeClr val="phClr">
              <a:tint val="62000"/>
              <a:satMod val="180000"/>
            </a:schemeClr>
          </a:gs>
          <a:gs pos="65000">
            <a:schemeClr val="phClr">
              <a:tint val="32000"/>
              <a:satMod val="250000"/>
            </a:schemeClr>
          </a:gs>
          <a:gs pos="100000">
            <a:schemeClr val="phClr">
              <a:tint val="23000"/>
              <a:satMod val="300000"/>
            </a:schemeClr>
          </a:gs>
        </a:gsLst>
        <a:lin ang="16200000" scaled="0"/>
      </a:gradFill>
      <a:gradFill rotWithShape="1">
        <a:gsLst>
          <a:gs pos="0">
            <a:schemeClr val="phClr">
              <a:shade val="15000"/>
              <a:satMod val="180000"/>
            </a:schemeClr>
          </a:gs>
          <a:gs pos="50000">
            <a:schemeClr val="phClr">
              <a:shade val="45000"/>
              <a:satMod val="170000"/>
            </a:schemeClr>
          </a:gs>
          <a:gs pos="70000">
            <a:schemeClr val="phClr">
              <a:tint val="99000"/>
              <a:shade val="65000"/>
              <a:satMod val="155000"/>
            </a:schemeClr>
          </a:gs>
          <a:gs pos="100000">
            <a:schemeClr val="phClr">
              <a:tint val="95500"/>
              <a:shade val="100000"/>
              <a:satMod val="15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55000" cap="flat" cmpd="thickThin" algn="ctr">
        <a:solidFill>
          <a:schemeClr val="phClr"/>
        </a:solidFill>
        <a:prstDash val="solid"/>
      </a:ln>
      <a:ln w="63500" cap="flat" cmpd="thickThin" algn="ctr">
        <a:solidFill>
          <a:schemeClr val="phClr"/>
        </a:solidFill>
        <a:prstDash val="solid"/>
      </a:ln>
    </a:lnStyleLst>
    <a:effectStyleLst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63500" dist="381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glow" dir="t">
            <a:rot lat="0" lon="0" rev="6360000"/>
          </a:lightRig>
        </a:scene3d>
        <a:sp3d contourW="1000" prstMaterial="flat">
          <a:bevelT w="95250" h="101600"/>
          <a:contourClr>
            <a:schemeClr val="phClr">
              <a:satMod val="30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55000"/>
              <a:satMod val="300000"/>
            </a:schemeClr>
          </a:gs>
          <a:gs pos="40000">
            <a:schemeClr val="phClr">
              <a:tint val="65000"/>
              <a:satMod val="300000"/>
            </a:schemeClr>
          </a:gs>
          <a:gs pos="100000">
            <a:schemeClr val="phClr">
              <a:shade val="65000"/>
              <a:satMod val="300000"/>
            </a:schemeClr>
          </a:gs>
        </a:gsLst>
        <a:path path="circle">
          <a:fillToRect l="65000" b="98000"/>
        </a:path>
      </a:gradFill>
      <a:blipFill>
        <a:blip xmlns:r="http://schemas.openxmlformats.org/officeDocument/2006/relationships" r:embed="rId1">
          <a:duotone>
            <a:schemeClr val="phClr">
              <a:shade val="60000"/>
              <a:satMod val="110000"/>
            </a:schemeClr>
            <a:schemeClr val="phClr">
              <a:tint val="95000"/>
            </a:schemeClr>
          </a:duotone>
        </a:blip>
        <a:tile tx="0" ty="0" sx="50000" sy="50000" flip="none" algn="tl"/>
      </a:blipFill>
    </a:bgFillStyleLst>
  </a:fmtScheme>
</a:themeOverride>
</file>

<file path=word/theme/themeOverride3.xml><?xml version="1.0" encoding="utf-8"?>
<a:themeOverride xmlns:a="http://schemas.openxmlformats.org/drawingml/2006/main">
  <a:clrScheme name="Concourse">
    <a:dk1>
      <a:sysClr val="windowText" lastClr="000000"/>
    </a:dk1>
    <a:lt1>
      <a:sysClr val="window" lastClr="FFFFFF"/>
    </a:lt1>
    <a:dk2>
      <a:srgbClr val="464646"/>
    </a:dk2>
    <a:lt2>
      <a:srgbClr val="DEF5FA"/>
    </a:lt2>
    <a:accent1>
      <a:srgbClr val="2DA2BF"/>
    </a:accent1>
    <a:accent2>
      <a:srgbClr val="DA1F28"/>
    </a:accent2>
    <a:accent3>
      <a:srgbClr val="EB641B"/>
    </a:accent3>
    <a:accent4>
      <a:srgbClr val="39639D"/>
    </a:accent4>
    <a:accent5>
      <a:srgbClr val="474B78"/>
    </a:accent5>
    <a:accent6>
      <a:srgbClr val="7D3C4A"/>
    </a:accent6>
    <a:hlink>
      <a:srgbClr val="FF8119"/>
    </a:hlink>
    <a:folHlink>
      <a:srgbClr val="44B9E8"/>
    </a:folHlink>
  </a:clrScheme>
  <a:fontScheme name="Concourse">
    <a:majorFont>
      <a:latin typeface="Lucida Sans Unicode"/>
      <a:ea typeface=""/>
      <a:cs typeface=""/>
      <a:font script="Jpan" typeface="ＭＳ Ｐゴシック"/>
      <a:font script="Hang" typeface="맑은 고딕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Uigh" typeface="Microsoft Uighur"/>
    </a:majorFont>
    <a:minorFont>
      <a:latin typeface="Lucida Sans Unicode"/>
      <a:ea typeface=""/>
      <a:cs typeface=""/>
      <a:font script="Jpan" typeface="ＭＳ Ｐゴシック"/>
      <a:font script="Hang" typeface="맑은 고딕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Uigh" typeface="Microsoft Uighur"/>
    </a:minorFont>
  </a:fontScheme>
  <a:fmtScheme name="Concourse">
    <a:fillStyleLst>
      <a:solidFill>
        <a:schemeClr val="phClr"/>
      </a:solidFill>
      <a:gradFill rotWithShape="1">
        <a:gsLst>
          <a:gs pos="0">
            <a:schemeClr val="phClr">
              <a:tint val="62000"/>
              <a:satMod val="180000"/>
            </a:schemeClr>
          </a:gs>
          <a:gs pos="65000">
            <a:schemeClr val="phClr">
              <a:tint val="32000"/>
              <a:satMod val="250000"/>
            </a:schemeClr>
          </a:gs>
          <a:gs pos="100000">
            <a:schemeClr val="phClr">
              <a:tint val="23000"/>
              <a:satMod val="300000"/>
            </a:schemeClr>
          </a:gs>
        </a:gsLst>
        <a:lin ang="16200000" scaled="0"/>
      </a:gradFill>
      <a:gradFill rotWithShape="1">
        <a:gsLst>
          <a:gs pos="0">
            <a:schemeClr val="phClr">
              <a:shade val="15000"/>
              <a:satMod val="180000"/>
            </a:schemeClr>
          </a:gs>
          <a:gs pos="50000">
            <a:schemeClr val="phClr">
              <a:shade val="45000"/>
              <a:satMod val="170000"/>
            </a:schemeClr>
          </a:gs>
          <a:gs pos="70000">
            <a:schemeClr val="phClr">
              <a:tint val="99000"/>
              <a:shade val="65000"/>
              <a:satMod val="155000"/>
            </a:schemeClr>
          </a:gs>
          <a:gs pos="100000">
            <a:schemeClr val="phClr">
              <a:tint val="95500"/>
              <a:shade val="100000"/>
              <a:satMod val="15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55000" cap="flat" cmpd="thickThin" algn="ctr">
        <a:solidFill>
          <a:schemeClr val="phClr"/>
        </a:solidFill>
        <a:prstDash val="solid"/>
      </a:ln>
      <a:ln w="63500" cap="flat" cmpd="thickThin" algn="ctr">
        <a:solidFill>
          <a:schemeClr val="phClr"/>
        </a:solidFill>
        <a:prstDash val="solid"/>
      </a:ln>
    </a:lnStyleLst>
    <a:effectStyleLst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63500" dist="381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glow" dir="t">
            <a:rot lat="0" lon="0" rev="6360000"/>
          </a:lightRig>
        </a:scene3d>
        <a:sp3d contourW="1000" prstMaterial="flat">
          <a:bevelT w="95250" h="101600"/>
          <a:contourClr>
            <a:schemeClr val="phClr">
              <a:satMod val="30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55000"/>
              <a:satMod val="300000"/>
            </a:schemeClr>
          </a:gs>
          <a:gs pos="40000">
            <a:schemeClr val="phClr">
              <a:tint val="65000"/>
              <a:satMod val="300000"/>
            </a:schemeClr>
          </a:gs>
          <a:gs pos="100000">
            <a:schemeClr val="phClr">
              <a:shade val="65000"/>
              <a:satMod val="300000"/>
            </a:schemeClr>
          </a:gs>
        </a:gsLst>
        <a:path path="circle">
          <a:fillToRect l="65000" b="98000"/>
        </a:path>
      </a:gradFill>
      <a:blipFill>
        <a:blip xmlns:r="http://schemas.openxmlformats.org/officeDocument/2006/relationships" r:embed="rId1">
          <a:duotone>
            <a:schemeClr val="phClr">
              <a:shade val="60000"/>
              <a:satMod val="110000"/>
            </a:schemeClr>
            <a:schemeClr val="phClr">
              <a:tint val="95000"/>
            </a:schemeClr>
          </a:duotone>
        </a:blip>
        <a:tile tx="0" ty="0" sx="50000" sy="50000" flip="none" algn="tl"/>
      </a:blip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Recovery School District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dmorton</dc:creator>
  <cp:keywords/>
  <dc:description/>
  <cp:lastModifiedBy>dmorton</cp:lastModifiedBy>
  <cp:revision>3</cp:revision>
  <dcterms:created xsi:type="dcterms:W3CDTF">2013-01-03T18:12:00Z</dcterms:created>
  <dcterms:modified xsi:type="dcterms:W3CDTF">2013-01-03T19:27:00Z</dcterms:modified>
</cp:coreProperties>
</file>