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D5" w:rsidRDefault="002422D5" w:rsidP="00EC60D6">
      <w:pPr>
        <w:jc w:val="right"/>
        <w:rPr>
          <w:b/>
          <w:sz w:val="28"/>
          <w:szCs w:val="28"/>
        </w:rPr>
      </w:pPr>
      <w:r>
        <w:rPr>
          <w:noProof/>
        </w:rPr>
        <w:drawing>
          <wp:anchor distT="0" distB="0" distL="114300" distR="114300" simplePos="0" relativeHeight="251659264" behindDoc="0" locked="0" layoutInCell="1" allowOverlap="1" wp14:anchorId="6938E917" wp14:editId="47530C05">
            <wp:simplePos x="0" y="0"/>
            <wp:positionH relativeFrom="column">
              <wp:posOffset>-16510</wp:posOffset>
            </wp:positionH>
            <wp:positionV relativeFrom="paragraph">
              <wp:posOffset>-16510</wp:posOffset>
            </wp:positionV>
            <wp:extent cx="1627505" cy="1682115"/>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505" cy="1682115"/>
                    </a:xfrm>
                    <a:prstGeom prst="rect">
                      <a:avLst/>
                    </a:prstGeom>
                    <a:noFill/>
                  </pic:spPr>
                </pic:pic>
              </a:graphicData>
            </a:graphic>
            <wp14:sizeRelH relativeFrom="margin">
              <wp14:pctWidth>0</wp14:pctWidth>
            </wp14:sizeRelH>
            <wp14:sizeRelV relativeFrom="margin">
              <wp14:pctHeight>0</wp14:pctHeight>
            </wp14:sizeRelV>
          </wp:anchor>
        </w:drawing>
      </w: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2422D5"/>
    <w:p w:rsidR="002422D5" w:rsidRPr="002422D5" w:rsidRDefault="002422D5" w:rsidP="002422D5">
      <w:pPr>
        <w:jc w:val="center"/>
        <w:rPr>
          <w:b/>
          <w:sz w:val="44"/>
          <w:szCs w:val="44"/>
        </w:rPr>
      </w:pPr>
      <w:r w:rsidRPr="002422D5">
        <w:rPr>
          <w:b/>
          <w:sz w:val="44"/>
          <w:szCs w:val="44"/>
        </w:rPr>
        <w:t>Summary of 2012</w:t>
      </w:r>
    </w:p>
    <w:p w:rsidR="002422D5" w:rsidRPr="002422D5" w:rsidRDefault="002422D5" w:rsidP="002422D5">
      <w:pPr>
        <w:jc w:val="center"/>
        <w:rPr>
          <w:b/>
          <w:sz w:val="44"/>
          <w:szCs w:val="44"/>
        </w:rPr>
      </w:pPr>
      <w:r w:rsidRPr="002422D5">
        <w:rPr>
          <w:b/>
          <w:sz w:val="44"/>
          <w:szCs w:val="44"/>
        </w:rPr>
        <w:t>Caring Communities Youth Survey Findings</w:t>
      </w:r>
    </w:p>
    <w:p w:rsidR="002422D5" w:rsidRPr="002422D5" w:rsidRDefault="002422D5" w:rsidP="002422D5">
      <w:pPr>
        <w:jc w:val="center"/>
        <w:rPr>
          <w:b/>
          <w:sz w:val="44"/>
          <w:szCs w:val="44"/>
        </w:rPr>
      </w:pPr>
      <w:proofErr w:type="gramStart"/>
      <w:r w:rsidRPr="002422D5">
        <w:rPr>
          <w:b/>
          <w:sz w:val="44"/>
          <w:szCs w:val="44"/>
        </w:rPr>
        <w:t>for</w:t>
      </w:r>
      <w:proofErr w:type="gramEnd"/>
      <w:r w:rsidRPr="002422D5">
        <w:rPr>
          <w:b/>
          <w:sz w:val="44"/>
          <w:szCs w:val="44"/>
        </w:rPr>
        <w:t xml:space="preserve"> Greater New Orleans </w:t>
      </w:r>
    </w:p>
    <w:p w:rsidR="002422D5" w:rsidRDefault="002422D5" w:rsidP="002422D5">
      <w:pPr>
        <w:rPr>
          <w:b/>
          <w:szCs w:val="24"/>
        </w:rPr>
      </w:pPr>
    </w:p>
    <w:p w:rsidR="002422D5" w:rsidRDefault="002422D5" w:rsidP="002422D5">
      <w:pPr>
        <w:rPr>
          <w:b/>
          <w:szCs w:val="24"/>
        </w:rPr>
      </w:pPr>
    </w:p>
    <w:p w:rsidR="002422D5" w:rsidRDefault="002422D5" w:rsidP="002422D5">
      <w:pPr>
        <w:rPr>
          <w:b/>
          <w:szCs w:val="24"/>
        </w:rPr>
      </w:pPr>
    </w:p>
    <w:p w:rsidR="002422D5" w:rsidRDefault="002422D5" w:rsidP="002422D5">
      <w:pPr>
        <w:rPr>
          <w:b/>
          <w:szCs w:val="24"/>
        </w:rPr>
      </w:pPr>
    </w:p>
    <w:p w:rsidR="002422D5" w:rsidRDefault="00A40751" w:rsidP="002422D5">
      <w:pPr>
        <w:jc w:val="center"/>
        <w:rPr>
          <w:b/>
          <w:szCs w:val="24"/>
        </w:rPr>
      </w:pPr>
      <w:r>
        <w:rPr>
          <w:b/>
          <w:szCs w:val="24"/>
        </w:rPr>
        <w:t xml:space="preserve">Prepared for </w:t>
      </w:r>
    </w:p>
    <w:p w:rsidR="002422D5" w:rsidRDefault="002422D5" w:rsidP="002422D5">
      <w:pPr>
        <w:jc w:val="center"/>
        <w:rPr>
          <w:b/>
          <w:szCs w:val="24"/>
        </w:rPr>
      </w:pPr>
    </w:p>
    <w:p w:rsidR="002422D5" w:rsidRPr="00573027" w:rsidRDefault="002422D5" w:rsidP="002422D5">
      <w:pPr>
        <w:jc w:val="center"/>
        <w:rPr>
          <w:b/>
          <w:sz w:val="28"/>
          <w:szCs w:val="28"/>
        </w:rPr>
      </w:pPr>
      <w:r w:rsidRPr="00573027">
        <w:rPr>
          <w:b/>
          <w:sz w:val="28"/>
          <w:szCs w:val="28"/>
        </w:rPr>
        <w:t>Greater New Orleans</w:t>
      </w:r>
    </w:p>
    <w:p w:rsidR="002422D5" w:rsidRPr="00573027" w:rsidRDefault="002422D5" w:rsidP="002422D5">
      <w:pPr>
        <w:jc w:val="center"/>
        <w:rPr>
          <w:b/>
          <w:sz w:val="28"/>
          <w:szCs w:val="28"/>
        </w:rPr>
      </w:pPr>
      <w:r w:rsidRPr="00573027">
        <w:rPr>
          <w:b/>
          <w:sz w:val="28"/>
          <w:szCs w:val="28"/>
        </w:rPr>
        <w:t>Drug Demand Reduction Coalition</w:t>
      </w:r>
    </w:p>
    <w:p w:rsidR="002422D5" w:rsidRDefault="002422D5" w:rsidP="002422D5">
      <w:pPr>
        <w:jc w:val="center"/>
        <w:rPr>
          <w:b/>
          <w:szCs w:val="24"/>
        </w:rPr>
      </w:pPr>
    </w:p>
    <w:p w:rsidR="00A40751" w:rsidRDefault="00A40751" w:rsidP="002422D5">
      <w:pPr>
        <w:jc w:val="center"/>
        <w:rPr>
          <w:b/>
          <w:szCs w:val="24"/>
        </w:rPr>
      </w:pPr>
    </w:p>
    <w:p w:rsidR="002422D5" w:rsidRDefault="00A40751" w:rsidP="002422D5">
      <w:pPr>
        <w:jc w:val="center"/>
        <w:rPr>
          <w:b/>
          <w:szCs w:val="24"/>
        </w:rPr>
      </w:pPr>
      <w:r>
        <w:rPr>
          <w:b/>
          <w:szCs w:val="24"/>
        </w:rPr>
        <w:t>Supported by</w:t>
      </w:r>
    </w:p>
    <w:p w:rsidR="002422D5" w:rsidRDefault="002422D5" w:rsidP="002422D5">
      <w:pPr>
        <w:jc w:val="center"/>
        <w:rPr>
          <w:b/>
          <w:szCs w:val="24"/>
        </w:rPr>
      </w:pPr>
    </w:p>
    <w:p w:rsidR="002422D5" w:rsidRPr="00573027" w:rsidRDefault="002422D5" w:rsidP="002422D5">
      <w:pPr>
        <w:jc w:val="center"/>
        <w:rPr>
          <w:b/>
          <w:sz w:val="28"/>
          <w:szCs w:val="24"/>
        </w:rPr>
      </w:pPr>
      <w:r w:rsidRPr="00573027">
        <w:rPr>
          <w:b/>
          <w:sz w:val="28"/>
          <w:szCs w:val="24"/>
        </w:rPr>
        <w:t>Metropolitan Human Services District</w:t>
      </w:r>
    </w:p>
    <w:p w:rsidR="002422D5" w:rsidRDefault="002422D5" w:rsidP="002422D5">
      <w:pPr>
        <w:rPr>
          <w:b/>
          <w:szCs w:val="24"/>
        </w:rPr>
      </w:pPr>
    </w:p>
    <w:p w:rsidR="002422D5" w:rsidRDefault="002422D5" w:rsidP="002422D5">
      <w:pPr>
        <w:rPr>
          <w:b/>
          <w:szCs w:val="24"/>
        </w:rPr>
      </w:pPr>
    </w:p>
    <w:p w:rsidR="00D766CA" w:rsidRDefault="00D766CA" w:rsidP="002422D5">
      <w:pPr>
        <w:rPr>
          <w:b/>
          <w:szCs w:val="24"/>
        </w:rPr>
      </w:pPr>
    </w:p>
    <w:p w:rsidR="00D766CA" w:rsidRPr="00D766CA" w:rsidRDefault="00CA1B35" w:rsidP="00D766CA">
      <w:pPr>
        <w:jc w:val="center"/>
        <w:rPr>
          <w:b/>
          <w:sz w:val="28"/>
          <w:szCs w:val="28"/>
        </w:rPr>
      </w:pPr>
      <w:r>
        <w:rPr>
          <w:b/>
          <w:sz w:val="28"/>
          <w:szCs w:val="28"/>
        </w:rPr>
        <w:t xml:space="preserve">March </w:t>
      </w:r>
      <w:r w:rsidR="00097DAC">
        <w:rPr>
          <w:b/>
          <w:sz w:val="28"/>
          <w:szCs w:val="28"/>
        </w:rPr>
        <w:t>2</w:t>
      </w:r>
      <w:r w:rsidR="00D766CA" w:rsidRPr="00D766CA">
        <w:rPr>
          <w:b/>
          <w:sz w:val="28"/>
          <w:szCs w:val="28"/>
        </w:rPr>
        <w:t>, 2014</w:t>
      </w:r>
    </w:p>
    <w:p w:rsidR="00D766CA" w:rsidRDefault="00D766CA" w:rsidP="002422D5">
      <w:pPr>
        <w:rPr>
          <w:b/>
          <w:szCs w:val="24"/>
        </w:rPr>
      </w:pPr>
    </w:p>
    <w:p w:rsidR="00D766CA" w:rsidRDefault="00D766CA" w:rsidP="002422D5">
      <w:pPr>
        <w:rPr>
          <w:b/>
          <w:szCs w:val="24"/>
        </w:rPr>
      </w:pPr>
    </w:p>
    <w:p w:rsidR="002422D5" w:rsidRDefault="002422D5" w:rsidP="002422D5">
      <w:pPr>
        <w:rPr>
          <w:b/>
          <w:szCs w:val="24"/>
        </w:rPr>
      </w:pPr>
    </w:p>
    <w:tbl>
      <w:tblPr>
        <w:tblW w:w="4643" w:type="dxa"/>
        <w:jc w:val="center"/>
        <w:tblCellMar>
          <w:left w:w="0" w:type="dxa"/>
          <w:right w:w="0" w:type="dxa"/>
        </w:tblCellMar>
        <w:tblLook w:val="04A0" w:firstRow="1" w:lastRow="0" w:firstColumn="1" w:lastColumn="0" w:noHBand="0" w:noVBand="1"/>
      </w:tblPr>
      <w:tblGrid>
        <w:gridCol w:w="4643"/>
      </w:tblGrid>
      <w:tr w:rsidR="000B7A25" w:rsidRPr="000B7A25" w:rsidTr="00D766CA">
        <w:trPr>
          <w:trHeight w:val="1429"/>
          <w:jc w:val="center"/>
        </w:trPr>
        <w:tc>
          <w:tcPr>
            <w:tcW w:w="4643" w:type="dxa"/>
            <w:vAlign w:val="bottom"/>
            <w:hideMark/>
          </w:tcPr>
          <w:p w:rsidR="000B7A25" w:rsidRPr="000B7A25" w:rsidRDefault="000B7A25" w:rsidP="00D766CA">
            <w:pPr>
              <w:jc w:val="center"/>
              <w:rPr>
                <w:rFonts w:ascii="Garamond" w:hAnsi="Garamond" w:cs="Aharoni"/>
                <w:b/>
                <w:color w:val="600000"/>
                <w:sz w:val="52"/>
                <w:szCs w:val="72"/>
              </w:rPr>
            </w:pPr>
            <w:r w:rsidRPr="000B7A25">
              <w:rPr>
                <w:rFonts w:ascii="Garamond" w:hAnsi="Garamond" w:cs="Aharoni"/>
                <w:b/>
                <w:color w:val="600000"/>
                <w:sz w:val="52"/>
                <w:szCs w:val="72"/>
              </w:rPr>
              <w:t xml:space="preserve">ARC </w:t>
            </w:r>
            <w:r w:rsidRPr="000B7A25">
              <w:rPr>
                <w:rFonts w:ascii="Garamond" w:hAnsi="Garamond" w:cs="Aharoni"/>
                <w:b/>
                <w:color w:val="600000"/>
                <w:sz w:val="52"/>
                <w:szCs w:val="64"/>
              </w:rPr>
              <w:t>Associates</w:t>
            </w:r>
          </w:p>
          <w:p w:rsidR="000B7A25" w:rsidRDefault="000B7A25" w:rsidP="00D766CA">
            <w:pPr>
              <w:jc w:val="center"/>
              <w:rPr>
                <w:rFonts w:ascii="Garamond" w:hAnsi="Garamond"/>
                <w:b/>
                <w:color w:val="600000"/>
                <w:sz w:val="28"/>
                <w:szCs w:val="36"/>
              </w:rPr>
            </w:pPr>
            <w:r w:rsidRPr="000B7A25">
              <w:rPr>
                <w:rFonts w:ascii="Garamond" w:hAnsi="Garamond"/>
                <w:b/>
                <w:color w:val="600000"/>
                <w:sz w:val="28"/>
                <w:szCs w:val="36"/>
              </w:rPr>
              <w:t>Applied Research Consulting</w:t>
            </w:r>
          </w:p>
          <w:p w:rsidR="00D766CA" w:rsidRPr="000B7A25" w:rsidRDefault="00D766CA" w:rsidP="00D766CA">
            <w:pPr>
              <w:jc w:val="center"/>
              <w:rPr>
                <w:rFonts w:ascii="Garamond" w:hAnsi="Garamond"/>
                <w:b/>
                <w:color w:val="600000"/>
                <w:szCs w:val="24"/>
              </w:rPr>
            </w:pPr>
            <w:r w:rsidRPr="00D766CA">
              <w:rPr>
                <w:rFonts w:ascii="Garamond" w:hAnsi="Garamond"/>
                <w:b/>
                <w:color w:val="600000"/>
                <w:szCs w:val="24"/>
              </w:rPr>
              <w:t>www.ARC-Associates.net</w:t>
            </w:r>
          </w:p>
        </w:tc>
      </w:tr>
    </w:tbl>
    <w:p w:rsidR="00A40751" w:rsidRDefault="002422D5" w:rsidP="00D766CA">
      <w:pPr>
        <w:jc w:val="both"/>
        <w:rPr>
          <w:szCs w:val="24"/>
          <w:u w:val="single"/>
        </w:rPr>
      </w:pPr>
      <w:r w:rsidRPr="00771E88">
        <w:rPr>
          <w:b/>
          <w:szCs w:val="24"/>
        </w:rPr>
        <w:br w:type="page"/>
      </w:r>
    </w:p>
    <w:p w:rsidR="00A40751" w:rsidRDefault="00A40751"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1A7379" w:rsidRDefault="001A7379" w:rsidP="002422D5">
      <w:pPr>
        <w:jc w:val="center"/>
        <w:rPr>
          <w:szCs w:val="24"/>
          <w:u w:val="single"/>
        </w:rPr>
      </w:pPr>
    </w:p>
    <w:p w:rsidR="00D766CA" w:rsidRDefault="00D766CA" w:rsidP="002422D5">
      <w:pPr>
        <w:jc w:val="center"/>
        <w:rPr>
          <w:szCs w:val="24"/>
          <w:u w:val="single"/>
        </w:rPr>
      </w:pPr>
    </w:p>
    <w:p w:rsidR="009E33E9" w:rsidRPr="009E33E9" w:rsidRDefault="009E33E9" w:rsidP="009E33E9">
      <w:pPr>
        <w:jc w:val="center"/>
        <w:rPr>
          <w:b/>
          <w:sz w:val="28"/>
          <w:szCs w:val="28"/>
        </w:rPr>
      </w:pPr>
      <w:r w:rsidRPr="009E33E9">
        <w:rPr>
          <w:b/>
          <w:sz w:val="28"/>
          <w:szCs w:val="28"/>
        </w:rPr>
        <w:t>ARC Associates</w:t>
      </w:r>
    </w:p>
    <w:p w:rsidR="009E33E9" w:rsidRDefault="009E33E9" w:rsidP="009E33E9">
      <w:pPr>
        <w:jc w:val="center"/>
        <w:rPr>
          <w:b/>
          <w:szCs w:val="24"/>
        </w:rPr>
      </w:pPr>
      <w:r w:rsidRPr="009E33E9">
        <w:rPr>
          <w:b/>
          <w:szCs w:val="24"/>
        </w:rPr>
        <w:t>Applied Research Consulting</w:t>
      </w:r>
    </w:p>
    <w:p w:rsidR="009E33E9" w:rsidRDefault="009E33E9" w:rsidP="009E33E9">
      <w:pPr>
        <w:jc w:val="center"/>
        <w:rPr>
          <w:b/>
          <w:szCs w:val="24"/>
        </w:rPr>
      </w:pPr>
      <w:r>
        <w:rPr>
          <w:b/>
          <w:szCs w:val="24"/>
        </w:rPr>
        <w:t>22 Pine Avenue</w:t>
      </w:r>
    </w:p>
    <w:p w:rsidR="009E33E9" w:rsidRDefault="009E33E9" w:rsidP="009E33E9">
      <w:pPr>
        <w:jc w:val="center"/>
        <w:rPr>
          <w:b/>
          <w:szCs w:val="24"/>
        </w:rPr>
      </w:pPr>
      <w:r>
        <w:rPr>
          <w:b/>
          <w:szCs w:val="24"/>
        </w:rPr>
        <w:t>Albany NY</w:t>
      </w:r>
    </w:p>
    <w:p w:rsidR="009E33E9" w:rsidRDefault="009E33E9" w:rsidP="009E33E9">
      <w:pPr>
        <w:jc w:val="center"/>
        <w:rPr>
          <w:b/>
          <w:szCs w:val="24"/>
        </w:rPr>
      </w:pPr>
      <w:r>
        <w:rPr>
          <w:b/>
          <w:szCs w:val="24"/>
        </w:rPr>
        <w:t>12205-4304</w:t>
      </w:r>
    </w:p>
    <w:p w:rsidR="009E33E9" w:rsidRPr="009E33E9" w:rsidRDefault="009E33E9" w:rsidP="009E33E9">
      <w:pPr>
        <w:jc w:val="center"/>
        <w:rPr>
          <w:b/>
          <w:szCs w:val="24"/>
        </w:rPr>
      </w:pPr>
    </w:p>
    <w:p w:rsidR="00D766CA" w:rsidRPr="009E33E9" w:rsidRDefault="009E33E9" w:rsidP="009E33E9">
      <w:pPr>
        <w:jc w:val="center"/>
        <w:rPr>
          <w:szCs w:val="24"/>
        </w:rPr>
      </w:pPr>
      <w:r w:rsidRPr="009E33E9">
        <w:rPr>
          <w:b/>
          <w:szCs w:val="24"/>
        </w:rPr>
        <w:t>www.ARC-Associates.net</w:t>
      </w: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D766CA" w:rsidRDefault="00D766CA" w:rsidP="002422D5">
      <w:pPr>
        <w:jc w:val="center"/>
        <w:rPr>
          <w:szCs w:val="24"/>
          <w:u w:val="single"/>
        </w:rPr>
      </w:pPr>
    </w:p>
    <w:p w:rsidR="00A40751" w:rsidRDefault="00A40751" w:rsidP="002422D5">
      <w:pPr>
        <w:jc w:val="center"/>
        <w:rPr>
          <w:szCs w:val="24"/>
          <w:u w:val="single"/>
        </w:rPr>
      </w:pPr>
    </w:p>
    <w:p w:rsidR="00A40751" w:rsidRDefault="00A40751" w:rsidP="002422D5">
      <w:pPr>
        <w:jc w:val="center"/>
        <w:rPr>
          <w:szCs w:val="24"/>
          <w:u w:val="single"/>
        </w:rPr>
      </w:pPr>
    </w:p>
    <w:p w:rsidR="00A40751" w:rsidRDefault="00A40751" w:rsidP="002422D5">
      <w:pPr>
        <w:jc w:val="center"/>
        <w:rPr>
          <w:szCs w:val="24"/>
          <w:u w:val="single"/>
        </w:rPr>
      </w:pPr>
    </w:p>
    <w:p w:rsidR="002422D5" w:rsidRDefault="00A40751" w:rsidP="00A40751">
      <w:pPr>
        <w:ind w:left="720"/>
        <w:rPr>
          <w:szCs w:val="24"/>
        </w:rPr>
      </w:pPr>
      <w:r w:rsidRPr="00A40751">
        <w:rPr>
          <w:szCs w:val="24"/>
        </w:rPr>
        <w:t>Suggested citation:</w:t>
      </w:r>
    </w:p>
    <w:p w:rsidR="009E33E9" w:rsidRPr="00A40751" w:rsidRDefault="00A40751" w:rsidP="00A40751">
      <w:pPr>
        <w:ind w:left="720"/>
        <w:rPr>
          <w:szCs w:val="24"/>
        </w:rPr>
      </w:pPr>
      <w:proofErr w:type="gramStart"/>
      <w:r>
        <w:rPr>
          <w:szCs w:val="24"/>
        </w:rPr>
        <w:t>R J Gallati.</w:t>
      </w:r>
      <w:proofErr w:type="gramEnd"/>
      <w:r>
        <w:rPr>
          <w:szCs w:val="24"/>
        </w:rPr>
        <w:t xml:space="preserve"> </w:t>
      </w:r>
      <w:proofErr w:type="gramStart"/>
      <w:r>
        <w:rPr>
          <w:szCs w:val="24"/>
        </w:rPr>
        <w:t xml:space="preserve">(2014) </w:t>
      </w:r>
      <w:r w:rsidRPr="00A40751">
        <w:rPr>
          <w:i/>
          <w:szCs w:val="24"/>
        </w:rPr>
        <w:t>Summary of 2012 Caring Communities Youth Survey Findings for Greater New Orleans</w:t>
      </w:r>
      <w:r>
        <w:rPr>
          <w:szCs w:val="24"/>
        </w:rPr>
        <w:t>.</w:t>
      </w:r>
      <w:proofErr w:type="gramEnd"/>
      <w:r>
        <w:rPr>
          <w:szCs w:val="24"/>
        </w:rPr>
        <w:t xml:space="preserve"> ARC Associates, Albany NY, </w:t>
      </w:r>
      <w:r w:rsidR="0083524A">
        <w:rPr>
          <w:szCs w:val="24"/>
        </w:rPr>
        <w:t>March</w:t>
      </w:r>
      <w:r>
        <w:rPr>
          <w:szCs w:val="24"/>
        </w:rPr>
        <w:t xml:space="preserve"> 2014.</w:t>
      </w:r>
      <w:r w:rsidR="009E33E9">
        <w:rPr>
          <w:szCs w:val="24"/>
        </w:rPr>
        <w:t xml:space="preserve"> Available at: </w:t>
      </w:r>
      <w:hyperlink r:id="rId9" w:history="1">
        <w:r w:rsidR="009E33E9" w:rsidRPr="001C2E29">
          <w:rPr>
            <w:rStyle w:val="Hyperlink"/>
            <w:szCs w:val="24"/>
          </w:rPr>
          <w:t>http://arc-associates.net/gno-profile</w:t>
        </w:r>
      </w:hyperlink>
      <w:r w:rsidR="009E33E9">
        <w:rPr>
          <w:szCs w:val="24"/>
        </w:rPr>
        <w:t xml:space="preserve"> .</w:t>
      </w:r>
    </w:p>
    <w:p w:rsidR="002422D5" w:rsidRDefault="002422D5" w:rsidP="002422D5"/>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2422D5" w:rsidRDefault="002422D5" w:rsidP="00EC60D6">
      <w:pPr>
        <w:jc w:val="right"/>
        <w:rPr>
          <w:b/>
          <w:sz w:val="28"/>
          <w:szCs w:val="28"/>
        </w:rPr>
      </w:pPr>
    </w:p>
    <w:p w:rsidR="00AE4C4D" w:rsidRDefault="00AE4C4D" w:rsidP="00EC60D6">
      <w:pPr>
        <w:jc w:val="right"/>
        <w:rPr>
          <w:b/>
          <w:sz w:val="28"/>
          <w:szCs w:val="28"/>
        </w:rPr>
        <w:sectPr w:rsidR="00AE4C4D" w:rsidSect="007214C6">
          <w:footerReference w:type="default" r:id="rId10"/>
          <w:pgSz w:w="12240" w:h="15840" w:code="1"/>
          <w:pgMar w:top="1440" w:right="1440" w:bottom="1440" w:left="1440" w:header="720" w:footer="720" w:gutter="0"/>
          <w:cols w:space="720"/>
        </w:sectPr>
      </w:pPr>
    </w:p>
    <w:p w:rsidR="00EC60D6" w:rsidRDefault="00EC60D6" w:rsidP="00034184">
      <w:pPr>
        <w:jc w:val="center"/>
        <w:rPr>
          <w:b/>
          <w:sz w:val="28"/>
          <w:szCs w:val="28"/>
        </w:rPr>
      </w:pPr>
    </w:p>
    <w:p w:rsidR="004B67B2" w:rsidRDefault="00611296" w:rsidP="00034184">
      <w:pPr>
        <w:jc w:val="center"/>
        <w:rPr>
          <w:b/>
          <w:sz w:val="28"/>
          <w:szCs w:val="28"/>
        </w:rPr>
      </w:pPr>
      <w:r>
        <w:rPr>
          <w:b/>
          <w:sz w:val="28"/>
          <w:szCs w:val="28"/>
        </w:rPr>
        <w:t xml:space="preserve">Summary of </w:t>
      </w:r>
      <w:r w:rsidR="009A0930">
        <w:rPr>
          <w:b/>
          <w:sz w:val="28"/>
          <w:szCs w:val="28"/>
        </w:rPr>
        <w:t>2012</w:t>
      </w:r>
    </w:p>
    <w:p w:rsidR="004B67B2" w:rsidRDefault="004B67B2" w:rsidP="00034184">
      <w:pPr>
        <w:jc w:val="center"/>
        <w:rPr>
          <w:b/>
          <w:sz w:val="28"/>
          <w:szCs w:val="28"/>
        </w:rPr>
      </w:pPr>
      <w:r>
        <w:rPr>
          <w:b/>
          <w:sz w:val="28"/>
          <w:szCs w:val="28"/>
        </w:rPr>
        <w:t>Caring Communities Youth Survey Findings</w:t>
      </w:r>
    </w:p>
    <w:p w:rsidR="006E4BC1" w:rsidRDefault="00611296" w:rsidP="00034184">
      <w:pPr>
        <w:jc w:val="center"/>
        <w:rPr>
          <w:b/>
          <w:sz w:val="28"/>
          <w:szCs w:val="28"/>
        </w:rPr>
      </w:pPr>
      <w:proofErr w:type="gramStart"/>
      <w:r>
        <w:rPr>
          <w:b/>
          <w:sz w:val="28"/>
          <w:szCs w:val="28"/>
        </w:rPr>
        <w:t>for</w:t>
      </w:r>
      <w:proofErr w:type="gramEnd"/>
      <w:r>
        <w:rPr>
          <w:b/>
          <w:sz w:val="28"/>
          <w:szCs w:val="28"/>
        </w:rPr>
        <w:t xml:space="preserve"> Greater New Orleans </w:t>
      </w:r>
    </w:p>
    <w:p w:rsidR="00863480" w:rsidRDefault="00863480" w:rsidP="00863480">
      <w:pPr>
        <w:rPr>
          <w:szCs w:val="24"/>
        </w:rPr>
      </w:pPr>
    </w:p>
    <w:p w:rsidR="00E93BE6" w:rsidRDefault="00E93BE6" w:rsidP="00863480">
      <w:pPr>
        <w:rPr>
          <w:szCs w:val="24"/>
        </w:rPr>
      </w:pPr>
    </w:p>
    <w:p w:rsidR="00E93BE6" w:rsidRDefault="00E93BE6" w:rsidP="00E93BE6">
      <w:pPr>
        <w:pStyle w:val="ListParagraph"/>
        <w:numPr>
          <w:ilvl w:val="0"/>
          <w:numId w:val="12"/>
        </w:numPr>
        <w:rPr>
          <w:szCs w:val="24"/>
        </w:rPr>
      </w:pPr>
      <w:r w:rsidRPr="00E93BE6">
        <w:rPr>
          <w:szCs w:val="24"/>
        </w:rPr>
        <w:t>Early Exposure to Alcohol, Drugs and Tobacco</w:t>
      </w:r>
    </w:p>
    <w:p w:rsidR="00CA061B" w:rsidRDefault="00CA061B" w:rsidP="00E93BE6">
      <w:pPr>
        <w:pStyle w:val="ListParagraph"/>
        <w:numPr>
          <w:ilvl w:val="0"/>
          <w:numId w:val="12"/>
        </w:numPr>
        <w:rPr>
          <w:szCs w:val="24"/>
        </w:rPr>
      </w:pPr>
      <w:r>
        <w:rPr>
          <w:szCs w:val="24"/>
        </w:rPr>
        <w:t>Perception of Risk</w:t>
      </w:r>
      <w:r w:rsidR="00E43CEA">
        <w:rPr>
          <w:szCs w:val="24"/>
        </w:rPr>
        <w:t xml:space="preserve"> and Social Norms</w:t>
      </w:r>
    </w:p>
    <w:p w:rsidR="00E43CEA" w:rsidRDefault="00E43CEA" w:rsidP="008E3CEA">
      <w:pPr>
        <w:pStyle w:val="ListParagraph"/>
        <w:numPr>
          <w:ilvl w:val="1"/>
          <w:numId w:val="12"/>
        </w:numPr>
        <w:rPr>
          <w:szCs w:val="24"/>
        </w:rPr>
      </w:pPr>
      <w:r>
        <w:rPr>
          <w:szCs w:val="24"/>
        </w:rPr>
        <w:t xml:space="preserve">Risks </w:t>
      </w:r>
      <w:r w:rsidR="008E3CEA">
        <w:rPr>
          <w:szCs w:val="24"/>
        </w:rPr>
        <w:t>of Harm from Substance Use</w:t>
      </w:r>
    </w:p>
    <w:p w:rsidR="00CA061B" w:rsidRDefault="00CA061B" w:rsidP="008E3CEA">
      <w:pPr>
        <w:pStyle w:val="ListParagraph"/>
        <w:numPr>
          <w:ilvl w:val="1"/>
          <w:numId w:val="12"/>
        </w:numPr>
        <w:rPr>
          <w:szCs w:val="24"/>
        </w:rPr>
      </w:pPr>
      <w:r>
        <w:rPr>
          <w:szCs w:val="24"/>
        </w:rPr>
        <w:t>Parental Disapproval</w:t>
      </w:r>
      <w:r w:rsidR="00E43CEA">
        <w:rPr>
          <w:szCs w:val="24"/>
        </w:rPr>
        <w:t xml:space="preserve"> of Substance Use</w:t>
      </w:r>
    </w:p>
    <w:p w:rsidR="00CA061B" w:rsidRPr="00E93BE6" w:rsidRDefault="00CA061B" w:rsidP="008E3CEA">
      <w:pPr>
        <w:pStyle w:val="ListParagraph"/>
        <w:numPr>
          <w:ilvl w:val="1"/>
          <w:numId w:val="12"/>
        </w:numPr>
        <w:rPr>
          <w:szCs w:val="24"/>
        </w:rPr>
      </w:pPr>
      <w:r>
        <w:rPr>
          <w:szCs w:val="24"/>
        </w:rPr>
        <w:t>Peer Disapproval</w:t>
      </w:r>
      <w:r w:rsidR="00E43CEA">
        <w:rPr>
          <w:szCs w:val="24"/>
        </w:rPr>
        <w:t xml:space="preserve"> of Substance Use</w:t>
      </w:r>
    </w:p>
    <w:p w:rsidR="00E93BE6" w:rsidRDefault="00E93BE6" w:rsidP="00E93BE6">
      <w:pPr>
        <w:pStyle w:val="ListParagraph"/>
        <w:numPr>
          <w:ilvl w:val="0"/>
          <w:numId w:val="12"/>
        </w:numPr>
        <w:rPr>
          <w:szCs w:val="24"/>
        </w:rPr>
      </w:pPr>
      <w:r w:rsidRPr="00E93BE6">
        <w:rPr>
          <w:szCs w:val="24"/>
        </w:rPr>
        <w:t>Current Substance Use</w:t>
      </w:r>
    </w:p>
    <w:p w:rsidR="006B5994" w:rsidRDefault="006B5994" w:rsidP="00E93BE6">
      <w:pPr>
        <w:pStyle w:val="ListParagraph"/>
        <w:numPr>
          <w:ilvl w:val="0"/>
          <w:numId w:val="12"/>
        </w:numPr>
        <w:rPr>
          <w:szCs w:val="24"/>
        </w:rPr>
      </w:pPr>
      <w:r>
        <w:rPr>
          <w:szCs w:val="24"/>
        </w:rPr>
        <w:t>Substance Use Disorders and Treatment Need</w:t>
      </w:r>
    </w:p>
    <w:p w:rsidR="00E93BE6" w:rsidRPr="00D342CF" w:rsidRDefault="00D342CF" w:rsidP="00863480">
      <w:pPr>
        <w:pStyle w:val="ListParagraph"/>
        <w:numPr>
          <w:ilvl w:val="0"/>
          <w:numId w:val="12"/>
        </w:numPr>
        <w:rPr>
          <w:szCs w:val="24"/>
        </w:rPr>
      </w:pPr>
      <w:r w:rsidRPr="00D342CF">
        <w:rPr>
          <w:szCs w:val="24"/>
        </w:rPr>
        <w:t>Consequences – Legal and Educational</w:t>
      </w:r>
    </w:p>
    <w:p w:rsidR="00E93BE6" w:rsidRDefault="00E93BE6" w:rsidP="00863480">
      <w:pPr>
        <w:rPr>
          <w:szCs w:val="24"/>
        </w:rPr>
      </w:pPr>
    </w:p>
    <w:p w:rsidR="00E93BE6" w:rsidRPr="009E4F6A" w:rsidRDefault="00E93BE6" w:rsidP="00863480">
      <w:pPr>
        <w:rPr>
          <w:szCs w:val="24"/>
        </w:rPr>
      </w:pPr>
    </w:p>
    <w:p w:rsidR="009E4F6A" w:rsidRPr="009E4F6A" w:rsidRDefault="009E4F6A" w:rsidP="009E4F6A">
      <w:pPr>
        <w:rPr>
          <w:szCs w:val="24"/>
        </w:rPr>
      </w:pPr>
      <w:r w:rsidRPr="009E4F6A">
        <w:rPr>
          <w:szCs w:val="24"/>
        </w:rPr>
        <w:t>The</w:t>
      </w:r>
      <w:r w:rsidR="001A7379">
        <w:rPr>
          <w:szCs w:val="24"/>
        </w:rPr>
        <w:t xml:space="preserve"> Louisiana</w:t>
      </w:r>
      <w:r w:rsidRPr="009E4F6A">
        <w:rPr>
          <w:szCs w:val="24"/>
        </w:rPr>
        <w:t xml:space="preserve"> </w:t>
      </w:r>
      <w:r w:rsidRPr="009E4F6A">
        <w:rPr>
          <w:i/>
          <w:szCs w:val="24"/>
        </w:rPr>
        <w:t>Caring Communities Youth Survey</w:t>
      </w:r>
      <w:r w:rsidRPr="009E4F6A">
        <w:rPr>
          <w:szCs w:val="24"/>
        </w:rPr>
        <w:t xml:space="preserve"> (CCYS) is conducted statewide in November of even numbered calendar years for grades 6, 8, 10 and 12. </w:t>
      </w:r>
      <w:r w:rsidR="00AA50F0">
        <w:rPr>
          <w:szCs w:val="24"/>
        </w:rPr>
        <w:t xml:space="preserve">This summary focuses principally on </w:t>
      </w:r>
      <w:r w:rsidRPr="009E4F6A">
        <w:rPr>
          <w:szCs w:val="24"/>
        </w:rPr>
        <w:t>the 8</w:t>
      </w:r>
      <w:r w:rsidRPr="009E4F6A">
        <w:rPr>
          <w:szCs w:val="24"/>
          <w:vertAlign w:val="superscript"/>
        </w:rPr>
        <w:t>th</w:t>
      </w:r>
      <w:r w:rsidRPr="009E4F6A">
        <w:rPr>
          <w:szCs w:val="24"/>
        </w:rPr>
        <w:t xml:space="preserve"> grade and the 10</w:t>
      </w:r>
      <w:r w:rsidRPr="009E4F6A">
        <w:rPr>
          <w:szCs w:val="24"/>
          <w:vertAlign w:val="superscript"/>
        </w:rPr>
        <w:t>th</w:t>
      </w:r>
      <w:r w:rsidRPr="009E4F6A">
        <w:rPr>
          <w:szCs w:val="24"/>
        </w:rPr>
        <w:t xml:space="preserve"> grade. Eighth grade students are typically 13 years old and substance use and other behaviors by 8</w:t>
      </w:r>
      <w:r w:rsidRPr="009E4F6A">
        <w:rPr>
          <w:szCs w:val="24"/>
          <w:vertAlign w:val="superscript"/>
        </w:rPr>
        <w:t>th</w:t>
      </w:r>
      <w:r w:rsidRPr="009E4F6A">
        <w:rPr>
          <w:szCs w:val="24"/>
        </w:rPr>
        <w:t xml:space="preserve"> graders represent early initiation. The fall semester of the 10</w:t>
      </w:r>
      <w:r w:rsidRPr="009E4F6A">
        <w:rPr>
          <w:szCs w:val="24"/>
          <w:vertAlign w:val="superscript"/>
        </w:rPr>
        <w:t>th</w:t>
      </w:r>
      <w:r w:rsidRPr="009E4F6A">
        <w:rPr>
          <w:szCs w:val="24"/>
        </w:rPr>
        <w:t xml:space="preserve"> grade represents a mid-point for the adolescent ages 12-to-17 while high school drop-out is a relatively small factor for 10</w:t>
      </w:r>
      <w:r w:rsidRPr="009E4F6A">
        <w:rPr>
          <w:szCs w:val="24"/>
          <w:vertAlign w:val="superscript"/>
        </w:rPr>
        <w:t>th</w:t>
      </w:r>
      <w:r w:rsidRPr="009E4F6A">
        <w:rPr>
          <w:szCs w:val="24"/>
        </w:rPr>
        <w:t xml:space="preserve"> graders. Thus 10</w:t>
      </w:r>
      <w:r w:rsidRPr="009E4F6A">
        <w:rPr>
          <w:szCs w:val="24"/>
          <w:vertAlign w:val="superscript"/>
        </w:rPr>
        <w:t>th</w:t>
      </w:r>
      <w:r w:rsidRPr="009E4F6A">
        <w:rPr>
          <w:szCs w:val="24"/>
        </w:rPr>
        <w:t xml:space="preserve"> graders can approximately represent 12-to-17 year-olds as a whole for many indicators. Similarly, the 8</w:t>
      </w:r>
      <w:r w:rsidRPr="009E4F6A">
        <w:rPr>
          <w:szCs w:val="24"/>
          <w:vertAlign w:val="superscript"/>
        </w:rPr>
        <w:t>th</w:t>
      </w:r>
      <w:r w:rsidRPr="009E4F6A">
        <w:rPr>
          <w:szCs w:val="24"/>
        </w:rPr>
        <w:t xml:space="preserve"> grade can represent the later years of middle school while the 10</w:t>
      </w:r>
      <w:r w:rsidRPr="009E4F6A">
        <w:rPr>
          <w:szCs w:val="24"/>
          <w:vertAlign w:val="superscript"/>
        </w:rPr>
        <w:t>th</w:t>
      </w:r>
      <w:r w:rsidRPr="009E4F6A">
        <w:rPr>
          <w:szCs w:val="24"/>
        </w:rPr>
        <w:t xml:space="preserve"> grade represents the early years of high school.</w:t>
      </w:r>
    </w:p>
    <w:p w:rsidR="00863480" w:rsidRDefault="00863480" w:rsidP="00863480">
      <w:pPr>
        <w:rPr>
          <w:szCs w:val="24"/>
        </w:rPr>
      </w:pPr>
    </w:p>
    <w:p w:rsidR="003C3E6B" w:rsidRPr="003C3E6B" w:rsidRDefault="00AA50F0" w:rsidP="003C3E6B">
      <w:pPr>
        <w:rPr>
          <w:szCs w:val="24"/>
        </w:rPr>
      </w:pPr>
      <w:r w:rsidRPr="00AA50F0">
        <w:rPr>
          <w:szCs w:val="24"/>
        </w:rPr>
        <w:t xml:space="preserve">Interpretation of CCYS statistics at the parish level is often difficult due to low completion rates. </w:t>
      </w:r>
      <w:r w:rsidR="00316184">
        <w:rPr>
          <w:szCs w:val="24"/>
        </w:rPr>
        <w:t>This is especially the case for Greater New Orleans, the four parish area consisting of Orleans, Jefferson, Plaquemines and St. Bernard parishes.</w:t>
      </w:r>
      <w:r w:rsidR="002C7F96" w:rsidRPr="002C7F96">
        <w:rPr>
          <w:szCs w:val="24"/>
          <w:vertAlign w:val="superscript"/>
        </w:rPr>
        <w:footnoteReference w:id="1"/>
      </w:r>
      <w:r w:rsidR="00316184">
        <w:rPr>
          <w:szCs w:val="24"/>
        </w:rPr>
        <w:t xml:space="preserve"> Therefore, rather than provide </w:t>
      </w:r>
      <w:r w:rsidR="001A7379">
        <w:rPr>
          <w:szCs w:val="24"/>
        </w:rPr>
        <w:t>unreliable</w:t>
      </w:r>
      <w:r w:rsidR="00316184">
        <w:rPr>
          <w:szCs w:val="24"/>
        </w:rPr>
        <w:t xml:space="preserve"> statistics at the parish level, this analysis reviews all </w:t>
      </w:r>
      <w:r w:rsidR="003C3E6B">
        <w:rPr>
          <w:szCs w:val="24"/>
        </w:rPr>
        <w:t>published</w:t>
      </w:r>
      <w:r w:rsidR="00316184">
        <w:rPr>
          <w:szCs w:val="24"/>
        </w:rPr>
        <w:t xml:space="preserve"> data</w:t>
      </w:r>
      <w:r w:rsidR="003C3E6B">
        <w:rPr>
          <w:szCs w:val="24"/>
        </w:rPr>
        <w:t xml:space="preserve"> for these parishes </w:t>
      </w:r>
      <w:r w:rsidR="00647983">
        <w:rPr>
          <w:szCs w:val="24"/>
        </w:rPr>
        <w:t>as well as</w:t>
      </w:r>
      <w:r w:rsidR="003C3E6B">
        <w:rPr>
          <w:szCs w:val="24"/>
        </w:rPr>
        <w:t xml:space="preserve"> </w:t>
      </w:r>
      <w:r w:rsidR="007D02E3">
        <w:rPr>
          <w:szCs w:val="24"/>
        </w:rPr>
        <w:t xml:space="preserve">the </w:t>
      </w:r>
      <w:r w:rsidR="003C3E6B">
        <w:rPr>
          <w:szCs w:val="24"/>
        </w:rPr>
        <w:t xml:space="preserve">state level </w:t>
      </w:r>
      <w:r w:rsidR="007D02E3">
        <w:rPr>
          <w:szCs w:val="24"/>
        </w:rPr>
        <w:t xml:space="preserve">data </w:t>
      </w:r>
      <w:r w:rsidR="003C3E6B">
        <w:rPr>
          <w:szCs w:val="24"/>
        </w:rPr>
        <w:t>in order to provide useful statistics.</w:t>
      </w:r>
      <w:r w:rsidR="001F7817">
        <w:rPr>
          <w:rStyle w:val="FootnoteReference"/>
          <w:szCs w:val="24"/>
        </w:rPr>
        <w:footnoteReference w:id="2"/>
      </w:r>
      <w:r w:rsidR="003C3E6B">
        <w:rPr>
          <w:szCs w:val="24"/>
        </w:rPr>
        <w:t xml:space="preserve"> Thus, e</w:t>
      </w:r>
      <w:r w:rsidR="003C3E6B" w:rsidRPr="003C3E6B">
        <w:rPr>
          <w:i/>
          <w:szCs w:val="24"/>
        </w:rPr>
        <w:t xml:space="preserve">stimates provided for Greater New Orleans are approximations useful for planning purposes, but not adequate for tracking change </w:t>
      </w:r>
      <w:r w:rsidR="003C3E6B" w:rsidRPr="003C3E6B">
        <w:rPr>
          <w:szCs w:val="24"/>
        </w:rPr>
        <w:t>and are</w:t>
      </w:r>
      <w:r w:rsidR="001A7379">
        <w:rPr>
          <w:szCs w:val="24"/>
        </w:rPr>
        <w:t>, therefore,</w:t>
      </w:r>
      <w:r w:rsidR="003C3E6B" w:rsidRPr="003C3E6B">
        <w:rPr>
          <w:szCs w:val="24"/>
        </w:rPr>
        <w:t xml:space="preserve"> prefaced with the qualifier, “</w:t>
      </w:r>
      <w:r w:rsidR="003C3E6B" w:rsidRPr="003C3E6B">
        <w:rPr>
          <w:i/>
          <w:szCs w:val="24"/>
        </w:rPr>
        <w:t>about</w:t>
      </w:r>
      <w:r w:rsidR="003C3E6B" w:rsidRPr="003C3E6B">
        <w:rPr>
          <w:szCs w:val="24"/>
        </w:rPr>
        <w:t>.”</w:t>
      </w:r>
    </w:p>
    <w:p w:rsidR="00AA50F0" w:rsidRPr="009E4F6A" w:rsidRDefault="00AA50F0" w:rsidP="00863480">
      <w:pPr>
        <w:rPr>
          <w:szCs w:val="24"/>
        </w:rPr>
      </w:pPr>
    </w:p>
    <w:p w:rsidR="00FC3C21" w:rsidRDefault="00FC3C21">
      <w:pPr>
        <w:rPr>
          <w:b/>
          <w:szCs w:val="24"/>
        </w:rPr>
      </w:pPr>
      <w:r>
        <w:rPr>
          <w:b/>
          <w:szCs w:val="24"/>
        </w:rPr>
        <w:br w:type="page"/>
      </w:r>
    </w:p>
    <w:p w:rsidR="008B3091" w:rsidRPr="009E4F6A" w:rsidRDefault="008B3091" w:rsidP="00863480">
      <w:pPr>
        <w:rPr>
          <w:b/>
          <w:szCs w:val="24"/>
        </w:rPr>
      </w:pPr>
      <w:r w:rsidRPr="009E4F6A">
        <w:rPr>
          <w:b/>
          <w:szCs w:val="24"/>
        </w:rPr>
        <w:lastRenderedPageBreak/>
        <w:t>Early Exposure to Alcohol, Drugs and Tobacco</w:t>
      </w:r>
    </w:p>
    <w:p w:rsidR="008B3091" w:rsidRPr="009E4F6A" w:rsidRDefault="008B3091" w:rsidP="008B3091">
      <w:pPr>
        <w:rPr>
          <w:szCs w:val="24"/>
        </w:rPr>
      </w:pPr>
    </w:p>
    <w:p w:rsidR="008B3091" w:rsidRPr="009E4F6A" w:rsidRDefault="008B3091" w:rsidP="008B3091">
      <w:pPr>
        <w:rPr>
          <w:szCs w:val="24"/>
        </w:rPr>
      </w:pPr>
      <w:r w:rsidRPr="009E4F6A">
        <w:rPr>
          <w:szCs w:val="24"/>
        </w:rPr>
        <w:t xml:space="preserve">One measurement of early exposure to alcohol, drugs and tobacco is the proportion of adolescents of certain age or grade levels who have ever used a particular substance. Although availability of a substance does not mean that an individual will use it, actual use of a substance implies availability, i.e., exposure. This measure is often referred to as “lifetime use.” </w:t>
      </w:r>
    </w:p>
    <w:p w:rsidR="00D241E5" w:rsidRDefault="00D241E5" w:rsidP="008B3091">
      <w:pPr>
        <w:rPr>
          <w:szCs w:val="24"/>
        </w:rPr>
      </w:pPr>
    </w:p>
    <w:p w:rsidR="00D241E5" w:rsidRPr="00D241E5" w:rsidRDefault="00D241E5" w:rsidP="00D241E5">
      <w:pPr>
        <w:rPr>
          <w:szCs w:val="24"/>
        </w:rPr>
      </w:pPr>
      <w:r w:rsidRPr="00D241E5">
        <w:rPr>
          <w:szCs w:val="24"/>
        </w:rPr>
        <w:t xml:space="preserve">In Greater New Orleans, by the fall semester, </w:t>
      </w:r>
      <w:r w:rsidRPr="00D241E5">
        <w:rPr>
          <w:i/>
          <w:szCs w:val="24"/>
        </w:rPr>
        <w:t>about</w:t>
      </w:r>
      <w:r w:rsidRPr="00D241E5">
        <w:rPr>
          <w:szCs w:val="24"/>
        </w:rPr>
        <w:t xml:space="preserve"> 37 percent of 8</w:t>
      </w:r>
      <w:r w:rsidRPr="00D241E5">
        <w:rPr>
          <w:szCs w:val="24"/>
          <w:vertAlign w:val="superscript"/>
        </w:rPr>
        <w:t>th</w:t>
      </w:r>
      <w:r w:rsidRPr="00D241E5">
        <w:rPr>
          <w:szCs w:val="24"/>
        </w:rPr>
        <w:t xml:space="preserve"> grade students have had a drink of </w:t>
      </w:r>
      <w:r w:rsidRPr="00D241E5">
        <w:rPr>
          <w:b/>
          <w:szCs w:val="24"/>
        </w:rPr>
        <w:t>alcohol</w:t>
      </w:r>
      <w:r w:rsidR="008048A2">
        <w:rPr>
          <w:b/>
          <w:szCs w:val="24"/>
        </w:rPr>
        <w:t xml:space="preserve"> </w:t>
      </w:r>
      <w:r w:rsidR="008048A2" w:rsidRPr="008048A2">
        <w:rPr>
          <w:szCs w:val="24"/>
        </w:rPr>
        <w:t>(more than a sip or two)</w:t>
      </w:r>
      <w:r w:rsidRPr="008048A2">
        <w:rPr>
          <w:szCs w:val="24"/>
        </w:rPr>
        <w:t xml:space="preserve">, </w:t>
      </w:r>
      <w:r w:rsidRPr="00D241E5">
        <w:rPr>
          <w:szCs w:val="24"/>
        </w:rPr>
        <w:t>based on the 2012 CCYS survey. Among 10</w:t>
      </w:r>
      <w:r w:rsidRPr="00D241E5">
        <w:rPr>
          <w:szCs w:val="24"/>
          <w:vertAlign w:val="superscript"/>
        </w:rPr>
        <w:t>th</w:t>
      </w:r>
      <w:r w:rsidRPr="00D241E5">
        <w:rPr>
          <w:szCs w:val="24"/>
        </w:rPr>
        <w:t xml:space="preserve"> grade students, </w:t>
      </w:r>
      <w:r w:rsidRPr="00D241E5">
        <w:rPr>
          <w:i/>
          <w:szCs w:val="24"/>
        </w:rPr>
        <w:t>about</w:t>
      </w:r>
      <w:r w:rsidRPr="00D241E5">
        <w:rPr>
          <w:szCs w:val="24"/>
        </w:rPr>
        <w:t xml:space="preserve"> 55 percent have had a drink of alcohol. Lifetime alcohol use among 8</w:t>
      </w:r>
      <w:r w:rsidRPr="00D241E5">
        <w:rPr>
          <w:szCs w:val="24"/>
          <w:vertAlign w:val="superscript"/>
        </w:rPr>
        <w:t>th</w:t>
      </w:r>
      <w:r w:rsidRPr="00D241E5">
        <w:rPr>
          <w:szCs w:val="24"/>
        </w:rPr>
        <w:t xml:space="preserve"> and 10</w:t>
      </w:r>
      <w:r w:rsidRPr="00D241E5">
        <w:rPr>
          <w:szCs w:val="24"/>
          <w:vertAlign w:val="superscript"/>
        </w:rPr>
        <w:t>th</w:t>
      </w:r>
      <w:r w:rsidRPr="00D241E5">
        <w:rPr>
          <w:szCs w:val="24"/>
        </w:rPr>
        <w:t xml:space="preserve"> graders appears to have declined from 2008 levels.</w:t>
      </w:r>
    </w:p>
    <w:p w:rsidR="00AA50F0" w:rsidRDefault="00AA50F0" w:rsidP="008B3091">
      <w:pPr>
        <w:rPr>
          <w:szCs w:val="24"/>
        </w:rPr>
      </w:pPr>
    </w:p>
    <w:p w:rsidR="00AA50F0" w:rsidRPr="009E4F6A" w:rsidRDefault="00D241E5" w:rsidP="008B3091">
      <w:pPr>
        <w:rPr>
          <w:szCs w:val="24"/>
        </w:rPr>
      </w:pPr>
      <w:r w:rsidRPr="00D241E5">
        <w:rPr>
          <w:szCs w:val="24"/>
        </w:rPr>
        <w:t xml:space="preserve">In Greater New Orleans, by the fall semester, </w:t>
      </w:r>
      <w:r w:rsidRPr="00D241E5">
        <w:rPr>
          <w:i/>
          <w:szCs w:val="24"/>
        </w:rPr>
        <w:t>about</w:t>
      </w:r>
      <w:r w:rsidRPr="00D241E5">
        <w:rPr>
          <w:szCs w:val="24"/>
        </w:rPr>
        <w:t xml:space="preserve"> 18 percent of 8</w:t>
      </w:r>
      <w:r w:rsidRPr="00D241E5">
        <w:rPr>
          <w:szCs w:val="24"/>
          <w:vertAlign w:val="superscript"/>
        </w:rPr>
        <w:t>th</w:t>
      </w:r>
      <w:r w:rsidRPr="00D241E5">
        <w:rPr>
          <w:szCs w:val="24"/>
        </w:rPr>
        <w:t xml:space="preserve"> grade students have smoked </w:t>
      </w:r>
      <w:r w:rsidRPr="00D241E5">
        <w:rPr>
          <w:b/>
          <w:szCs w:val="24"/>
        </w:rPr>
        <w:t>cigarettes</w:t>
      </w:r>
      <w:r w:rsidRPr="00D241E5">
        <w:rPr>
          <w:szCs w:val="24"/>
        </w:rPr>
        <w:t>, based on the 2012 CCYS survey. Among 10</w:t>
      </w:r>
      <w:r w:rsidRPr="00D241E5">
        <w:rPr>
          <w:szCs w:val="24"/>
          <w:vertAlign w:val="superscript"/>
        </w:rPr>
        <w:t>th</w:t>
      </w:r>
      <w:r w:rsidRPr="00D241E5">
        <w:rPr>
          <w:szCs w:val="24"/>
        </w:rPr>
        <w:t xml:space="preserve"> grade students, </w:t>
      </w:r>
      <w:r w:rsidRPr="00D241E5">
        <w:rPr>
          <w:i/>
          <w:szCs w:val="24"/>
        </w:rPr>
        <w:t>about</w:t>
      </w:r>
      <w:r w:rsidRPr="00D241E5">
        <w:rPr>
          <w:szCs w:val="24"/>
        </w:rPr>
        <w:t xml:space="preserve"> 24 percent have smoked cigarettes. Lifetime cigarette use among 8</w:t>
      </w:r>
      <w:r w:rsidRPr="00D241E5">
        <w:rPr>
          <w:szCs w:val="24"/>
          <w:vertAlign w:val="superscript"/>
        </w:rPr>
        <w:t>th</w:t>
      </w:r>
      <w:r w:rsidRPr="00D241E5">
        <w:rPr>
          <w:szCs w:val="24"/>
        </w:rPr>
        <w:t xml:space="preserve"> and 10</w:t>
      </w:r>
      <w:r w:rsidRPr="00D241E5">
        <w:rPr>
          <w:szCs w:val="24"/>
          <w:vertAlign w:val="superscript"/>
        </w:rPr>
        <w:t>th</w:t>
      </w:r>
      <w:r w:rsidRPr="00D241E5">
        <w:rPr>
          <w:szCs w:val="24"/>
        </w:rPr>
        <w:t xml:space="preserve"> graders appears to have declined from 2008 levels.</w:t>
      </w:r>
    </w:p>
    <w:p w:rsidR="00EC60D6" w:rsidRDefault="00EC60D6" w:rsidP="00D241E5">
      <w:pPr>
        <w:rPr>
          <w:szCs w:val="24"/>
        </w:rPr>
      </w:pPr>
    </w:p>
    <w:tbl>
      <w:tblPr>
        <w:tblStyle w:val="TableGrid"/>
        <w:tblpPr w:leftFromText="180" w:rightFromText="180" w:vertAnchor="text" w:horzAnchor="margin" w:tblpXSpec="right" w:tblpY="193"/>
        <w:tblOverlap w:val="never"/>
        <w:tblW w:w="0" w:type="auto"/>
        <w:tblLayout w:type="fixed"/>
        <w:tblLook w:val="04A0" w:firstRow="1" w:lastRow="0" w:firstColumn="1" w:lastColumn="0" w:noHBand="0" w:noVBand="1"/>
      </w:tblPr>
      <w:tblGrid>
        <w:gridCol w:w="1548"/>
        <w:gridCol w:w="900"/>
        <w:gridCol w:w="900"/>
        <w:gridCol w:w="900"/>
        <w:gridCol w:w="900"/>
      </w:tblGrid>
      <w:tr w:rsidR="004B313F" w:rsidRPr="009C774F" w:rsidTr="00381284">
        <w:trPr>
          <w:trHeight w:val="1071"/>
        </w:trPr>
        <w:tc>
          <w:tcPr>
            <w:tcW w:w="5148" w:type="dxa"/>
            <w:gridSpan w:val="5"/>
            <w:tcMar>
              <w:left w:w="29" w:type="dxa"/>
              <w:right w:w="29" w:type="dxa"/>
            </w:tcMar>
            <w:vAlign w:val="center"/>
          </w:tcPr>
          <w:p w:rsidR="004B313F" w:rsidRPr="000B6FF1" w:rsidRDefault="00381284" w:rsidP="004B313F">
            <w:pPr>
              <w:jc w:val="center"/>
              <w:rPr>
                <w:b/>
                <w:sz w:val="20"/>
              </w:rPr>
            </w:pPr>
            <w:r>
              <w:rPr>
                <w:b/>
                <w:sz w:val="20"/>
              </w:rPr>
              <w:t xml:space="preserve">Table 1: </w:t>
            </w:r>
            <w:r w:rsidR="004B313F" w:rsidRPr="000B6FF1">
              <w:rPr>
                <w:b/>
                <w:sz w:val="20"/>
              </w:rPr>
              <w:t>Lifetime Use of Alcohol, Cigarettes and Marijuana</w:t>
            </w:r>
            <w:r>
              <w:rPr>
                <w:b/>
                <w:sz w:val="20"/>
              </w:rPr>
              <w:t xml:space="preserve"> </w:t>
            </w:r>
          </w:p>
          <w:p w:rsidR="004B313F" w:rsidRPr="000B6FF1" w:rsidRDefault="004B313F" w:rsidP="004B313F">
            <w:pPr>
              <w:jc w:val="center"/>
              <w:rPr>
                <w:b/>
                <w:sz w:val="20"/>
              </w:rPr>
            </w:pPr>
            <w:r w:rsidRPr="000B6FF1">
              <w:rPr>
                <w:b/>
                <w:sz w:val="20"/>
              </w:rPr>
              <w:t xml:space="preserve"> Among 8</w:t>
            </w:r>
            <w:r w:rsidRPr="000B6FF1">
              <w:rPr>
                <w:b/>
                <w:sz w:val="20"/>
                <w:vertAlign w:val="superscript"/>
              </w:rPr>
              <w:t>th</w:t>
            </w:r>
            <w:r w:rsidRPr="000B6FF1">
              <w:rPr>
                <w:b/>
                <w:sz w:val="20"/>
              </w:rPr>
              <w:t xml:space="preserve"> and 10</w:t>
            </w:r>
            <w:r w:rsidRPr="000B6FF1">
              <w:rPr>
                <w:b/>
                <w:sz w:val="20"/>
                <w:vertAlign w:val="superscript"/>
              </w:rPr>
              <w:t>th</w:t>
            </w:r>
            <w:r w:rsidRPr="000B6FF1">
              <w:rPr>
                <w:b/>
                <w:sz w:val="20"/>
              </w:rPr>
              <w:t xml:space="preserve"> grade students in </w:t>
            </w:r>
          </w:p>
          <w:p w:rsidR="004B313F" w:rsidRPr="000B6FF1" w:rsidRDefault="004B313F" w:rsidP="004B313F">
            <w:pPr>
              <w:jc w:val="center"/>
              <w:rPr>
                <w:b/>
                <w:sz w:val="20"/>
              </w:rPr>
            </w:pPr>
            <w:r w:rsidRPr="000B6FF1">
              <w:rPr>
                <w:b/>
                <w:sz w:val="20"/>
              </w:rPr>
              <w:t>Greater New Orleans (GNO)* based on</w:t>
            </w:r>
          </w:p>
          <w:p w:rsidR="004B313F" w:rsidRPr="009C774F" w:rsidRDefault="004B313F" w:rsidP="004B313F">
            <w:pPr>
              <w:jc w:val="center"/>
              <w:rPr>
                <w:sz w:val="20"/>
              </w:rPr>
            </w:pPr>
            <w:r>
              <w:rPr>
                <w:b/>
                <w:sz w:val="20"/>
              </w:rPr>
              <w:t xml:space="preserve"> the Caring Communities Y</w:t>
            </w:r>
            <w:r w:rsidRPr="000B6FF1">
              <w:rPr>
                <w:b/>
                <w:sz w:val="20"/>
              </w:rPr>
              <w:t>outh Survey</w:t>
            </w:r>
          </w:p>
        </w:tc>
      </w:tr>
      <w:tr w:rsidR="004B313F" w:rsidRPr="009C774F" w:rsidTr="004B313F">
        <w:trPr>
          <w:trHeight w:val="342"/>
        </w:trPr>
        <w:tc>
          <w:tcPr>
            <w:tcW w:w="1548" w:type="dxa"/>
            <w:vMerge w:val="restart"/>
            <w:vAlign w:val="center"/>
          </w:tcPr>
          <w:p w:rsidR="004B313F" w:rsidRDefault="004B313F" w:rsidP="004B313F">
            <w:pPr>
              <w:jc w:val="center"/>
              <w:rPr>
                <w:sz w:val="20"/>
              </w:rPr>
            </w:pPr>
            <w:r>
              <w:rPr>
                <w:sz w:val="20"/>
              </w:rPr>
              <w:t xml:space="preserve">Lifetime </w:t>
            </w:r>
          </w:p>
          <w:p w:rsidR="004B313F" w:rsidRPr="009C774F" w:rsidRDefault="004B313F" w:rsidP="004B313F">
            <w:pPr>
              <w:jc w:val="center"/>
              <w:rPr>
                <w:sz w:val="20"/>
              </w:rPr>
            </w:pPr>
            <w:r>
              <w:rPr>
                <w:sz w:val="20"/>
              </w:rPr>
              <w:t>Use</w:t>
            </w:r>
          </w:p>
        </w:tc>
        <w:tc>
          <w:tcPr>
            <w:tcW w:w="3600" w:type="dxa"/>
            <w:gridSpan w:val="4"/>
            <w:vAlign w:val="center"/>
          </w:tcPr>
          <w:p w:rsidR="004B313F" w:rsidRPr="009C774F" w:rsidRDefault="004B313F" w:rsidP="000322F9">
            <w:pPr>
              <w:jc w:val="center"/>
              <w:rPr>
                <w:sz w:val="20"/>
              </w:rPr>
            </w:pPr>
            <w:r>
              <w:rPr>
                <w:sz w:val="20"/>
              </w:rPr>
              <w:t>2012 Estimates</w:t>
            </w:r>
          </w:p>
        </w:tc>
      </w:tr>
      <w:tr w:rsidR="004B313F" w:rsidRPr="009C774F" w:rsidTr="004B313F">
        <w:trPr>
          <w:trHeight w:val="360"/>
        </w:trPr>
        <w:tc>
          <w:tcPr>
            <w:tcW w:w="1548" w:type="dxa"/>
            <w:vMerge/>
            <w:vAlign w:val="center"/>
          </w:tcPr>
          <w:p w:rsidR="004B313F" w:rsidRPr="009C774F" w:rsidRDefault="004B313F" w:rsidP="004B313F">
            <w:pPr>
              <w:jc w:val="center"/>
              <w:rPr>
                <w:sz w:val="20"/>
              </w:rPr>
            </w:pPr>
          </w:p>
        </w:tc>
        <w:tc>
          <w:tcPr>
            <w:tcW w:w="1800" w:type="dxa"/>
            <w:gridSpan w:val="2"/>
            <w:tcMar>
              <w:left w:w="43" w:type="dxa"/>
              <w:right w:w="43" w:type="dxa"/>
            </w:tcMar>
            <w:vAlign w:val="center"/>
          </w:tcPr>
          <w:p w:rsidR="004B313F" w:rsidRPr="009C774F" w:rsidRDefault="004B313F" w:rsidP="004B313F">
            <w:pPr>
              <w:jc w:val="center"/>
              <w:rPr>
                <w:sz w:val="20"/>
              </w:rPr>
            </w:pPr>
            <w:r>
              <w:rPr>
                <w:sz w:val="20"/>
              </w:rPr>
              <w:t>8</w:t>
            </w:r>
            <w:r w:rsidRPr="000B17FE">
              <w:rPr>
                <w:sz w:val="20"/>
                <w:vertAlign w:val="superscript"/>
              </w:rPr>
              <w:t>th</w:t>
            </w:r>
            <w:r>
              <w:rPr>
                <w:sz w:val="20"/>
              </w:rPr>
              <w:t xml:space="preserve"> Grade</w:t>
            </w:r>
          </w:p>
        </w:tc>
        <w:tc>
          <w:tcPr>
            <w:tcW w:w="1800" w:type="dxa"/>
            <w:gridSpan w:val="2"/>
            <w:tcMar>
              <w:left w:w="43" w:type="dxa"/>
              <w:right w:w="43" w:type="dxa"/>
            </w:tcMar>
            <w:vAlign w:val="center"/>
          </w:tcPr>
          <w:p w:rsidR="004B313F" w:rsidRPr="009C774F" w:rsidRDefault="004B313F" w:rsidP="004B313F">
            <w:pPr>
              <w:jc w:val="center"/>
              <w:rPr>
                <w:sz w:val="20"/>
              </w:rPr>
            </w:pPr>
            <w:r>
              <w:rPr>
                <w:sz w:val="20"/>
              </w:rPr>
              <w:t>10</w:t>
            </w:r>
            <w:r w:rsidRPr="000B17FE">
              <w:rPr>
                <w:sz w:val="20"/>
                <w:vertAlign w:val="superscript"/>
              </w:rPr>
              <w:t>th</w:t>
            </w:r>
            <w:r>
              <w:rPr>
                <w:sz w:val="20"/>
              </w:rPr>
              <w:t xml:space="preserve"> Grade</w:t>
            </w:r>
          </w:p>
        </w:tc>
      </w:tr>
      <w:tr w:rsidR="004B313F" w:rsidRPr="009C774F" w:rsidTr="004B313F">
        <w:trPr>
          <w:trHeight w:val="522"/>
        </w:trPr>
        <w:tc>
          <w:tcPr>
            <w:tcW w:w="1548" w:type="dxa"/>
            <w:vMerge/>
            <w:vAlign w:val="center"/>
          </w:tcPr>
          <w:p w:rsidR="004B313F" w:rsidRDefault="004B313F" w:rsidP="004B313F">
            <w:pPr>
              <w:rPr>
                <w:sz w:val="20"/>
              </w:rPr>
            </w:pPr>
          </w:p>
        </w:tc>
        <w:tc>
          <w:tcPr>
            <w:tcW w:w="900" w:type="dxa"/>
            <w:tcMar>
              <w:left w:w="43" w:type="dxa"/>
              <w:right w:w="43" w:type="dxa"/>
            </w:tcMar>
            <w:vAlign w:val="center"/>
          </w:tcPr>
          <w:p w:rsidR="004B313F" w:rsidRPr="009C774F" w:rsidRDefault="004B313F" w:rsidP="004B313F">
            <w:pPr>
              <w:jc w:val="center"/>
              <w:rPr>
                <w:sz w:val="20"/>
              </w:rPr>
            </w:pPr>
            <w:r>
              <w:rPr>
                <w:sz w:val="20"/>
              </w:rPr>
              <w:t>GNO Estimate</w:t>
            </w:r>
          </w:p>
        </w:tc>
        <w:tc>
          <w:tcPr>
            <w:tcW w:w="900" w:type="dxa"/>
            <w:tcMar>
              <w:left w:w="43" w:type="dxa"/>
              <w:right w:w="43" w:type="dxa"/>
            </w:tcMar>
            <w:vAlign w:val="center"/>
          </w:tcPr>
          <w:p w:rsidR="004B313F" w:rsidRDefault="004B313F" w:rsidP="004B313F">
            <w:pPr>
              <w:jc w:val="center"/>
              <w:rPr>
                <w:sz w:val="20"/>
              </w:rPr>
            </w:pPr>
            <w:r>
              <w:rPr>
                <w:sz w:val="20"/>
              </w:rPr>
              <w:t>State</w:t>
            </w:r>
          </w:p>
          <w:p w:rsidR="004B313F" w:rsidRPr="009C774F" w:rsidRDefault="004B313F" w:rsidP="004B313F">
            <w:pPr>
              <w:jc w:val="center"/>
              <w:rPr>
                <w:sz w:val="20"/>
              </w:rPr>
            </w:pPr>
            <w:r>
              <w:rPr>
                <w:sz w:val="20"/>
              </w:rPr>
              <w:t>wide</w:t>
            </w:r>
          </w:p>
        </w:tc>
        <w:tc>
          <w:tcPr>
            <w:tcW w:w="900" w:type="dxa"/>
            <w:tcMar>
              <w:left w:w="43" w:type="dxa"/>
              <w:right w:w="43" w:type="dxa"/>
            </w:tcMar>
            <w:vAlign w:val="center"/>
          </w:tcPr>
          <w:p w:rsidR="004B313F" w:rsidRPr="009C774F" w:rsidRDefault="004B313F" w:rsidP="004B313F">
            <w:pPr>
              <w:jc w:val="center"/>
              <w:rPr>
                <w:sz w:val="20"/>
              </w:rPr>
            </w:pPr>
            <w:r>
              <w:rPr>
                <w:sz w:val="20"/>
              </w:rPr>
              <w:t>GNO Estimate</w:t>
            </w:r>
          </w:p>
        </w:tc>
        <w:tc>
          <w:tcPr>
            <w:tcW w:w="900" w:type="dxa"/>
            <w:tcMar>
              <w:left w:w="43" w:type="dxa"/>
              <w:right w:w="43" w:type="dxa"/>
            </w:tcMar>
            <w:vAlign w:val="center"/>
          </w:tcPr>
          <w:p w:rsidR="004B313F" w:rsidRDefault="004B313F" w:rsidP="004B313F">
            <w:pPr>
              <w:jc w:val="center"/>
              <w:rPr>
                <w:sz w:val="20"/>
              </w:rPr>
            </w:pPr>
            <w:r>
              <w:rPr>
                <w:sz w:val="20"/>
              </w:rPr>
              <w:t>State</w:t>
            </w:r>
          </w:p>
          <w:p w:rsidR="004B313F" w:rsidRPr="009C774F" w:rsidRDefault="004B313F" w:rsidP="004B313F">
            <w:pPr>
              <w:jc w:val="center"/>
              <w:rPr>
                <w:sz w:val="20"/>
              </w:rPr>
            </w:pPr>
            <w:r>
              <w:rPr>
                <w:sz w:val="20"/>
              </w:rPr>
              <w:t>wide</w:t>
            </w:r>
          </w:p>
        </w:tc>
      </w:tr>
      <w:tr w:rsidR="004B313F" w:rsidRPr="009C774F" w:rsidTr="004B313F">
        <w:trPr>
          <w:trHeight w:val="254"/>
        </w:trPr>
        <w:tc>
          <w:tcPr>
            <w:tcW w:w="1548" w:type="dxa"/>
            <w:vAlign w:val="center"/>
          </w:tcPr>
          <w:p w:rsidR="004B313F" w:rsidRPr="009C774F" w:rsidRDefault="004B313F" w:rsidP="004B313F">
            <w:pPr>
              <w:rPr>
                <w:sz w:val="20"/>
              </w:rPr>
            </w:pPr>
            <w:r>
              <w:rPr>
                <w:sz w:val="20"/>
              </w:rPr>
              <w:t>Alcohol</w:t>
            </w:r>
          </w:p>
        </w:tc>
        <w:tc>
          <w:tcPr>
            <w:tcW w:w="900" w:type="dxa"/>
            <w:vAlign w:val="center"/>
          </w:tcPr>
          <w:p w:rsidR="004B313F" w:rsidRPr="009C774F" w:rsidRDefault="004B313F" w:rsidP="004B313F">
            <w:pPr>
              <w:jc w:val="center"/>
              <w:rPr>
                <w:sz w:val="20"/>
              </w:rPr>
            </w:pPr>
            <w:r>
              <w:rPr>
                <w:sz w:val="20"/>
              </w:rPr>
              <w:t>37%</w:t>
            </w:r>
          </w:p>
        </w:tc>
        <w:tc>
          <w:tcPr>
            <w:tcW w:w="900" w:type="dxa"/>
            <w:vAlign w:val="center"/>
          </w:tcPr>
          <w:p w:rsidR="004B313F" w:rsidRPr="009C774F" w:rsidRDefault="004B313F" w:rsidP="004B313F">
            <w:pPr>
              <w:jc w:val="center"/>
              <w:rPr>
                <w:sz w:val="20"/>
              </w:rPr>
            </w:pPr>
            <w:r>
              <w:rPr>
                <w:sz w:val="20"/>
              </w:rPr>
              <w:t>41%</w:t>
            </w:r>
          </w:p>
        </w:tc>
        <w:tc>
          <w:tcPr>
            <w:tcW w:w="900" w:type="dxa"/>
            <w:vAlign w:val="center"/>
          </w:tcPr>
          <w:p w:rsidR="004B313F" w:rsidRPr="009C774F" w:rsidRDefault="004B313F" w:rsidP="004B313F">
            <w:pPr>
              <w:jc w:val="center"/>
              <w:rPr>
                <w:sz w:val="20"/>
              </w:rPr>
            </w:pPr>
            <w:r>
              <w:rPr>
                <w:sz w:val="20"/>
              </w:rPr>
              <w:t>55%</w:t>
            </w:r>
          </w:p>
        </w:tc>
        <w:tc>
          <w:tcPr>
            <w:tcW w:w="900" w:type="dxa"/>
            <w:vAlign w:val="center"/>
          </w:tcPr>
          <w:p w:rsidR="004B313F" w:rsidRPr="009C774F" w:rsidRDefault="004B313F" w:rsidP="004B313F">
            <w:pPr>
              <w:jc w:val="center"/>
              <w:rPr>
                <w:sz w:val="20"/>
              </w:rPr>
            </w:pPr>
            <w:r>
              <w:rPr>
                <w:sz w:val="20"/>
              </w:rPr>
              <w:t>61%</w:t>
            </w:r>
          </w:p>
        </w:tc>
      </w:tr>
      <w:tr w:rsidR="004B313F" w:rsidRPr="009C774F" w:rsidTr="004B313F">
        <w:trPr>
          <w:trHeight w:val="254"/>
        </w:trPr>
        <w:tc>
          <w:tcPr>
            <w:tcW w:w="1548" w:type="dxa"/>
            <w:vAlign w:val="center"/>
          </w:tcPr>
          <w:p w:rsidR="004B313F" w:rsidRPr="009C774F" w:rsidRDefault="004B313F" w:rsidP="004B313F">
            <w:pPr>
              <w:rPr>
                <w:sz w:val="20"/>
              </w:rPr>
            </w:pPr>
            <w:r>
              <w:rPr>
                <w:sz w:val="20"/>
              </w:rPr>
              <w:t>Cigarettes</w:t>
            </w:r>
          </w:p>
        </w:tc>
        <w:tc>
          <w:tcPr>
            <w:tcW w:w="900" w:type="dxa"/>
            <w:vAlign w:val="center"/>
          </w:tcPr>
          <w:p w:rsidR="004B313F" w:rsidRPr="009C774F" w:rsidRDefault="004B313F" w:rsidP="004B313F">
            <w:pPr>
              <w:jc w:val="center"/>
              <w:rPr>
                <w:sz w:val="20"/>
              </w:rPr>
            </w:pPr>
            <w:r>
              <w:rPr>
                <w:sz w:val="20"/>
              </w:rPr>
              <w:t>18%</w:t>
            </w:r>
          </w:p>
        </w:tc>
        <w:tc>
          <w:tcPr>
            <w:tcW w:w="900" w:type="dxa"/>
            <w:vAlign w:val="center"/>
          </w:tcPr>
          <w:p w:rsidR="004B313F" w:rsidRPr="009C774F" w:rsidRDefault="004B313F" w:rsidP="004B313F">
            <w:pPr>
              <w:jc w:val="center"/>
              <w:rPr>
                <w:sz w:val="20"/>
              </w:rPr>
            </w:pPr>
            <w:r>
              <w:rPr>
                <w:sz w:val="20"/>
              </w:rPr>
              <w:t>21%</w:t>
            </w:r>
          </w:p>
        </w:tc>
        <w:tc>
          <w:tcPr>
            <w:tcW w:w="900" w:type="dxa"/>
            <w:vAlign w:val="center"/>
          </w:tcPr>
          <w:p w:rsidR="004B313F" w:rsidRPr="009C774F" w:rsidRDefault="004B313F" w:rsidP="004B313F">
            <w:pPr>
              <w:jc w:val="center"/>
              <w:rPr>
                <w:sz w:val="20"/>
              </w:rPr>
            </w:pPr>
            <w:r>
              <w:rPr>
                <w:sz w:val="20"/>
              </w:rPr>
              <w:t>24%</w:t>
            </w:r>
          </w:p>
        </w:tc>
        <w:tc>
          <w:tcPr>
            <w:tcW w:w="900" w:type="dxa"/>
            <w:vAlign w:val="center"/>
          </w:tcPr>
          <w:p w:rsidR="004B313F" w:rsidRPr="009C774F" w:rsidRDefault="004B313F" w:rsidP="004B313F">
            <w:pPr>
              <w:jc w:val="center"/>
              <w:rPr>
                <w:sz w:val="20"/>
              </w:rPr>
            </w:pPr>
            <w:r>
              <w:rPr>
                <w:sz w:val="20"/>
              </w:rPr>
              <w:t>32%</w:t>
            </w:r>
          </w:p>
        </w:tc>
      </w:tr>
      <w:tr w:rsidR="004B313F" w:rsidRPr="009C774F" w:rsidTr="004B313F">
        <w:trPr>
          <w:trHeight w:val="254"/>
        </w:trPr>
        <w:tc>
          <w:tcPr>
            <w:tcW w:w="1548" w:type="dxa"/>
            <w:vAlign w:val="center"/>
          </w:tcPr>
          <w:p w:rsidR="004B313F" w:rsidRPr="009C774F" w:rsidRDefault="004B313F" w:rsidP="004B313F">
            <w:pPr>
              <w:rPr>
                <w:sz w:val="20"/>
              </w:rPr>
            </w:pPr>
            <w:r>
              <w:rPr>
                <w:sz w:val="20"/>
              </w:rPr>
              <w:t>Marijuana</w:t>
            </w:r>
          </w:p>
        </w:tc>
        <w:tc>
          <w:tcPr>
            <w:tcW w:w="900" w:type="dxa"/>
            <w:vAlign w:val="center"/>
          </w:tcPr>
          <w:p w:rsidR="004B313F" w:rsidRPr="009C774F" w:rsidRDefault="004B313F" w:rsidP="004B313F">
            <w:pPr>
              <w:jc w:val="center"/>
              <w:rPr>
                <w:sz w:val="20"/>
              </w:rPr>
            </w:pPr>
            <w:r>
              <w:rPr>
                <w:sz w:val="20"/>
              </w:rPr>
              <w:t>12%</w:t>
            </w:r>
          </w:p>
        </w:tc>
        <w:tc>
          <w:tcPr>
            <w:tcW w:w="900" w:type="dxa"/>
            <w:vAlign w:val="center"/>
          </w:tcPr>
          <w:p w:rsidR="004B313F" w:rsidRPr="009C774F" w:rsidRDefault="004B313F" w:rsidP="004B313F">
            <w:pPr>
              <w:jc w:val="center"/>
              <w:rPr>
                <w:sz w:val="20"/>
              </w:rPr>
            </w:pPr>
            <w:r>
              <w:rPr>
                <w:sz w:val="20"/>
              </w:rPr>
              <w:t>10%</w:t>
            </w:r>
          </w:p>
        </w:tc>
        <w:tc>
          <w:tcPr>
            <w:tcW w:w="900" w:type="dxa"/>
            <w:vAlign w:val="center"/>
          </w:tcPr>
          <w:p w:rsidR="004B313F" w:rsidRPr="009C774F" w:rsidRDefault="004B313F" w:rsidP="004B313F">
            <w:pPr>
              <w:jc w:val="center"/>
              <w:rPr>
                <w:sz w:val="20"/>
              </w:rPr>
            </w:pPr>
            <w:r>
              <w:rPr>
                <w:sz w:val="20"/>
              </w:rPr>
              <w:t>22%</w:t>
            </w:r>
          </w:p>
        </w:tc>
        <w:tc>
          <w:tcPr>
            <w:tcW w:w="900" w:type="dxa"/>
            <w:vAlign w:val="center"/>
          </w:tcPr>
          <w:p w:rsidR="004B313F" w:rsidRPr="009C774F" w:rsidRDefault="004B313F" w:rsidP="004B313F">
            <w:pPr>
              <w:jc w:val="center"/>
              <w:rPr>
                <w:sz w:val="20"/>
              </w:rPr>
            </w:pPr>
            <w:r>
              <w:rPr>
                <w:sz w:val="20"/>
              </w:rPr>
              <w:t>23%</w:t>
            </w:r>
          </w:p>
        </w:tc>
      </w:tr>
      <w:tr w:rsidR="004B313F" w:rsidRPr="009C774F" w:rsidTr="004B313F">
        <w:trPr>
          <w:trHeight w:val="254"/>
        </w:trPr>
        <w:tc>
          <w:tcPr>
            <w:tcW w:w="1548" w:type="dxa"/>
            <w:vAlign w:val="center"/>
          </w:tcPr>
          <w:p w:rsidR="004B313F" w:rsidRPr="009C774F" w:rsidRDefault="004B313F" w:rsidP="004B313F">
            <w:pPr>
              <w:rPr>
                <w:sz w:val="20"/>
              </w:rPr>
            </w:pPr>
            <w:r>
              <w:rPr>
                <w:sz w:val="20"/>
              </w:rPr>
              <w:t>Sedative w/o Rx</w:t>
            </w:r>
          </w:p>
        </w:tc>
        <w:tc>
          <w:tcPr>
            <w:tcW w:w="900" w:type="dxa"/>
            <w:vAlign w:val="center"/>
          </w:tcPr>
          <w:p w:rsidR="004B313F" w:rsidRPr="009C774F" w:rsidRDefault="004B313F" w:rsidP="004B313F">
            <w:pPr>
              <w:jc w:val="center"/>
              <w:rPr>
                <w:sz w:val="20"/>
              </w:rPr>
            </w:pPr>
            <w:r>
              <w:rPr>
                <w:sz w:val="20"/>
              </w:rPr>
              <w:t>6%</w:t>
            </w:r>
          </w:p>
        </w:tc>
        <w:tc>
          <w:tcPr>
            <w:tcW w:w="900" w:type="dxa"/>
            <w:vAlign w:val="center"/>
          </w:tcPr>
          <w:p w:rsidR="004B313F" w:rsidRPr="009C774F" w:rsidRDefault="004B313F" w:rsidP="004B313F">
            <w:pPr>
              <w:jc w:val="center"/>
              <w:rPr>
                <w:sz w:val="20"/>
              </w:rPr>
            </w:pPr>
            <w:r>
              <w:rPr>
                <w:sz w:val="20"/>
              </w:rPr>
              <w:t>6%</w:t>
            </w:r>
          </w:p>
        </w:tc>
        <w:tc>
          <w:tcPr>
            <w:tcW w:w="900" w:type="dxa"/>
            <w:vAlign w:val="center"/>
          </w:tcPr>
          <w:p w:rsidR="004B313F" w:rsidRPr="009C774F" w:rsidRDefault="004B313F" w:rsidP="004B313F">
            <w:pPr>
              <w:jc w:val="center"/>
              <w:rPr>
                <w:sz w:val="20"/>
              </w:rPr>
            </w:pPr>
            <w:r>
              <w:rPr>
                <w:sz w:val="20"/>
              </w:rPr>
              <w:t>8%</w:t>
            </w:r>
          </w:p>
        </w:tc>
        <w:tc>
          <w:tcPr>
            <w:tcW w:w="900" w:type="dxa"/>
            <w:vAlign w:val="center"/>
          </w:tcPr>
          <w:p w:rsidR="004B313F" w:rsidRPr="009C774F" w:rsidRDefault="004B313F" w:rsidP="004B313F">
            <w:pPr>
              <w:jc w:val="center"/>
              <w:rPr>
                <w:sz w:val="20"/>
              </w:rPr>
            </w:pPr>
            <w:r>
              <w:rPr>
                <w:sz w:val="20"/>
              </w:rPr>
              <w:t>9%</w:t>
            </w:r>
          </w:p>
        </w:tc>
      </w:tr>
      <w:tr w:rsidR="004B313F" w:rsidRPr="009C774F" w:rsidTr="004B313F">
        <w:trPr>
          <w:trHeight w:val="254"/>
        </w:trPr>
        <w:tc>
          <w:tcPr>
            <w:tcW w:w="1548" w:type="dxa"/>
            <w:vAlign w:val="center"/>
          </w:tcPr>
          <w:p w:rsidR="004B313F" w:rsidRPr="009C774F" w:rsidRDefault="004B313F" w:rsidP="004B313F">
            <w:pPr>
              <w:rPr>
                <w:sz w:val="20"/>
              </w:rPr>
            </w:pPr>
            <w:r>
              <w:rPr>
                <w:sz w:val="20"/>
              </w:rPr>
              <w:t>Opiates w/o Rx</w:t>
            </w:r>
          </w:p>
        </w:tc>
        <w:tc>
          <w:tcPr>
            <w:tcW w:w="900" w:type="dxa"/>
            <w:vAlign w:val="center"/>
          </w:tcPr>
          <w:p w:rsidR="004B313F" w:rsidRPr="009C774F" w:rsidRDefault="004B313F" w:rsidP="004B313F">
            <w:pPr>
              <w:jc w:val="center"/>
              <w:rPr>
                <w:sz w:val="20"/>
              </w:rPr>
            </w:pPr>
            <w:r>
              <w:rPr>
                <w:sz w:val="20"/>
              </w:rPr>
              <w:t>2%</w:t>
            </w:r>
          </w:p>
        </w:tc>
        <w:tc>
          <w:tcPr>
            <w:tcW w:w="900" w:type="dxa"/>
            <w:vAlign w:val="center"/>
          </w:tcPr>
          <w:p w:rsidR="004B313F" w:rsidRPr="009C774F" w:rsidRDefault="004B313F" w:rsidP="004B313F">
            <w:pPr>
              <w:jc w:val="center"/>
              <w:rPr>
                <w:sz w:val="20"/>
              </w:rPr>
            </w:pPr>
            <w:r>
              <w:rPr>
                <w:sz w:val="20"/>
              </w:rPr>
              <w:t>2%</w:t>
            </w:r>
          </w:p>
        </w:tc>
        <w:tc>
          <w:tcPr>
            <w:tcW w:w="900" w:type="dxa"/>
            <w:vAlign w:val="center"/>
          </w:tcPr>
          <w:p w:rsidR="004B313F" w:rsidRPr="009C774F" w:rsidRDefault="004B313F" w:rsidP="004B313F">
            <w:pPr>
              <w:jc w:val="center"/>
              <w:rPr>
                <w:sz w:val="20"/>
              </w:rPr>
            </w:pPr>
            <w:r>
              <w:rPr>
                <w:sz w:val="20"/>
              </w:rPr>
              <w:t>5%</w:t>
            </w:r>
          </w:p>
        </w:tc>
        <w:tc>
          <w:tcPr>
            <w:tcW w:w="900" w:type="dxa"/>
            <w:vAlign w:val="center"/>
          </w:tcPr>
          <w:p w:rsidR="004B313F" w:rsidRPr="009C774F" w:rsidRDefault="004B313F" w:rsidP="004B313F">
            <w:pPr>
              <w:jc w:val="center"/>
              <w:rPr>
                <w:sz w:val="20"/>
              </w:rPr>
            </w:pPr>
            <w:r>
              <w:rPr>
                <w:sz w:val="20"/>
              </w:rPr>
              <w:t>5%</w:t>
            </w:r>
          </w:p>
        </w:tc>
      </w:tr>
      <w:tr w:rsidR="004B313F" w:rsidRPr="009C774F" w:rsidTr="004B313F">
        <w:trPr>
          <w:trHeight w:val="918"/>
        </w:trPr>
        <w:tc>
          <w:tcPr>
            <w:tcW w:w="5148" w:type="dxa"/>
            <w:gridSpan w:val="5"/>
            <w:vAlign w:val="center"/>
          </w:tcPr>
          <w:p w:rsidR="004B313F" w:rsidRPr="004B313F" w:rsidRDefault="004B313F" w:rsidP="004B313F">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D241E5" w:rsidRPr="00D241E5" w:rsidRDefault="00D241E5" w:rsidP="00D241E5">
      <w:pPr>
        <w:rPr>
          <w:szCs w:val="24"/>
        </w:rPr>
      </w:pPr>
      <w:r w:rsidRPr="00D241E5">
        <w:rPr>
          <w:szCs w:val="24"/>
        </w:rPr>
        <w:t xml:space="preserve">In Greater New Orleans, by the fall semester, </w:t>
      </w:r>
      <w:r w:rsidRPr="00D241E5">
        <w:rPr>
          <w:i/>
          <w:szCs w:val="24"/>
        </w:rPr>
        <w:t>about</w:t>
      </w:r>
      <w:r w:rsidRPr="00D241E5">
        <w:rPr>
          <w:szCs w:val="24"/>
        </w:rPr>
        <w:t xml:space="preserve"> 12 percent of 8</w:t>
      </w:r>
      <w:r w:rsidRPr="00D241E5">
        <w:rPr>
          <w:szCs w:val="24"/>
          <w:vertAlign w:val="superscript"/>
        </w:rPr>
        <w:t>th</w:t>
      </w:r>
      <w:r w:rsidRPr="00D241E5">
        <w:rPr>
          <w:szCs w:val="24"/>
        </w:rPr>
        <w:t xml:space="preserve"> grade students have used </w:t>
      </w:r>
      <w:r w:rsidRPr="00D241E5">
        <w:rPr>
          <w:b/>
          <w:szCs w:val="24"/>
        </w:rPr>
        <w:t>marijuana</w:t>
      </w:r>
      <w:r w:rsidRPr="00D241E5">
        <w:rPr>
          <w:szCs w:val="24"/>
        </w:rPr>
        <w:t>, based on the 2012 CCYS survey. Among 10</w:t>
      </w:r>
      <w:r w:rsidRPr="00D241E5">
        <w:rPr>
          <w:szCs w:val="24"/>
          <w:vertAlign w:val="superscript"/>
        </w:rPr>
        <w:t>th</w:t>
      </w:r>
      <w:r w:rsidRPr="00D241E5">
        <w:rPr>
          <w:szCs w:val="24"/>
        </w:rPr>
        <w:t xml:space="preserve"> grade students, </w:t>
      </w:r>
      <w:r w:rsidRPr="00D241E5">
        <w:rPr>
          <w:i/>
          <w:szCs w:val="24"/>
        </w:rPr>
        <w:t>about</w:t>
      </w:r>
      <w:r w:rsidRPr="00D241E5">
        <w:rPr>
          <w:szCs w:val="24"/>
        </w:rPr>
        <w:t xml:space="preserve"> 22 percent have used marijuana. Lifetime marijuana use appears to have </w:t>
      </w:r>
      <w:r w:rsidRPr="00D241E5">
        <w:rPr>
          <w:i/>
          <w:szCs w:val="24"/>
        </w:rPr>
        <w:t>increased</w:t>
      </w:r>
      <w:r w:rsidRPr="00D241E5">
        <w:rPr>
          <w:szCs w:val="24"/>
        </w:rPr>
        <w:t xml:space="preserve"> from 2008 levels, especially among 10</w:t>
      </w:r>
      <w:r w:rsidRPr="00D241E5">
        <w:rPr>
          <w:szCs w:val="24"/>
          <w:vertAlign w:val="superscript"/>
        </w:rPr>
        <w:t>th</w:t>
      </w:r>
      <w:r w:rsidRPr="00D241E5">
        <w:rPr>
          <w:szCs w:val="24"/>
        </w:rPr>
        <w:t xml:space="preserve"> graders.</w:t>
      </w:r>
    </w:p>
    <w:p w:rsidR="008B3091" w:rsidRPr="009E4F6A" w:rsidRDefault="008B3091" w:rsidP="008B3091">
      <w:pPr>
        <w:rPr>
          <w:szCs w:val="24"/>
        </w:rPr>
      </w:pPr>
    </w:p>
    <w:p w:rsidR="004F490D" w:rsidRPr="004F490D" w:rsidRDefault="004F490D" w:rsidP="004F490D">
      <w:r w:rsidRPr="004F490D">
        <w:t>Overall, the trends in early exposure to the major “gateway” drugs from 2008 to 2012 are mixed. Lifetime use of alcohol and cigarettes among 8</w:t>
      </w:r>
      <w:r w:rsidRPr="004F490D">
        <w:rPr>
          <w:vertAlign w:val="superscript"/>
        </w:rPr>
        <w:t>th</w:t>
      </w:r>
      <w:r w:rsidRPr="004F490D">
        <w:t xml:space="preserve"> and 10</w:t>
      </w:r>
      <w:r w:rsidRPr="004F490D">
        <w:rPr>
          <w:vertAlign w:val="superscript"/>
        </w:rPr>
        <w:t>th</w:t>
      </w:r>
      <w:r w:rsidRPr="004F490D">
        <w:t xml:space="preserve"> grade students has declined at the state level as well as for Greater New Orleans. However, unlike alcohol and cigarettes, lifetime marijuana use remained level among 8</w:t>
      </w:r>
      <w:r w:rsidRPr="004F490D">
        <w:rPr>
          <w:vertAlign w:val="superscript"/>
        </w:rPr>
        <w:t>th</w:t>
      </w:r>
      <w:r w:rsidRPr="004F490D">
        <w:t xml:space="preserve"> graders and appears to have increased among 10</w:t>
      </w:r>
      <w:r w:rsidRPr="004F490D">
        <w:rPr>
          <w:vertAlign w:val="superscript"/>
        </w:rPr>
        <w:t>th</w:t>
      </w:r>
      <w:r w:rsidRPr="004F490D">
        <w:t xml:space="preserve"> grade students from 2008 to 2012. Further, while lifetime marijuana use among 10</w:t>
      </w:r>
      <w:r w:rsidRPr="004F490D">
        <w:rPr>
          <w:vertAlign w:val="superscript"/>
        </w:rPr>
        <w:t>th</w:t>
      </w:r>
      <w:r w:rsidRPr="004F490D">
        <w:t xml:space="preserve"> graders in Greater New Orleans appeared lower in 2008 than in the state as a whole, lifetime marijuana use among Greater New Orleans 10</w:t>
      </w:r>
      <w:r w:rsidRPr="004F490D">
        <w:rPr>
          <w:vertAlign w:val="superscript"/>
        </w:rPr>
        <w:t>th</w:t>
      </w:r>
      <w:r w:rsidRPr="004F490D">
        <w:t xml:space="preserve"> graders in 2012 appears to be about equal to statewide levels.</w:t>
      </w:r>
    </w:p>
    <w:p w:rsidR="008B3091" w:rsidRPr="00935FA7" w:rsidRDefault="008B3091" w:rsidP="008B3091"/>
    <w:p w:rsidR="00834972" w:rsidRPr="00834972" w:rsidRDefault="00EC60D6" w:rsidP="00834972">
      <w:r>
        <w:t xml:space="preserve">Beyond alcohol, tobacco and marijuana, prescription drugs were most likely to have been used. </w:t>
      </w:r>
      <w:r w:rsidR="00834972" w:rsidRPr="00834972">
        <w:t xml:space="preserve">The </w:t>
      </w:r>
      <w:r w:rsidR="00834972">
        <w:t>drug</w:t>
      </w:r>
      <w:r>
        <w:t>s</w:t>
      </w:r>
      <w:r w:rsidR="00834972" w:rsidRPr="00834972">
        <w:t xml:space="preserve"> most likely to have been used</w:t>
      </w:r>
      <w:r w:rsidR="00834972">
        <w:t xml:space="preserve"> without a doctor’s order</w:t>
      </w:r>
      <w:r w:rsidR="00834972" w:rsidRPr="00834972">
        <w:t xml:space="preserve"> </w:t>
      </w:r>
      <w:r>
        <w:t>are</w:t>
      </w:r>
      <w:r w:rsidR="00834972" w:rsidRPr="00834972">
        <w:t xml:space="preserve"> </w:t>
      </w:r>
      <w:r w:rsidR="008048A2" w:rsidRPr="008048A2">
        <w:rPr>
          <w:b/>
        </w:rPr>
        <w:t>prescription</w:t>
      </w:r>
      <w:r w:rsidR="008048A2" w:rsidRPr="008048A2">
        <w:t xml:space="preserve"> </w:t>
      </w:r>
      <w:r w:rsidR="00834972" w:rsidRPr="00834972">
        <w:rPr>
          <w:b/>
        </w:rPr>
        <w:t>sedatives</w:t>
      </w:r>
      <w:r w:rsidR="00834972" w:rsidRPr="00834972">
        <w:t>. Statewide, by the fall semester, 6 percent of 8</w:t>
      </w:r>
      <w:r w:rsidR="00834972" w:rsidRPr="00834972">
        <w:rPr>
          <w:vertAlign w:val="superscript"/>
        </w:rPr>
        <w:t>th</w:t>
      </w:r>
      <w:r w:rsidR="00834972" w:rsidRPr="00834972">
        <w:t xml:space="preserve"> graders and 9 percent of 10</w:t>
      </w:r>
      <w:r w:rsidR="00834972" w:rsidRPr="00834972">
        <w:rPr>
          <w:vertAlign w:val="superscript"/>
        </w:rPr>
        <w:t>th</w:t>
      </w:r>
      <w:r w:rsidR="00834972" w:rsidRPr="00834972">
        <w:t xml:space="preserve"> grade students have used sedatives without a doctor’s order, based on the 2012 CCYS survey. Similarly, in Greater New Orleans, by the fall semester, </w:t>
      </w:r>
      <w:r w:rsidR="00834972" w:rsidRPr="00834972">
        <w:rPr>
          <w:i/>
        </w:rPr>
        <w:t>about</w:t>
      </w:r>
      <w:r w:rsidR="00834972" w:rsidRPr="00834972">
        <w:t xml:space="preserve"> 6 percent of 8</w:t>
      </w:r>
      <w:r w:rsidR="00834972" w:rsidRPr="00834972">
        <w:rPr>
          <w:vertAlign w:val="superscript"/>
        </w:rPr>
        <w:t>th</w:t>
      </w:r>
      <w:r w:rsidR="00834972" w:rsidRPr="00834972">
        <w:t xml:space="preserve"> graders and </w:t>
      </w:r>
      <w:r w:rsidR="00834972" w:rsidRPr="00834972">
        <w:rPr>
          <w:i/>
        </w:rPr>
        <w:t>about</w:t>
      </w:r>
      <w:r w:rsidR="00834972" w:rsidRPr="00834972">
        <w:t xml:space="preserve"> 8 percent of 10</w:t>
      </w:r>
      <w:r w:rsidR="00834972" w:rsidRPr="00834972">
        <w:rPr>
          <w:vertAlign w:val="superscript"/>
        </w:rPr>
        <w:t>th</w:t>
      </w:r>
      <w:r w:rsidR="00834972" w:rsidRPr="00834972">
        <w:t xml:space="preserve"> grade students have used sedatives without a doctor’s order.</w:t>
      </w:r>
    </w:p>
    <w:p w:rsidR="00834972" w:rsidRPr="00834972" w:rsidRDefault="00834972" w:rsidP="00834972"/>
    <w:p w:rsidR="00834972" w:rsidRPr="00834972" w:rsidRDefault="00834972" w:rsidP="00834972">
      <w:r w:rsidRPr="00834972">
        <w:t xml:space="preserve">The </w:t>
      </w:r>
      <w:r w:rsidR="00EC60D6" w:rsidRPr="00EC60D6">
        <w:t>drug</w:t>
      </w:r>
      <w:r w:rsidR="00EC60D6">
        <w:t>s</w:t>
      </w:r>
      <w:r w:rsidR="00EC60D6" w:rsidRPr="00EC60D6">
        <w:t xml:space="preserve"> </w:t>
      </w:r>
      <w:r w:rsidRPr="00834972">
        <w:t>second most likely to have been used</w:t>
      </w:r>
      <w:r w:rsidR="00EC60D6" w:rsidRPr="00EC60D6">
        <w:t xml:space="preserve"> without a doctor’s order</w:t>
      </w:r>
      <w:r w:rsidRPr="00834972">
        <w:t xml:space="preserve"> </w:t>
      </w:r>
      <w:r w:rsidR="00EC60D6">
        <w:t>are</w:t>
      </w:r>
      <w:r w:rsidRPr="00834972">
        <w:t xml:space="preserve"> </w:t>
      </w:r>
      <w:r w:rsidR="008048A2" w:rsidRPr="008048A2">
        <w:rPr>
          <w:b/>
        </w:rPr>
        <w:t xml:space="preserve">prescription </w:t>
      </w:r>
      <w:r w:rsidRPr="008048A2">
        <w:rPr>
          <w:b/>
        </w:rPr>
        <w:t>opiates</w:t>
      </w:r>
      <w:r w:rsidRPr="00834972">
        <w:t>. Statewide, by the fall semester, 2 percent of 8</w:t>
      </w:r>
      <w:r w:rsidRPr="00834972">
        <w:rPr>
          <w:vertAlign w:val="superscript"/>
        </w:rPr>
        <w:t>th</w:t>
      </w:r>
      <w:r w:rsidRPr="00834972">
        <w:t xml:space="preserve"> graders and 5 percent of 10</w:t>
      </w:r>
      <w:r w:rsidRPr="00834972">
        <w:rPr>
          <w:vertAlign w:val="superscript"/>
        </w:rPr>
        <w:t>th</w:t>
      </w:r>
      <w:r w:rsidRPr="00834972">
        <w:t xml:space="preserve"> grade students have used prescription opiates without a doctor’s order. Similarly, in Greater New Orleans, by the fall semester, </w:t>
      </w:r>
      <w:r w:rsidRPr="00834972">
        <w:rPr>
          <w:i/>
        </w:rPr>
        <w:t>about</w:t>
      </w:r>
      <w:r w:rsidRPr="00834972">
        <w:t xml:space="preserve"> 2 percent of 8</w:t>
      </w:r>
      <w:r w:rsidRPr="00834972">
        <w:rPr>
          <w:vertAlign w:val="superscript"/>
        </w:rPr>
        <w:t>th</w:t>
      </w:r>
      <w:r w:rsidRPr="00834972">
        <w:t xml:space="preserve"> graders and </w:t>
      </w:r>
      <w:r w:rsidRPr="00834972">
        <w:rPr>
          <w:i/>
        </w:rPr>
        <w:t>about</w:t>
      </w:r>
      <w:r w:rsidRPr="00834972">
        <w:t xml:space="preserve"> 5 percent of 10</w:t>
      </w:r>
      <w:r w:rsidRPr="00834972">
        <w:rPr>
          <w:vertAlign w:val="superscript"/>
        </w:rPr>
        <w:t>th</w:t>
      </w:r>
      <w:r w:rsidRPr="00834972">
        <w:t xml:space="preserve"> grade students have used prescription opiates without a doctor’s order.</w:t>
      </w:r>
    </w:p>
    <w:p w:rsidR="00B3464C" w:rsidRDefault="00B3464C"/>
    <w:p w:rsidR="0050458C" w:rsidRPr="0050458C" w:rsidRDefault="0050458C" w:rsidP="0050458C">
      <w:pPr>
        <w:rPr>
          <w:b/>
        </w:rPr>
      </w:pPr>
      <w:r w:rsidRPr="0050458C">
        <w:rPr>
          <w:b/>
        </w:rPr>
        <w:t>Perception of Risk</w:t>
      </w:r>
      <w:r w:rsidR="008E3CEA">
        <w:rPr>
          <w:b/>
        </w:rPr>
        <w:t xml:space="preserve"> and Social Norms</w:t>
      </w:r>
    </w:p>
    <w:p w:rsidR="0050458C" w:rsidRDefault="0050458C" w:rsidP="0050458C"/>
    <w:p w:rsidR="008E3CEA" w:rsidRPr="008E3CEA" w:rsidRDefault="008E3CEA" w:rsidP="008E3CEA">
      <w:r w:rsidRPr="008E3CEA">
        <w:t xml:space="preserve">Shared knowledge of risks and social norms affect adolescent behaviors. Youths who perceive risk in using substances or disapproval of substance use by parents or peers may abstain, delay, reduce or cease their own substance use behaviors. Thus, as the perception of risk and disapproval of family and friends increase, substance use decreases. </w:t>
      </w:r>
    </w:p>
    <w:p w:rsidR="008E3CEA" w:rsidRDefault="008E3CEA" w:rsidP="0050458C"/>
    <w:p w:rsidR="008E3CEA" w:rsidRPr="006A760E" w:rsidRDefault="008E3CEA" w:rsidP="008E3CEA">
      <w:pPr>
        <w:rPr>
          <w:u w:val="single"/>
        </w:rPr>
      </w:pPr>
      <w:r w:rsidRPr="006A760E">
        <w:rPr>
          <w:u w:val="single"/>
        </w:rPr>
        <w:t>Risks of Harm from Substance Use</w:t>
      </w:r>
    </w:p>
    <w:p w:rsidR="00FC3C21" w:rsidRDefault="00FC3C21" w:rsidP="0050458C"/>
    <w:tbl>
      <w:tblPr>
        <w:tblStyle w:val="TableGrid"/>
        <w:tblpPr w:leftFromText="187" w:rightFromText="187" w:vertAnchor="text" w:horzAnchor="margin" w:tblpXSpec="right" w:tblpY="1"/>
        <w:tblOverlap w:val="never"/>
        <w:tblW w:w="0" w:type="auto"/>
        <w:tblLayout w:type="fixed"/>
        <w:tblLook w:val="04A0" w:firstRow="1" w:lastRow="0" w:firstColumn="1" w:lastColumn="0" w:noHBand="0" w:noVBand="1"/>
      </w:tblPr>
      <w:tblGrid>
        <w:gridCol w:w="1620"/>
        <w:gridCol w:w="900"/>
        <w:gridCol w:w="900"/>
        <w:gridCol w:w="900"/>
        <w:gridCol w:w="900"/>
      </w:tblGrid>
      <w:tr w:rsidR="009F5C72" w:rsidRPr="009C774F" w:rsidTr="009F5C72">
        <w:trPr>
          <w:trHeight w:val="980"/>
        </w:trPr>
        <w:tc>
          <w:tcPr>
            <w:tcW w:w="5220" w:type="dxa"/>
            <w:gridSpan w:val="5"/>
            <w:vAlign w:val="center"/>
          </w:tcPr>
          <w:p w:rsidR="00DF79E9" w:rsidRDefault="00381284" w:rsidP="009F5C72">
            <w:pPr>
              <w:jc w:val="center"/>
              <w:rPr>
                <w:b/>
                <w:sz w:val="20"/>
              </w:rPr>
            </w:pPr>
            <w:r>
              <w:rPr>
                <w:b/>
                <w:sz w:val="20"/>
              </w:rPr>
              <w:t xml:space="preserve">Table 2: </w:t>
            </w:r>
            <w:r w:rsidR="00276215">
              <w:rPr>
                <w:b/>
                <w:sz w:val="20"/>
              </w:rPr>
              <w:t>Perception of Risk</w:t>
            </w:r>
            <w:r w:rsidR="00DF79E9">
              <w:rPr>
                <w:b/>
                <w:sz w:val="20"/>
              </w:rPr>
              <w:t xml:space="preserve"> of People Harming </w:t>
            </w:r>
          </w:p>
          <w:p w:rsidR="009F5C72" w:rsidRDefault="00DF79E9" w:rsidP="009F5C72">
            <w:pPr>
              <w:jc w:val="center"/>
              <w:rPr>
                <w:b/>
                <w:sz w:val="20"/>
              </w:rPr>
            </w:pPr>
            <w:r>
              <w:rPr>
                <w:b/>
                <w:sz w:val="20"/>
              </w:rPr>
              <w:t>Themselves</w:t>
            </w:r>
            <w:r w:rsidR="00F20286">
              <w:rPr>
                <w:b/>
                <w:sz w:val="20"/>
              </w:rPr>
              <w:t xml:space="preserve"> </w:t>
            </w:r>
            <w:r>
              <w:rPr>
                <w:b/>
                <w:sz w:val="20"/>
              </w:rPr>
              <w:t>by Substance Use Behaviors</w:t>
            </w:r>
          </w:p>
          <w:p w:rsidR="009F5C72" w:rsidRDefault="009F5C72" w:rsidP="009F5C72">
            <w:pPr>
              <w:jc w:val="center"/>
              <w:rPr>
                <w:b/>
                <w:sz w:val="20"/>
              </w:rPr>
            </w:pPr>
            <w:r w:rsidRPr="000B6FF1">
              <w:rPr>
                <w:b/>
                <w:sz w:val="20"/>
              </w:rPr>
              <w:t xml:space="preserve">Among </w:t>
            </w:r>
            <w:r w:rsidR="00276215">
              <w:rPr>
                <w:b/>
                <w:sz w:val="20"/>
              </w:rPr>
              <w:t>8</w:t>
            </w:r>
            <w:r w:rsidRPr="000B6FF1">
              <w:rPr>
                <w:b/>
                <w:sz w:val="20"/>
                <w:vertAlign w:val="superscript"/>
              </w:rPr>
              <w:t>th</w:t>
            </w:r>
            <w:r w:rsidRPr="000B6FF1">
              <w:rPr>
                <w:b/>
                <w:sz w:val="20"/>
              </w:rPr>
              <w:t xml:space="preserve"> and 1</w:t>
            </w:r>
            <w:r w:rsidR="00276215">
              <w:rPr>
                <w:b/>
                <w:sz w:val="20"/>
              </w:rPr>
              <w:t>0</w:t>
            </w:r>
            <w:r w:rsidRPr="000B6FF1">
              <w:rPr>
                <w:b/>
                <w:sz w:val="20"/>
                <w:vertAlign w:val="superscript"/>
              </w:rPr>
              <w:t>th</w:t>
            </w:r>
            <w:r w:rsidRPr="000B6FF1">
              <w:rPr>
                <w:b/>
                <w:sz w:val="20"/>
              </w:rPr>
              <w:t xml:space="preserve"> grade </w:t>
            </w:r>
            <w:r>
              <w:rPr>
                <w:b/>
                <w:sz w:val="20"/>
              </w:rPr>
              <w:t>S</w:t>
            </w:r>
            <w:r w:rsidRPr="000B6FF1">
              <w:rPr>
                <w:b/>
                <w:sz w:val="20"/>
              </w:rPr>
              <w:t xml:space="preserve">tudents in </w:t>
            </w:r>
          </w:p>
          <w:p w:rsidR="009F5C72" w:rsidRDefault="009F5C72" w:rsidP="009F5C72">
            <w:pPr>
              <w:jc w:val="center"/>
              <w:rPr>
                <w:b/>
                <w:sz w:val="20"/>
              </w:rPr>
            </w:pPr>
            <w:r w:rsidRPr="000B6FF1">
              <w:rPr>
                <w:b/>
                <w:sz w:val="20"/>
              </w:rPr>
              <w:t>Greater New Orleans (GNO)* based on</w:t>
            </w:r>
            <w:r>
              <w:rPr>
                <w:b/>
                <w:sz w:val="20"/>
              </w:rPr>
              <w:t xml:space="preserve"> </w:t>
            </w:r>
          </w:p>
          <w:p w:rsidR="009F5C72" w:rsidRPr="009C774F" w:rsidRDefault="009F5C72" w:rsidP="009F5C72">
            <w:pPr>
              <w:jc w:val="center"/>
              <w:rPr>
                <w:sz w:val="20"/>
              </w:rPr>
            </w:pPr>
            <w:r>
              <w:rPr>
                <w:b/>
                <w:sz w:val="20"/>
              </w:rPr>
              <w:t>the Caring Communities Y</w:t>
            </w:r>
            <w:r w:rsidRPr="000B6FF1">
              <w:rPr>
                <w:b/>
                <w:sz w:val="20"/>
              </w:rPr>
              <w:t>outh Survey</w:t>
            </w:r>
          </w:p>
        </w:tc>
      </w:tr>
      <w:tr w:rsidR="009F5C72" w:rsidRPr="009C774F" w:rsidTr="009F5C72">
        <w:trPr>
          <w:trHeight w:val="342"/>
        </w:trPr>
        <w:tc>
          <w:tcPr>
            <w:tcW w:w="1620" w:type="dxa"/>
            <w:vMerge w:val="restart"/>
            <w:vAlign w:val="center"/>
          </w:tcPr>
          <w:p w:rsidR="009F5C72" w:rsidRPr="009C774F" w:rsidRDefault="00276215" w:rsidP="009F5C72">
            <w:pPr>
              <w:jc w:val="center"/>
              <w:rPr>
                <w:sz w:val="20"/>
              </w:rPr>
            </w:pPr>
            <w:r>
              <w:rPr>
                <w:b/>
                <w:sz w:val="20"/>
              </w:rPr>
              <w:t>Perception of Moderate or Great Risk</w:t>
            </w:r>
          </w:p>
        </w:tc>
        <w:tc>
          <w:tcPr>
            <w:tcW w:w="3600" w:type="dxa"/>
            <w:gridSpan w:val="4"/>
            <w:vAlign w:val="center"/>
          </w:tcPr>
          <w:p w:rsidR="009F5C72" w:rsidRPr="009C774F" w:rsidRDefault="009F5C72" w:rsidP="009F5C72">
            <w:pPr>
              <w:jc w:val="center"/>
              <w:rPr>
                <w:sz w:val="20"/>
              </w:rPr>
            </w:pPr>
            <w:r>
              <w:rPr>
                <w:sz w:val="20"/>
              </w:rPr>
              <w:t>2012 Estimates</w:t>
            </w:r>
          </w:p>
        </w:tc>
      </w:tr>
      <w:tr w:rsidR="009F5C72" w:rsidRPr="009C774F" w:rsidTr="009F5C72">
        <w:trPr>
          <w:trHeight w:val="360"/>
        </w:trPr>
        <w:tc>
          <w:tcPr>
            <w:tcW w:w="1620" w:type="dxa"/>
            <w:vMerge/>
            <w:vAlign w:val="center"/>
          </w:tcPr>
          <w:p w:rsidR="009F5C72" w:rsidRPr="009C774F" w:rsidRDefault="009F5C72" w:rsidP="009F5C72">
            <w:pPr>
              <w:jc w:val="center"/>
              <w:rPr>
                <w:sz w:val="20"/>
              </w:rPr>
            </w:pPr>
          </w:p>
        </w:tc>
        <w:tc>
          <w:tcPr>
            <w:tcW w:w="1800" w:type="dxa"/>
            <w:gridSpan w:val="2"/>
            <w:tcMar>
              <w:left w:w="43" w:type="dxa"/>
              <w:right w:w="43" w:type="dxa"/>
            </w:tcMar>
            <w:vAlign w:val="center"/>
          </w:tcPr>
          <w:p w:rsidR="009F5C72" w:rsidRPr="00F20286" w:rsidRDefault="00276215" w:rsidP="009F5C72">
            <w:pPr>
              <w:jc w:val="center"/>
              <w:rPr>
                <w:sz w:val="20"/>
              </w:rPr>
            </w:pPr>
            <w:r w:rsidRPr="00F20286">
              <w:rPr>
                <w:sz w:val="20"/>
              </w:rPr>
              <w:t>8</w:t>
            </w:r>
            <w:r w:rsidR="009F5C72" w:rsidRPr="00F20286">
              <w:rPr>
                <w:sz w:val="20"/>
                <w:vertAlign w:val="superscript"/>
              </w:rPr>
              <w:t>th</w:t>
            </w:r>
            <w:r w:rsidR="009F5C72" w:rsidRPr="00F20286">
              <w:rPr>
                <w:sz w:val="20"/>
              </w:rPr>
              <w:t xml:space="preserve"> Grade</w:t>
            </w:r>
          </w:p>
        </w:tc>
        <w:tc>
          <w:tcPr>
            <w:tcW w:w="1800" w:type="dxa"/>
            <w:gridSpan w:val="2"/>
            <w:tcMar>
              <w:left w:w="43" w:type="dxa"/>
              <w:right w:w="43" w:type="dxa"/>
            </w:tcMar>
            <w:vAlign w:val="center"/>
          </w:tcPr>
          <w:p w:rsidR="009F5C72" w:rsidRPr="00F20286" w:rsidRDefault="00276215" w:rsidP="009F5C72">
            <w:pPr>
              <w:jc w:val="center"/>
              <w:rPr>
                <w:sz w:val="20"/>
              </w:rPr>
            </w:pPr>
            <w:r w:rsidRPr="00F20286">
              <w:rPr>
                <w:sz w:val="20"/>
              </w:rPr>
              <w:t>10</w:t>
            </w:r>
            <w:r w:rsidR="009F5C72" w:rsidRPr="00F20286">
              <w:rPr>
                <w:sz w:val="20"/>
                <w:vertAlign w:val="superscript"/>
              </w:rPr>
              <w:t>th</w:t>
            </w:r>
            <w:r w:rsidR="009F5C72" w:rsidRPr="00F20286">
              <w:rPr>
                <w:sz w:val="20"/>
              </w:rPr>
              <w:t xml:space="preserve"> Grade</w:t>
            </w:r>
          </w:p>
        </w:tc>
      </w:tr>
      <w:tr w:rsidR="009F5C72" w:rsidRPr="009C774F" w:rsidTr="009F5C72">
        <w:trPr>
          <w:trHeight w:val="522"/>
        </w:trPr>
        <w:tc>
          <w:tcPr>
            <w:tcW w:w="1620" w:type="dxa"/>
            <w:vMerge/>
            <w:vAlign w:val="center"/>
          </w:tcPr>
          <w:p w:rsidR="009F5C72" w:rsidRDefault="009F5C72" w:rsidP="009F5C72">
            <w:pPr>
              <w:rPr>
                <w:sz w:val="20"/>
              </w:rPr>
            </w:pPr>
          </w:p>
        </w:tc>
        <w:tc>
          <w:tcPr>
            <w:tcW w:w="900" w:type="dxa"/>
            <w:tcMar>
              <w:left w:w="43" w:type="dxa"/>
              <w:right w:w="43" w:type="dxa"/>
            </w:tcMar>
            <w:vAlign w:val="center"/>
          </w:tcPr>
          <w:p w:rsidR="009F5C72" w:rsidRPr="009C774F" w:rsidRDefault="009F5C72" w:rsidP="009F5C72">
            <w:pPr>
              <w:jc w:val="center"/>
              <w:rPr>
                <w:sz w:val="20"/>
              </w:rPr>
            </w:pPr>
            <w:r>
              <w:rPr>
                <w:sz w:val="20"/>
              </w:rPr>
              <w:t>GNO Estimate</w:t>
            </w:r>
          </w:p>
        </w:tc>
        <w:tc>
          <w:tcPr>
            <w:tcW w:w="900" w:type="dxa"/>
            <w:tcMar>
              <w:left w:w="43" w:type="dxa"/>
              <w:right w:w="43" w:type="dxa"/>
            </w:tcMar>
            <w:vAlign w:val="center"/>
          </w:tcPr>
          <w:p w:rsidR="009F5C72" w:rsidRDefault="009F5C72" w:rsidP="009F5C72">
            <w:pPr>
              <w:jc w:val="center"/>
              <w:rPr>
                <w:sz w:val="20"/>
              </w:rPr>
            </w:pPr>
            <w:r>
              <w:rPr>
                <w:sz w:val="20"/>
              </w:rPr>
              <w:t>State</w:t>
            </w:r>
          </w:p>
          <w:p w:rsidR="009F5C72" w:rsidRPr="009C774F" w:rsidRDefault="009F5C72" w:rsidP="009F5C72">
            <w:pPr>
              <w:jc w:val="center"/>
              <w:rPr>
                <w:sz w:val="20"/>
              </w:rPr>
            </w:pPr>
            <w:r>
              <w:rPr>
                <w:sz w:val="20"/>
              </w:rPr>
              <w:t>wide</w:t>
            </w:r>
          </w:p>
        </w:tc>
        <w:tc>
          <w:tcPr>
            <w:tcW w:w="900" w:type="dxa"/>
            <w:tcMar>
              <w:left w:w="43" w:type="dxa"/>
              <w:right w:w="43" w:type="dxa"/>
            </w:tcMar>
            <w:vAlign w:val="center"/>
          </w:tcPr>
          <w:p w:rsidR="009F5C72" w:rsidRPr="009C774F" w:rsidRDefault="009F5C72" w:rsidP="009F5C72">
            <w:pPr>
              <w:jc w:val="center"/>
              <w:rPr>
                <w:sz w:val="20"/>
              </w:rPr>
            </w:pPr>
            <w:r>
              <w:rPr>
                <w:sz w:val="20"/>
              </w:rPr>
              <w:t>GNO Estimate</w:t>
            </w:r>
          </w:p>
        </w:tc>
        <w:tc>
          <w:tcPr>
            <w:tcW w:w="900" w:type="dxa"/>
            <w:tcMar>
              <w:left w:w="43" w:type="dxa"/>
              <w:right w:w="43" w:type="dxa"/>
            </w:tcMar>
            <w:vAlign w:val="center"/>
          </w:tcPr>
          <w:p w:rsidR="009F5C72" w:rsidRDefault="009F5C72" w:rsidP="009F5C72">
            <w:pPr>
              <w:jc w:val="center"/>
              <w:rPr>
                <w:sz w:val="20"/>
              </w:rPr>
            </w:pPr>
            <w:r>
              <w:rPr>
                <w:sz w:val="20"/>
              </w:rPr>
              <w:t>State</w:t>
            </w:r>
          </w:p>
          <w:p w:rsidR="009F5C72" w:rsidRPr="009C774F" w:rsidRDefault="009F5C72" w:rsidP="009F5C72">
            <w:pPr>
              <w:jc w:val="center"/>
              <w:rPr>
                <w:sz w:val="20"/>
              </w:rPr>
            </w:pPr>
            <w:r>
              <w:rPr>
                <w:sz w:val="20"/>
              </w:rPr>
              <w:t>wide</w:t>
            </w:r>
          </w:p>
        </w:tc>
      </w:tr>
      <w:tr w:rsidR="00F20286" w:rsidRPr="009C774F" w:rsidTr="009F5C72">
        <w:trPr>
          <w:trHeight w:val="744"/>
        </w:trPr>
        <w:tc>
          <w:tcPr>
            <w:tcW w:w="1620" w:type="dxa"/>
            <w:vAlign w:val="center"/>
          </w:tcPr>
          <w:p w:rsidR="00F20286" w:rsidRPr="00DA7DD2" w:rsidRDefault="00F20286" w:rsidP="00385362">
            <w:pPr>
              <w:rPr>
                <w:sz w:val="20"/>
              </w:rPr>
            </w:pPr>
            <w:r>
              <w:rPr>
                <w:sz w:val="20"/>
              </w:rPr>
              <w:t>O</w:t>
            </w:r>
            <w:r w:rsidRPr="00DA7DD2">
              <w:rPr>
                <w:sz w:val="20"/>
              </w:rPr>
              <w:t xml:space="preserve">ne or two drinks of </w:t>
            </w:r>
            <w:r w:rsidRPr="00DA7DD2">
              <w:rPr>
                <w:b/>
                <w:sz w:val="20"/>
              </w:rPr>
              <w:t>alcohol</w:t>
            </w:r>
            <w:r w:rsidRPr="00DA7DD2">
              <w:rPr>
                <w:sz w:val="20"/>
              </w:rPr>
              <w:t xml:space="preserve"> nearly every day</w:t>
            </w:r>
          </w:p>
        </w:tc>
        <w:tc>
          <w:tcPr>
            <w:tcW w:w="900" w:type="dxa"/>
            <w:vAlign w:val="center"/>
          </w:tcPr>
          <w:p w:rsidR="00F20286" w:rsidRPr="009C774F" w:rsidRDefault="00903C7E" w:rsidP="009F5C72">
            <w:pPr>
              <w:jc w:val="center"/>
              <w:rPr>
                <w:sz w:val="20"/>
              </w:rPr>
            </w:pPr>
            <w:r>
              <w:rPr>
                <w:sz w:val="20"/>
              </w:rPr>
              <w:t>65%</w:t>
            </w:r>
          </w:p>
        </w:tc>
        <w:tc>
          <w:tcPr>
            <w:tcW w:w="900" w:type="dxa"/>
            <w:vAlign w:val="center"/>
          </w:tcPr>
          <w:p w:rsidR="00F20286" w:rsidRPr="009C774F" w:rsidRDefault="00DF79E9" w:rsidP="009F5C72">
            <w:pPr>
              <w:jc w:val="center"/>
              <w:rPr>
                <w:sz w:val="20"/>
              </w:rPr>
            </w:pPr>
            <w:r>
              <w:rPr>
                <w:sz w:val="20"/>
              </w:rPr>
              <w:t>65%</w:t>
            </w:r>
          </w:p>
        </w:tc>
        <w:tc>
          <w:tcPr>
            <w:tcW w:w="900" w:type="dxa"/>
            <w:vAlign w:val="center"/>
          </w:tcPr>
          <w:p w:rsidR="00F20286" w:rsidRPr="009C774F" w:rsidRDefault="00903C7E" w:rsidP="009F5C72">
            <w:pPr>
              <w:jc w:val="center"/>
              <w:rPr>
                <w:sz w:val="20"/>
              </w:rPr>
            </w:pPr>
            <w:r>
              <w:rPr>
                <w:sz w:val="20"/>
              </w:rPr>
              <w:t>67%</w:t>
            </w:r>
          </w:p>
        </w:tc>
        <w:tc>
          <w:tcPr>
            <w:tcW w:w="900" w:type="dxa"/>
            <w:vAlign w:val="center"/>
          </w:tcPr>
          <w:p w:rsidR="00F20286" w:rsidRPr="009C774F" w:rsidRDefault="00DF79E9" w:rsidP="009F5C72">
            <w:pPr>
              <w:jc w:val="center"/>
              <w:rPr>
                <w:sz w:val="20"/>
              </w:rPr>
            </w:pPr>
            <w:r>
              <w:rPr>
                <w:sz w:val="20"/>
              </w:rPr>
              <w:t>65%</w:t>
            </w:r>
          </w:p>
        </w:tc>
      </w:tr>
      <w:tr w:rsidR="00F20286" w:rsidRPr="009C774F" w:rsidTr="009F5C72">
        <w:trPr>
          <w:trHeight w:val="744"/>
        </w:trPr>
        <w:tc>
          <w:tcPr>
            <w:tcW w:w="1620" w:type="dxa"/>
            <w:vAlign w:val="center"/>
          </w:tcPr>
          <w:p w:rsidR="00F20286" w:rsidRPr="00DA7DD2" w:rsidRDefault="00F20286" w:rsidP="00385362">
            <w:pPr>
              <w:rPr>
                <w:sz w:val="20"/>
              </w:rPr>
            </w:pPr>
            <w:r>
              <w:rPr>
                <w:sz w:val="20"/>
              </w:rPr>
              <w:t>Smoke</w:t>
            </w:r>
            <w:r w:rsidRPr="00DA7DD2">
              <w:rPr>
                <w:sz w:val="20"/>
              </w:rPr>
              <w:t xml:space="preserve"> </w:t>
            </w:r>
            <w:r w:rsidRPr="00DA7DD2">
              <w:rPr>
                <w:b/>
                <w:sz w:val="20"/>
              </w:rPr>
              <w:t>marijuana</w:t>
            </w:r>
            <w:r w:rsidRPr="00DA7DD2">
              <w:rPr>
                <w:sz w:val="20"/>
              </w:rPr>
              <w:t xml:space="preserve"> regularly</w:t>
            </w:r>
          </w:p>
        </w:tc>
        <w:tc>
          <w:tcPr>
            <w:tcW w:w="900" w:type="dxa"/>
            <w:vAlign w:val="center"/>
          </w:tcPr>
          <w:p w:rsidR="00F20286" w:rsidRPr="009C774F" w:rsidRDefault="00903C7E" w:rsidP="009F5C72">
            <w:pPr>
              <w:jc w:val="center"/>
              <w:rPr>
                <w:sz w:val="20"/>
              </w:rPr>
            </w:pPr>
            <w:r>
              <w:rPr>
                <w:sz w:val="20"/>
              </w:rPr>
              <w:t>68%</w:t>
            </w:r>
          </w:p>
        </w:tc>
        <w:tc>
          <w:tcPr>
            <w:tcW w:w="900" w:type="dxa"/>
            <w:vAlign w:val="center"/>
          </w:tcPr>
          <w:p w:rsidR="00F20286" w:rsidRPr="009C774F" w:rsidRDefault="00DF79E9" w:rsidP="009F5C72">
            <w:pPr>
              <w:jc w:val="center"/>
              <w:rPr>
                <w:sz w:val="20"/>
              </w:rPr>
            </w:pPr>
            <w:r>
              <w:rPr>
                <w:sz w:val="20"/>
              </w:rPr>
              <w:t>77%</w:t>
            </w:r>
          </w:p>
        </w:tc>
        <w:tc>
          <w:tcPr>
            <w:tcW w:w="900" w:type="dxa"/>
            <w:vAlign w:val="center"/>
          </w:tcPr>
          <w:p w:rsidR="00F20286" w:rsidRPr="009C774F" w:rsidRDefault="00903C7E" w:rsidP="009F5C72">
            <w:pPr>
              <w:jc w:val="center"/>
              <w:rPr>
                <w:sz w:val="20"/>
              </w:rPr>
            </w:pPr>
            <w:r>
              <w:rPr>
                <w:sz w:val="20"/>
              </w:rPr>
              <w:t>61%</w:t>
            </w:r>
          </w:p>
        </w:tc>
        <w:tc>
          <w:tcPr>
            <w:tcW w:w="900" w:type="dxa"/>
            <w:vAlign w:val="center"/>
          </w:tcPr>
          <w:p w:rsidR="00F20286" w:rsidRPr="009C774F" w:rsidRDefault="00DF79E9" w:rsidP="009F5C72">
            <w:pPr>
              <w:jc w:val="center"/>
              <w:rPr>
                <w:sz w:val="20"/>
              </w:rPr>
            </w:pPr>
            <w:r>
              <w:rPr>
                <w:sz w:val="20"/>
              </w:rPr>
              <w:t>68%</w:t>
            </w:r>
          </w:p>
        </w:tc>
      </w:tr>
      <w:tr w:rsidR="00F20286" w:rsidRPr="009C774F" w:rsidTr="009F5C72">
        <w:trPr>
          <w:trHeight w:val="744"/>
        </w:trPr>
        <w:tc>
          <w:tcPr>
            <w:tcW w:w="1620" w:type="dxa"/>
            <w:vAlign w:val="center"/>
          </w:tcPr>
          <w:p w:rsidR="00F20286" w:rsidRPr="00DA7DD2" w:rsidRDefault="00FC3C21" w:rsidP="00FC3C21">
            <w:pPr>
              <w:rPr>
                <w:sz w:val="20"/>
              </w:rPr>
            </w:pPr>
            <w:r>
              <w:rPr>
                <w:sz w:val="20"/>
              </w:rPr>
              <w:t>One</w:t>
            </w:r>
            <w:r w:rsidR="00F20286">
              <w:rPr>
                <w:sz w:val="20"/>
              </w:rPr>
              <w:t xml:space="preserve"> </w:t>
            </w:r>
            <w:r>
              <w:rPr>
                <w:sz w:val="20"/>
              </w:rPr>
              <w:t xml:space="preserve">or more </w:t>
            </w:r>
            <w:r w:rsidRPr="00FC3C21">
              <w:rPr>
                <w:b/>
                <w:sz w:val="20"/>
              </w:rPr>
              <w:t xml:space="preserve"> cigarettes packs</w:t>
            </w:r>
            <w:r>
              <w:rPr>
                <w:sz w:val="20"/>
              </w:rPr>
              <w:t xml:space="preserve"> per </w:t>
            </w:r>
            <w:r w:rsidR="00F20286">
              <w:rPr>
                <w:sz w:val="20"/>
              </w:rPr>
              <w:t>day</w:t>
            </w:r>
          </w:p>
        </w:tc>
        <w:tc>
          <w:tcPr>
            <w:tcW w:w="900" w:type="dxa"/>
            <w:vAlign w:val="center"/>
          </w:tcPr>
          <w:p w:rsidR="00F20286" w:rsidRPr="009C774F" w:rsidRDefault="00903C7E" w:rsidP="009F5C72">
            <w:pPr>
              <w:jc w:val="center"/>
              <w:rPr>
                <w:sz w:val="20"/>
              </w:rPr>
            </w:pPr>
            <w:r>
              <w:rPr>
                <w:sz w:val="20"/>
              </w:rPr>
              <w:t>76%</w:t>
            </w:r>
          </w:p>
        </w:tc>
        <w:tc>
          <w:tcPr>
            <w:tcW w:w="900" w:type="dxa"/>
            <w:vAlign w:val="center"/>
          </w:tcPr>
          <w:p w:rsidR="00F20286" w:rsidRPr="009C774F" w:rsidRDefault="00DF79E9" w:rsidP="009F5C72">
            <w:pPr>
              <w:jc w:val="center"/>
              <w:rPr>
                <w:sz w:val="20"/>
              </w:rPr>
            </w:pPr>
            <w:r>
              <w:rPr>
                <w:sz w:val="20"/>
              </w:rPr>
              <w:t>80%</w:t>
            </w:r>
          </w:p>
        </w:tc>
        <w:tc>
          <w:tcPr>
            <w:tcW w:w="900" w:type="dxa"/>
            <w:vAlign w:val="center"/>
          </w:tcPr>
          <w:p w:rsidR="00F20286" w:rsidRPr="009C774F" w:rsidRDefault="00903C7E" w:rsidP="009F5C72">
            <w:pPr>
              <w:jc w:val="center"/>
              <w:rPr>
                <w:sz w:val="20"/>
              </w:rPr>
            </w:pPr>
            <w:r>
              <w:rPr>
                <w:sz w:val="20"/>
              </w:rPr>
              <w:t>80%</w:t>
            </w:r>
          </w:p>
        </w:tc>
        <w:tc>
          <w:tcPr>
            <w:tcW w:w="900" w:type="dxa"/>
            <w:vAlign w:val="center"/>
          </w:tcPr>
          <w:p w:rsidR="00F20286" w:rsidRPr="009C774F" w:rsidRDefault="00DF79E9" w:rsidP="009F5C72">
            <w:pPr>
              <w:jc w:val="center"/>
              <w:rPr>
                <w:sz w:val="20"/>
              </w:rPr>
            </w:pPr>
            <w:r>
              <w:rPr>
                <w:sz w:val="20"/>
              </w:rPr>
              <w:t>84%</w:t>
            </w:r>
          </w:p>
        </w:tc>
      </w:tr>
      <w:tr w:rsidR="00B610DC" w:rsidRPr="009C774F" w:rsidTr="000351BF">
        <w:trPr>
          <w:trHeight w:val="744"/>
        </w:trPr>
        <w:tc>
          <w:tcPr>
            <w:tcW w:w="1620" w:type="dxa"/>
            <w:vAlign w:val="center"/>
          </w:tcPr>
          <w:p w:rsidR="00B610DC" w:rsidRDefault="00E363A8" w:rsidP="00B610DC">
            <w:pPr>
              <w:rPr>
                <w:sz w:val="20"/>
              </w:rPr>
            </w:pPr>
            <w:r>
              <w:rPr>
                <w:b/>
                <w:sz w:val="20"/>
              </w:rPr>
              <w:t>Prescription d</w:t>
            </w:r>
            <w:r w:rsidR="00B610DC" w:rsidRPr="00B610DC">
              <w:rPr>
                <w:b/>
                <w:sz w:val="20"/>
              </w:rPr>
              <w:t>rug</w:t>
            </w:r>
            <w:r w:rsidR="00B610DC">
              <w:rPr>
                <w:sz w:val="20"/>
              </w:rPr>
              <w:t xml:space="preserve"> Use without Rx</w:t>
            </w:r>
          </w:p>
        </w:tc>
        <w:tc>
          <w:tcPr>
            <w:tcW w:w="900" w:type="dxa"/>
            <w:shd w:val="clear" w:color="auto" w:fill="auto"/>
            <w:vAlign w:val="center"/>
          </w:tcPr>
          <w:p w:rsidR="00B610DC" w:rsidRDefault="000351BF" w:rsidP="00B610DC">
            <w:pPr>
              <w:jc w:val="center"/>
              <w:rPr>
                <w:sz w:val="20"/>
              </w:rPr>
            </w:pPr>
            <w:r>
              <w:rPr>
                <w:sz w:val="20"/>
              </w:rPr>
              <w:t>79%</w:t>
            </w:r>
          </w:p>
        </w:tc>
        <w:tc>
          <w:tcPr>
            <w:tcW w:w="900" w:type="dxa"/>
            <w:vAlign w:val="center"/>
          </w:tcPr>
          <w:p w:rsidR="00B610DC" w:rsidRDefault="00B610DC" w:rsidP="00B610DC">
            <w:pPr>
              <w:jc w:val="center"/>
              <w:rPr>
                <w:sz w:val="20"/>
              </w:rPr>
            </w:pPr>
            <w:r>
              <w:rPr>
                <w:sz w:val="20"/>
              </w:rPr>
              <w:t>83%</w:t>
            </w:r>
          </w:p>
        </w:tc>
        <w:tc>
          <w:tcPr>
            <w:tcW w:w="900" w:type="dxa"/>
            <w:shd w:val="clear" w:color="auto" w:fill="auto"/>
            <w:vAlign w:val="center"/>
          </w:tcPr>
          <w:p w:rsidR="00B610DC" w:rsidRDefault="000351BF" w:rsidP="00B610DC">
            <w:pPr>
              <w:jc w:val="center"/>
              <w:rPr>
                <w:sz w:val="20"/>
              </w:rPr>
            </w:pPr>
            <w:r>
              <w:rPr>
                <w:sz w:val="20"/>
              </w:rPr>
              <w:t>83%</w:t>
            </w:r>
          </w:p>
        </w:tc>
        <w:tc>
          <w:tcPr>
            <w:tcW w:w="900" w:type="dxa"/>
            <w:vAlign w:val="center"/>
          </w:tcPr>
          <w:p w:rsidR="00B610DC" w:rsidRDefault="00B610DC" w:rsidP="00B610DC">
            <w:pPr>
              <w:jc w:val="center"/>
              <w:rPr>
                <w:sz w:val="20"/>
              </w:rPr>
            </w:pPr>
            <w:r>
              <w:rPr>
                <w:sz w:val="20"/>
              </w:rPr>
              <w:t>85%</w:t>
            </w:r>
          </w:p>
        </w:tc>
      </w:tr>
      <w:tr w:rsidR="00B610DC" w:rsidRPr="009C774F" w:rsidTr="009F5C72">
        <w:trPr>
          <w:trHeight w:val="971"/>
        </w:trPr>
        <w:tc>
          <w:tcPr>
            <w:tcW w:w="5220" w:type="dxa"/>
            <w:gridSpan w:val="5"/>
            <w:vAlign w:val="center"/>
          </w:tcPr>
          <w:p w:rsidR="00B610DC" w:rsidRPr="004B313F" w:rsidRDefault="00B610DC" w:rsidP="00B610DC">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6A760E" w:rsidRPr="006A760E" w:rsidRDefault="006A760E" w:rsidP="006A760E">
      <w:r w:rsidRPr="006A760E">
        <w:t xml:space="preserve">In Greater New Orleans, </w:t>
      </w:r>
      <w:r w:rsidRPr="006A760E">
        <w:rPr>
          <w:i/>
        </w:rPr>
        <w:t>about</w:t>
      </w:r>
      <w:r w:rsidRPr="006A760E">
        <w:t xml:space="preserve"> 65 percent of 8</w:t>
      </w:r>
      <w:r w:rsidRPr="006A760E">
        <w:rPr>
          <w:vertAlign w:val="superscript"/>
        </w:rPr>
        <w:t>th</w:t>
      </w:r>
      <w:r w:rsidRPr="006A760E">
        <w:t xml:space="preserve"> grade students thought that people put themselves at moderate or great risk by taking one or two drinks of </w:t>
      </w:r>
      <w:r w:rsidRPr="006A760E">
        <w:rPr>
          <w:b/>
        </w:rPr>
        <w:t>alcohol</w:t>
      </w:r>
      <w:r w:rsidRPr="006A760E">
        <w:t xml:space="preserve"> nearly every day, based on the 2012 CCYS survey. Among 10</w:t>
      </w:r>
      <w:r w:rsidRPr="006A760E">
        <w:rPr>
          <w:vertAlign w:val="superscript"/>
        </w:rPr>
        <w:t>th</w:t>
      </w:r>
      <w:r w:rsidRPr="006A760E">
        <w:t xml:space="preserve"> grade students, </w:t>
      </w:r>
      <w:r w:rsidRPr="006A760E">
        <w:rPr>
          <w:i/>
        </w:rPr>
        <w:t>about</w:t>
      </w:r>
      <w:r w:rsidRPr="006A760E">
        <w:t xml:space="preserve"> 67 percent thought that people put themselves at moderate or great risk by taking one or two drinks of alcohol nearly every day. There was no apparent change in perception of risk from daily use of alcohol from 2008 to 2012 among either 8</w:t>
      </w:r>
      <w:r w:rsidRPr="006A760E">
        <w:rPr>
          <w:vertAlign w:val="superscript"/>
        </w:rPr>
        <w:t>th</w:t>
      </w:r>
      <w:r w:rsidRPr="006A760E">
        <w:t xml:space="preserve"> or 10</w:t>
      </w:r>
      <w:r w:rsidRPr="006A760E">
        <w:rPr>
          <w:vertAlign w:val="superscript"/>
        </w:rPr>
        <w:t>th</w:t>
      </w:r>
      <w:r w:rsidRPr="006A760E">
        <w:t xml:space="preserve"> grade students.</w:t>
      </w:r>
    </w:p>
    <w:p w:rsidR="0050458C" w:rsidRDefault="0050458C" w:rsidP="0050458C"/>
    <w:p w:rsidR="006A760E" w:rsidRPr="006A760E" w:rsidRDefault="006A760E" w:rsidP="006A760E">
      <w:r w:rsidRPr="006A760E">
        <w:t xml:space="preserve">In Greater New Orleans, </w:t>
      </w:r>
      <w:r w:rsidRPr="006A760E">
        <w:rPr>
          <w:i/>
        </w:rPr>
        <w:t>about</w:t>
      </w:r>
      <w:r w:rsidRPr="006A760E">
        <w:t xml:space="preserve"> 68 percent of 8</w:t>
      </w:r>
      <w:r w:rsidRPr="006A760E">
        <w:rPr>
          <w:vertAlign w:val="superscript"/>
        </w:rPr>
        <w:t>th</w:t>
      </w:r>
      <w:r w:rsidRPr="006A760E">
        <w:t xml:space="preserve"> grade students thought that people put themselves at moderate or great risk by smoking </w:t>
      </w:r>
      <w:r w:rsidRPr="006A760E">
        <w:rPr>
          <w:b/>
        </w:rPr>
        <w:t>marijuana</w:t>
      </w:r>
      <w:r w:rsidRPr="006A760E">
        <w:t xml:space="preserve"> regularly, based on the 2012 CCYS survey. Similarly, among 10</w:t>
      </w:r>
      <w:r w:rsidRPr="006A760E">
        <w:rPr>
          <w:vertAlign w:val="superscript"/>
        </w:rPr>
        <w:t>th</w:t>
      </w:r>
      <w:r w:rsidRPr="006A760E">
        <w:t xml:space="preserve"> grade students,</w:t>
      </w:r>
      <w:r w:rsidRPr="006A760E">
        <w:rPr>
          <w:i/>
        </w:rPr>
        <w:t xml:space="preserve"> about</w:t>
      </w:r>
      <w:r w:rsidRPr="006A760E">
        <w:t xml:space="preserve"> 61 percent thought that people put themselves at moderate or great risk by smoking marijuana regularly. Perception of risk from smoking marijuana regularly decreased among 8</w:t>
      </w:r>
      <w:r w:rsidRPr="006A760E">
        <w:rPr>
          <w:vertAlign w:val="superscript"/>
        </w:rPr>
        <w:t>th</w:t>
      </w:r>
      <w:r w:rsidRPr="006A760E">
        <w:t xml:space="preserve"> graders from</w:t>
      </w:r>
      <w:r w:rsidRPr="006A760E">
        <w:rPr>
          <w:i/>
        </w:rPr>
        <w:t xml:space="preserve"> about</w:t>
      </w:r>
      <w:r w:rsidRPr="006A760E">
        <w:t xml:space="preserve"> 76 percent in 2008 to </w:t>
      </w:r>
      <w:r w:rsidRPr="006A760E">
        <w:rPr>
          <w:i/>
        </w:rPr>
        <w:t>about</w:t>
      </w:r>
      <w:r w:rsidRPr="006A760E">
        <w:t xml:space="preserve"> 68 percent in 2012.  Among 10</w:t>
      </w:r>
      <w:r w:rsidRPr="006A760E">
        <w:rPr>
          <w:vertAlign w:val="superscript"/>
        </w:rPr>
        <w:t>th</w:t>
      </w:r>
      <w:r w:rsidRPr="006A760E">
        <w:t xml:space="preserve"> grade students there was a substantial decrease in the perception of risk, from </w:t>
      </w:r>
      <w:r w:rsidRPr="006A760E">
        <w:rPr>
          <w:i/>
        </w:rPr>
        <w:t>about</w:t>
      </w:r>
      <w:r w:rsidRPr="006A760E">
        <w:t xml:space="preserve"> 77 percent in 2008 to </w:t>
      </w:r>
      <w:r w:rsidRPr="006A760E">
        <w:rPr>
          <w:i/>
        </w:rPr>
        <w:t>about</w:t>
      </w:r>
      <w:r w:rsidRPr="006A760E">
        <w:t xml:space="preserve"> 61 percent in 2012.</w:t>
      </w:r>
    </w:p>
    <w:p w:rsidR="006A760E" w:rsidRDefault="006A760E" w:rsidP="0050458C"/>
    <w:p w:rsidR="006A760E" w:rsidRPr="006A760E" w:rsidRDefault="006A760E" w:rsidP="006A760E">
      <w:r w:rsidRPr="006A760E">
        <w:lastRenderedPageBreak/>
        <w:t xml:space="preserve">In Greater New Orleans, </w:t>
      </w:r>
      <w:r w:rsidRPr="006A760E">
        <w:rPr>
          <w:i/>
        </w:rPr>
        <w:t>about</w:t>
      </w:r>
      <w:r w:rsidRPr="006A760E">
        <w:t xml:space="preserve"> 76 percent of 8</w:t>
      </w:r>
      <w:r w:rsidRPr="006A760E">
        <w:rPr>
          <w:vertAlign w:val="superscript"/>
        </w:rPr>
        <w:t>th</w:t>
      </w:r>
      <w:r w:rsidRPr="006A760E">
        <w:t xml:space="preserve"> grade students thought that people put themselves at moderate or great risk by smoking one or more packs of </w:t>
      </w:r>
      <w:r w:rsidRPr="006A760E">
        <w:rPr>
          <w:b/>
        </w:rPr>
        <w:t>cigarettes</w:t>
      </w:r>
      <w:r w:rsidRPr="006A760E">
        <w:t xml:space="preserve"> per day, based on the 2012 CCYS survey. Among 10</w:t>
      </w:r>
      <w:r w:rsidRPr="006A760E">
        <w:rPr>
          <w:vertAlign w:val="superscript"/>
        </w:rPr>
        <w:t>th</w:t>
      </w:r>
      <w:r w:rsidRPr="006A760E">
        <w:t xml:space="preserve"> grade students,</w:t>
      </w:r>
      <w:r w:rsidRPr="006A760E">
        <w:rPr>
          <w:i/>
        </w:rPr>
        <w:t xml:space="preserve"> about</w:t>
      </w:r>
      <w:r w:rsidRPr="006A760E">
        <w:t xml:space="preserve"> 80 percent thought that people put themselves at moderate or great risk by smoking one or more packs of cigarettes per day. Among 8</w:t>
      </w:r>
      <w:r w:rsidRPr="006A760E">
        <w:rPr>
          <w:vertAlign w:val="superscript"/>
        </w:rPr>
        <w:t>th</w:t>
      </w:r>
      <w:r w:rsidRPr="006A760E">
        <w:t xml:space="preserve"> graders there was no apparent change in perception of risk from smoking one or more packs of cigarettes per day, but among 10</w:t>
      </w:r>
      <w:r w:rsidRPr="006A760E">
        <w:rPr>
          <w:vertAlign w:val="superscript"/>
        </w:rPr>
        <w:t>th</w:t>
      </w:r>
      <w:r w:rsidRPr="006A760E">
        <w:t xml:space="preserve"> grade students there may have been a slight decrease in the perception of risk, from </w:t>
      </w:r>
      <w:r w:rsidRPr="006A760E">
        <w:rPr>
          <w:i/>
        </w:rPr>
        <w:t>about</w:t>
      </w:r>
      <w:r w:rsidRPr="006A760E">
        <w:t xml:space="preserve"> 85 percent in 2008 to </w:t>
      </w:r>
      <w:r w:rsidRPr="006A760E">
        <w:rPr>
          <w:i/>
        </w:rPr>
        <w:t>about</w:t>
      </w:r>
      <w:r w:rsidRPr="006A760E">
        <w:t xml:space="preserve"> 80 percent in 2012.</w:t>
      </w:r>
    </w:p>
    <w:p w:rsidR="00991DE8" w:rsidRDefault="00991DE8" w:rsidP="0050458C"/>
    <w:p w:rsidR="009E47FF" w:rsidRPr="009E47FF" w:rsidRDefault="009E47FF" w:rsidP="009E47FF">
      <w:r w:rsidRPr="009E47FF">
        <w:t xml:space="preserve">In Greater New Orleans, </w:t>
      </w:r>
      <w:r w:rsidRPr="009E47FF">
        <w:rPr>
          <w:i/>
        </w:rPr>
        <w:t>about</w:t>
      </w:r>
      <w:r w:rsidRPr="009E47FF">
        <w:t xml:space="preserve"> 79 percent of 8</w:t>
      </w:r>
      <w:r w:rsidRPr="009E47FF">
        <w:rPr>
          <w:vertAlign w:val="superscript"/>
        </w:rPr>
        <w:t>th</w:t>
      </w:r>
      <w:r w:rsidRPr="009E47FF">
        <w:t xml:space="preserve"> grade students thought that people put themselves at moderate or great risk by using prescription drugs not prescribed to them, based on the 2012 CCYS survey. Among 10</w:t>
      </w:r>
      <w:r w:rsidRPr="009E47FF">
        <w:rPr>
          <w:vertAlign w:val="superscript"/>
        </w:rPr>
        <w:t>th</w:t>
      </w:r>
      <w:r w:rsidRPr="009E47FF">
        <w:t xml:space="preserve"> grade students,</w:t>
      </w:r>
      <w:r w:rsidRPr="009E47FF">
        <w:rPr>
          <w:i/>
        </w:rPr>
        <w:t xml:space="preserve"> about</w:t>
      </w:r>
      <w:r w:rsidRPr="009E47FF">
        <w:t xml:space="preserve"> 83 percent thought that people put themselves at moderate or great risk by using prescription drugs not prescribed to them. </w:t>
      </w:r>
    </w:p>
    <w:p w:rsidR="00F6309C" w:rsidRPr="0050458C" w:rsidRDefault="00F6309C" w:rsidP="0050458C"/>
    <w:p w:rsidR="008E3CEA" w:rsidRPr="006A760E" w:rsidRDefault="008E3CEA" w:rsidP="008E3CEA">
      <w:pPr>
        <w:rPr>
          <w:u w:val="single"/>
        </w:rPr>
      </w:pPr>
      <w:r w:rsidRPr="006A760E">
        <w:rPr>
          <w:u w:val="single"/>
        </w:rPr>
        <w:t>Parental Disapproval of Substance Use</w:t>
      </w:r>
    </w:p>
    <w:p w:rsidR="0050458C" w:rsidRDefault="0050458C" w:rsidP="0050458C"/>
    <w:tbl>
      <w:tblPr>
        <w:tblStyle w:val="TableGrid"/>
        <w:tblpPr w:leftFromText="187" w:rightFromText="187" w:vertAnchor="text" w:horzAnchor="margin" w:tblpXSpec="right" w:tblpY="1"/>
        <w:tblOverlap w:val="never"/>
        <w:tblW w:w="0" w:type="auto"/>
        <w:tblLayout w:type="fixed"/>
        <w:tblLook w:val="04A0" w:firstRow="1" w:lastRow="0" w:firstColumn="1" w:lastColumn="0" w:noHBand="0" w:noVBand="1"/>
      </w:tblPr>
      <w:tblGrid>
        <w:gridCol w:w="1620"/>
        <w:gridCol w:w="900"/>
        <w:gridCol w:w="900"/>
        <w:gridCol w:w="900"/>
        <w:gridCol w:w="900"/>
      </w:tblGrid>
      <w:tr w:rsidR="00FC3C21" w:rsidRPr="009C774F" w:rsidTr="00385362">
        <w:trPr>
          <w:trHeight w:val="980"/>
        </w:trPr>
        <w:tc>
          <w:tcPr>
            <w:tcW w:w="5220" w:type="dxa"/>
            <w:gridSpan w:val="5"/>
            <w:vAlign w:val="center"/>
          </w:tcPr>
          <w:p w:rsidR="00FC3C21" w:rsidRDefault="00381284" w:rsidP="00385362">
            <w:pPr>
              <w:jc w:val="center"/>
              <w:rPr>
                <w:b/>
                <w:sz w:val="20"/>
              </w:rPr>
            </w:pPr>
            <w:r>
              <w:rPr>
                <w:b/>
                <w:sz w:val="20"/>
              </w:rPr>
              <w:t xml:space="preserve">Table 3: </w:t>
            </w:r>
            <w:r w:rsidR="00FC3C21">
              <w:rPr>
                <w:b/>
                <w:sz w:val="20"/>
              </w:rPr>
              <w:t xml:space="preserve">Perception of </w:t>
            </w:r>
            <w:r w:rsidR="00991DE8">
              <w:rPr>
                <w:b/>
                <w:sz w:val="20"/>
              </w:rPr>
              <w:t>Parental Disapproval of</w:t>
            </w:r>
            <w:r w:rsidR="00FC3C21">
              <w:rPr>
                <w:b/>
                <w:sz w:val="20"/>
              </w:rPr>
              <w:t xml:space="preserve"> Substance Use </w:t>
            </w:r>
            <w:r w:rsidR="00FC3C21" w:rsidRPr="000B6FF1">
              <w:rPr>
                <w:b/>
                <w:sz w:val="20"/>
              </w:rPr>
              <w:t xml:space="preserve">Among </w:t>
            </w:r>
            <w:r w:rsidR="00FC3C21">
              <w:rPr>
                <w:b/>
                <w:sz w:val="20"/>
              </w:rPr>
              <w:t>8</w:t>
            </w:r>
            <w:r w:rsidR="00FC3C21" w:rsidRPr="000B6FF1">
              <w:rPr>
                <w:b/>
                <w:sz w:val="20"/>
                <w:vertAlign w:val="superscript"/>
              </w:rPr>
              <w:t>th</w:t>
            </w:r>
            <w:r w:rsidR="00FC3C21" w:rsidRPr="000B6FF1">
              <w:rPr>
                <w:b/>
                <w:sz w:val="20"/>
              </w:rPr>
              <w:t xml:space="preserve"> and 1</w:t>
            </w:r>
            <w:r w:rsidR="00FC3C21">
              <w:rPr>
                <w:b/>
                <w:sz w:val="20"/>
              </w:rPr>
              <w:t>0</w:t>
            </w:r>
            <w:r w:rsidR="00FC3C21" w:rsidRPr="000B6FF1">
              <w:rPr>
                <w:b/>
                <w:sz w:val="20"/>
                <w:vertAlign w:val="superscript"/>
              </w:rPr>
              <w:t>th</w:t>
            </w:r>
            <w:r w:rsidR="00FC3C21" w:rsidRPr="000B6FF1">
              <w:rPr>
                <w:b/>
                <w:sz w:val="20"/>
              </w:rPr>
              <w:t xml:space="preserve"> grade </w:t>
            </w:r>
            <w:r w:rsidR="00FC3C21">
              <w:rPr>
                <w:b/>
                <w:sz w:val="20"/>
              </w:rPr>
              <w:t>S</w:t>
            </w:r>
            <w:r w:rsidR="00FC3C21" w:rsidRPr="000B6FF1">
              <w:rPr>
                <w:b/>
                <w:sz w:val="20"/>
              </w:rPr>
              <w:t xml:space="preserve">tudents in </w:t>
            </w:r>
          </w:p>
          <w:p w:rsidR="00FC3C21" w:rsidRDefault="00FC3C21" w:rsidP="00385362">
            <w:pPr>
              <w:jc w:val="center"/>
              <w:rPr>
                <w:b/>
                <w:sz w:val="20"/>
              </w:rPr>
            </w:pPr>
            <w:r w:rsidRPr="000B6FF1">
              <w:rPr>
                <w:b/>
                <w:sz w:val="20"/>
              </w:rPr>
              <w:t>Greater New Orleans (GNO)* based on</w:t>
            </w:r>
            <w:r>
              <w:rPr>
                <w:b/>
                <w:sz w:val="20"/>
              </w:rPr>
              <w:t xml:space="preserve"> </w:t>
            </w:r>
          </w:p>
          <w:p w:rsidR="00FC3C21" w:rsidRPr="009C774F" w:rsidRDefault="00FC3C21" w:rsidP="00385362">
            <w:pPr>
              <w:jc w:val="center"/>
              <w:rPr>
                <w:sz w:val="20"/>
              </w:rPr>
            </w:pPr>
            <w:r>
              <w:rPr>
                <w:b/>
                <w:sz w:val="20"/>
              </w:rPr>
              <w:t>the Caring Communities Y</w:t>
            </w:r>
            <w:r w:rsidRPr="000B6FF1">
              <w:rPr>
                <w:b/>
                <w:sz w:val="20"/>
              </w:rPr>
              <w:t>outh Survey</w:t>
            </w:r>
          </w:p>
        </w:tc>
      </w:tr>
      <w:tr w:rsidR="00FC3C21" w:rsidRPr="009C774F" w:rsidTr="00385362">
        <w:trPr>
          <w:trHeight w:val="342"/>
        </w:trPr>
        <w:tc>
          <w:tcPr>
            <w:tcW w:w="1620" w:type="dxa"/>
            <w:vMerge w:val="restart"/>
            <w:vAlign w:val="center"/>
          </w:tcPr>
          <w:p w:rsidR="00FC3C21" w:rsidRDefault="00991DE8" w:rsidP="00385362">
            <w:pPr>
              <w:jc w:val="center"/>
              <w:rPr>
                <w:b/>
                <w:sz w:val="20"/>
              </w:rPr>
            </w:pPr>
            <w:r>
              <w:rPr>
                <w:b/>
                <w:sz w:val="20"/>
              </w:rPr>
              <w:t>Parental Disapproval:</w:t>
            </w:r>
          </w:p>
          <w:p w:rsidR="00991DE8" w:rsidRDefault="00991DE8" w:rsidP="00385362">
            <w:pPr>
              <w:jc w:val="center"/>
              <w:rPr>
                <w:b/>
                <w:sz w:val="20"/>
              </w:rPr>
            </w:pPr>
            <w:r>
              <w:rPr>
                <w:b/>
                <w:sz w:val="20"/>
              </w:rPr>
              <w:t xml:space="preserve">Wrong or </w:t>
            </w:r>
          </w:p>
          <w:p w:rsidR="00991DE8" w:rsidRPr="009C774F" w:rsidRDefault="00991DE8" w:rsidP="00385362">
            <w:pPr>
              <w:jc w:val="center"/>
              <w:rPr>
                <w:sz w:val="20"/>
              </w:rPr>
            </w:pPr>
            <w:r>
              <w:rPr>
                <w:b/>
                <w:sz w:val="20"/>
              </w:rPr>
              <w:t>Very Wrong</w:t>
            </w:r>
          </w:p>
        </w:tc>
        <w:tc>
          <w:tcPr>
            <w:tcW w:w="3600" w:type="dxa"/>
            <w:gridSpan w:val="4"/>
            <w:vAlign w:val="center"/>
          </w:tcPr>
          <w:p w:rsidR="00FC3C21" w:rsidRPr="009C774F" w:rsidRDefault="00FC3C21" w:rsidP="00385362">
            <w:pPr>
              <w:jc w:val="center"/>
              <w:rPr>
                <w:sz w:val="20"/>
              </w:rPr>
            </w:pPr>
            <w:r>
              <w:rPr>
                <w:sz w:val="20"/>
              </w:rPr>
              <w:t>2012 Estimates</w:t>
            </w:r>
          </w:p>
        </w:tc>
      </w:tr>
      <w:tr w:rsidR="00FC3C21" w:rsidRPr="009C774F" w:rsidTr="00385362">
        <w:trPr>
          <w:trHeight w:val="360"/>
        </w:trPr>
        <w:tc>
          <w:tcPr>
            <w:tcW w:w="1620" w:type="dxa"/>
            <w:vMerge/>
            <w:vAlign w:val="center"/>
          </w:tcPr>
          <w:p w:rsidR="00FC3C21" w:rsidRPr="009C774F" w:rsidRDefault="00FC3C21" w:rsidP="00385362">
            <w:pPr>
              <w:jc w:val="center"/>
              <w:rPr>
                <w:sz w:val="20"/>
              </w:rPr>
            </w:pPr>
          </w:p>
        </w:tc>
        <w:tc>
          <w:tcPr>
            <w:tcW w:w="1800" w:type="dxa"/>
            <w:gridSpan w:val="2"/>
            <w:tcMar>
              <w:left w:w="43" w:type="dxa"/>
              <w:right w:w="43" w:type="dxa"/>
            </w:tcMar>
            <w:vAlign w:val="center"/>
          </w:tcPr>
          <w:p w:rsidR="00FC3C21" w:rsidRPr="00F20286" w:rsidRDefault="00FC3C21" w:rsidP="00385362">
            <w:pPr>
              <w:jc w:val="center"/>
              <w:rPr>
                <w:sz w:val="20"/>
              </w:rPr>
            </w:pPr>
            <w:r w:rsidRPr="00F20286">
              <w:rPr>
                <w:sz w:val="20"/>
              </w:rPr>
              <w:t>8</w:t>
            </w:r>
            <w:r w:rsidRPr="00F20286">
              <w:rPr>
                <w:sz w:val="20"/>
                <w:vertAlign w:val="superscript"/>
              </w:rPr>
              <w:t>th</w:t>
            </w:r>
            <w:r w:rsidRPr="00F20286">
              <w:rPr>
                <w:sz w:val="20"/>
              </w:rPr>
              <w:t xml:space="preserve"> Grade</w:t>
            </w:r>
          </w:p>
        </w:tc>
        <w:tc>
          <w:tcPr>
            <w:tcW w:w="1800" w:type="dxa"/>
            <w:gridSpan w:val="2"/>
            <w:tcMar>
              <w:left w:w="43" w:type="dxa"/>
              <w:right w:w="43" w:type="dxa"/>
            </w:tcMar>
            <w:vAlign w:val="center"/>
          </w:tcPr>
          <w:p w:rsidR="00FC3C21" w:rsidRPr="00F20286" w:rsidRDefault="00FC3C21" w:rsidP="00385362">
            <w:pPr>
              <w:jc w:val="center"/>
              <w:rPr>
                <w:sz w:val="20"/>
              </w:rPr>
            </w:pPr>
            <w:r w:rsidRPr="00F20286">
              <w:rPr>
                <w:sz w:val="20"/>
              </w:rPr>
              <w:t>10</w:t>
            </w:r>
            <w:r w:rsidRPr="00F20286">
              <w:rPr>
                <w:sz w:val="20"/>
                <w:vertAlign w:val="superscript"/>
              </w:rPr>
              <w:t>th</w:t>
            </w:r>
            <w:r w:rsidRPr="00F20286">
              <w:rPr>
                <w:sz w:val="20"/>
              </w:rPr>
              <w:t xml:space="preserve"> Grade</w:t>
            </w:r>
          </w:p>
        </w:tc>
      </w:tr>
      <w:tr w:rsidR="00FC3C21" w:rsidRPr="009C774F" w:rsidTr="00385362">
        <w:trPr>
          <w:trHeight w:val="522"/>
        </w:trPr>
        <w:tc>
          <w:tcPr>
            <w:tcW w:w="1620" w:type="dxa"/>
            <w:vMerge/>
            <w:vAlign w:val="center"/>
          </w:tcPr>
          <w:p w:rsidR="00FC3C21" w:rsidRDefault="00FC3C21" w:rsidP="00385362">
            <w:pPr>
              <w:rPr>
                <w:sz w:val="20"/>
              </w:rPr>
            </w:pPr>
          </w:p>
        </w:tc>
        <w:tc>
          <w:tcPr>
            <w:tcW w:w="900" w:type="dxa"/>
            <w:tcMar>
              <w:left w:w="43" w:type="dxa"/>
              <w:right w:w="43" w:type="dxa"/>
            </w:tcMar>
            <w:vAlign w:val="center"/>
          </w:tcPr>
          <w:p w:rsidR="00FC3C21" w:rsidRPr="009C774F" w:rsidRDefault="00FC3C21" w:rsidP="00385362">
            <w:pPr>
              <w:jc w:val="center"/>
              <w:rPr>
                <w:sz w:val="20"/>
              </w:rPr>
            </w:pPr>
            <w:r>
              <w:rPr>
                <w:sz w:val="20"/>
              </w:rPr>
              <w:t>GNO Estimate</w:t>
            </w:r>
          </w:p>
        </w:tc>
        <w:tc>
          <w:tcPr>
            <w:tcW w:w="900" w:type="dxa"/>
            <w:tcMar>
              <w:left w:w="43" w:type="dxa"/>
              <w:right w:w="43" w:type="dxa"/>
            </w:tcMar>
            <w:vAlign w:val="center"/>
          </w:tcPr>
          <w:p w:rsidR="00FC3C21" w:rsidRDefault="00FC3C21" w:rsidP="00385362">
            <w:pPr>
              <w:jc w:val="center"/>
              <w:rPr>
                <w:sz w:val="20"/>
              </w:rPr>
            </w:pPr>
            <w:r>
              <w:rPr>
                <w:sz w:val="20"/>
              </w:rPr>
              <w:t>State</w:t>
            </w:r>
          </w:p>
          <w:p w:rsidR="00FC3C21" w:rsidRPr="009C774F" w:rsidRDefault="00FC3C21" w:rsidP="00385362">
            <w:pPr>
              <w:jc w:val="center"/>
              <w:rPr>
                <w:sz w:val="20"/>
              </w:rPr>
            </w:pPr>
            <w:r>
              <w:rPr>
                <w:sz w:val="20"/>
              </w:rPr>
              <w:t>wide</w:t>
            </w:r>
          </w:p>
        </w:tc>
        <w:tc>
          <w:tcPr>
            <w:tcW w:w="900" w:type="dxa"/>
            <w:tcMar>
              <w:left w:w="43" w:type="dxa"/>
              <w:right w:w="43" w:type="dxa"/>
            </w:tcMar>
            <w:vAlign w:val="center"/>
          </w:tcPr>
          <w:p w:rsidR="00FC3C21" w:rsidRPr="009C774F" w:rsidRDefault="00FC3C21" w:rsidP="00385362">
            <w:pPr>
              <w:jc w:val="center"/>
              <w:rPr>
                <w:sz w:val="20"/>
              </w:rPr>
            </w:pPr>
            <w:r>
              <w:rPr>
                <w:sz w:val="20"/>
              </w:rPr>
              <w:t>GNO Estimate</w:t>
            </w:r>
          </w:p>
        </w:tc>
        <w:tc>
          <w:tcPr>
            <w:tcW w:w="900" w:type="dxa"/>
            <w:tcMar>
              <w:left w:w="43" w:type="dxa"/>
              <w:right w:w="43" w:type="dxa"/>
            </w:tcMar>
            <w:vAlign w:val="center"/>
          </w:tcPr>
          <w:p w:rsidR="00FC3C21" w:rsidRDefault="00FC3C21" w:rsidP="00385362">
            <w:pPr>
              <w:jc w:val="center"/>
              <w:rPr>
                <w:sz w:val="20"/>
              </w:rPr>
            </w:pPr>
            <w:r>
              <w:rPr>
                <w:sz w:val="20"/>
              </w:rPr>
              <w:t>State</w:t>
            </w:r>
          </w:p>
          <w:p w:rsidR="00FC3C21" w:rsidRPr="009C774F" w:rsidRDefault="00FC3C21" w:rsidP="00385362">
            <w:pPr>
              <w:jc w:val="center"/>
              <w:rPr>
                <w:sz w:val="20"/>
              </w:rPr>
            </w:pPr>
            <w:r>
              <w:rPr>
                <w:sz w:val="20"/>
              </w:rPr>
              <w:t>wide</w:t>
            </w:r>
          </w:p>
        </w:tc>
      </w:tr>
      <w:tr w:rsidR="00385362" w:rsidRPr="009C774F" w:rsidTr="00385362">
        <w:trPr>
          <w:trHeight w:val="744"/>
        </w:trPr>
        <w:tc>
          <w:tcPr>
            <w:tcW w:w="1620" w:type="dxa"/>
            <w:vAlign w:val="center"/>
          </w:tcPr>
          <w:p w:rsidR="00385362" w:rsidRPr="00DA7DD2" w:rsidRDefault="00385362" w:rsidP="00385362">
            <w:pPr>
              <w:rPr>
                <w:sz w:val="20"/>
              </w:rPr>
            </w:pPr>
            <w:r>
              <w:rPr>
                <w:sz w:val="20"/>
              </w:rPr>
              <w:t xml:space="preserve">Drinking </w:t>
            </w:r>
            <w:r w:rsidRPr="008D21D2">
              <w:rPr>
                <w:b/>
                <w:sz w:val="20"/>
              </w:rPr>
              <w:t xml:space="preserve">beer, wine </w:t>
            </w:r>
            <w:r>
              <w:rPr>
                <w:sz w:val="20"/>
              </w:rPr>
              <w:t xml:space="preserve">or </w:t>
            </w:r>
            <w:r w:rsidRPr="008D21D2">
              <w:rPr>
                <w:b/>
                <w:sz w:val="20"/>
              </w:rPr>
              <w:t>liquor</w:t>
            </w:r>
            <w:r>
              <w:rPr>
                <w:sz w:val="20"/>
              </w:rPr>
              <w:t xml:space="preserve"> regularly</w:t>
            </w:r>
          </w:p>
        </w:tc>
        <w:tc>
          <w:tcPr>
            <w:tcW w:w="900" w:type="dxa"/>
            <w:vAlign w:val="center"/>
          </w:tcPr>
          <w:p w:rsidR="00385362" w:rsidRPr="009C774F" w:rsidRDefault="00903C7E" w:rsidP="00385362">
            <w:pPr>
              <w:jc w:val="center"/>
              <w:rPr>
                <w:sz w:val="20"/>
              </w:rPr>
            </w:pPr>
            <w:r>
              <w:rPr>
                <w:sz w:val="20"/>
              </w:rPr>
              <w:t>93%</w:t>
            </w:r>
          </w:p>
        </w:tc>
        <w:tc>
          <w:tcPr>
            <w:tcW w:w="900" w:type="dxa"/>
            <w:vAlign w:val="center"/>
          </w:tcPr>
          <w:p w:rsidR="00385362" w:rsidRPr="009C774F" w:rsidRDefault="002D1432" w:rsidP="00385362">
            <w:pPr>
              <w:jc w:val="center"/>
              <w:rPr>
                <w:sz w:val="20"/>
              </w:rPr>
            </w:pPr>
            <w:r>
              <w:rPr>
                <w:sz w:val="20"/>
              </w:rPr>
              <w:t>92%</w:t>
            </w:r>
          </w:p>
        </w:tc>
        <w:tc>
          <w:tcPr>
            <w:tcW w:w="900" w:type="dxa"/>
            <w:vAlign w:val="center"/>
          </w:tcPr>
          <w:p w:rsidR="00385362" w:rsidRPr="009C774F" w:rsidRDefault="00903C7E" w:rsidP="00385362">
            <w:pPr>
              <w:jc w:val="center"/>
              <w:rPr>
                <w:sz w:val="20"/>
              </w:rPr>
            </w:pPr>
            <w:r>
              <w:rPr>
                <w:sz w:val="20"/>
              </w:rPr>
              <w:t>87%</w:t>
            </w:r>
          </w:p>
        </w:tc>
        <w:tc>
          <w:tcPr>
            <w:tcW w:w="900" w:type="dxa"/>
            <w:vAlign w:val="center"/>
          </w:tcPr>
          <w:p w:rsidR="00385362" w:rsidRPr="009C774F" w:rsidRDefault="002D1432" w:rsidP="00385362">
            <w:pPr>
              <w:jc w:val="center"/>
              <w:rPr>
                <w:sz w:val="20"/>
              </w:rPr>
            </w:pPr>
            <w:r>
              <w:rPr>
                <w:sz w:val="20"/>
              </w:rPr>
              <w:t>85%</w:t>
            </w:r>
          </w:p>
        </w:tc>
      </w:tr>
      <w:tr w:rsidR="00385362" w:rsidRPr="009C774F" w:rsidTr="00385362">
        <w:trPr>
          <w:trHeight w:val="744"/>
        </w:trPr>
        <w:tc>
          <w:tcPr>
            <w:tcW w:w="1620" w:type="dxa"/>
            <w:vAlign w:val="center"/>
          </w:tcPr>
          <w:p w:rsidR="00385362" w:rsidRDefault="00385362" w:rsidP="00385362">
            <w:pPr>
              <w:rPr>
                <w:sz w:val="20"/>
              </w:rPr>
            </w:pPr>
            <w:r>
              <w:rPr>
                <w:sz w:val="20"/>
              </w:rPr>
              <w:t>Smoking</w:t>
            </w:r>
          </w:p>
          <w:p w:rsidR="00385362" w:rsidRPr="00DA7DD2" w:rsidRDefault="008A0526" w:rsidP="00385362">
            <w:pPr>
              <w:rPr>
                <w:sz w:val="20"/>
              </w:rPr>
            </w:pPr>
            <w:r w:rsidRPr="008A0526">
              <w:rPr>
                <w:b/>
                <w:sz w:val="20"/>
              </w:rPr>
              <w:t>marijuana</w:t>
            </w:r>
          </w:p>
        </w:tc>
        <w:tc>
          <w:tcPr>
            <w:tcW w:w="900" w:type="dxa"/>
            <w:vAlign w:val="center"/>
          </w:tcPr>
          <w:p w:rsidR="00385362" w:rsidRPr="009C774F" w:rsidRDefault="00903C7E" w:rsidP="00385362">
            <w:pPr>
              <w:jc w:val="center"/>
              <w:rPr>
                <w:sz w:val="20"/>
              </w:rPr>
            </w:pPr>
            <w:r>
              <w:rPr>
                <w:sz w:val="20"/>
              </w:rPr>
              <w:t>95%</w:t>
            </w:r>
          </w:p>
        </w:tc>
        <w:tc>
          <w:tcPr>
            <w:tcW w:w="900" w:type="dxa"/>
            <w:vAlign w:val="center"/>
          </w:tcPr>
          <w:p w:rsidR="00385362" w:rsidRPr="009C774F" w:rsidRDefault="002D1432" w:rsidP="00385362">
            <w:pPr>
              <w:jc w:val="center"/>
              <w:rPr>
                <w:sz w:val="20"/>
              </w:rPr>
            </w:pPr>
            <w:r>
              <w:rPr>
                <w:sz w:val="20"/>
              </w:rPr>
              <w:t>96%</w:t>
            </w:r>
          </w:p>
        </w:tc>
        <w:tc>
          <w:tcPr>
            <w:tcW w:w="900" w:type="dxa"/>
            <w:vAlign w:val="center"/>
          </w:tcPr>
          <w:p w:rsidR="00385362" w:rsidRPr="009C774F" w:rsidRDefault="00903C7E" w:rsidP="00385362">
            <w:pPr>
              <w:jc w:val="center"/>
              <w:rPr>
                <w:sz w:val="20"/>
              </w:rPr>
            </w:pPr>
            <w:r>
              <w:rPr>
                <w:sz w:val="20"/>
              </w:rPr>
              <w:t>93%</w:t>
            </w:r>
          </w:p>
        </w:tc>
        <w:tc>
          <w:tcPr>
            <w:tcW w:w="900" w:type="dxa"/>
            <w:vAlign w:val="center"/>
          </w:tcPr>
          <w:p w:rsidR="00385362" w:rsidRPr="009C774F" w:rsidRDefault="002D1432" w:rsidP="00385362">
            <w:pPr>
              <w:jc w:val="center"/>
              <w:rPr>
                <w:sz w:val="20"/>
              </w:rPr>
            </w:pPr>
            <w:r>
              <w:rPr>
                <w:sz w:val="20"/>
              </w:rPr>
              <w:t>93%</w:t>
            </w:r>
          </w:p>
        </w:tc>
      </w:tr>
      <w:tr w:rsidR="00385362" w:rsidRPr="009C774F" w:rsidTr="00385362">
        <w:trPr>
          <w:trHeight w:val="744"/>
        </w:trPr>
        <w:tc>
          <w:tcPr>
            <w:tcW w:w="1620" w:type="dxa"/>
            <w:vAlign w:val="center"/>
          </w:tcPr>
          <w:p w:rsidR="00385362" w:rsidRDefault="00385362" w:rsidP="00385362">
            <w:pPr>
              <w:rPr>
                <w:sz w:val="20"/>
              </w:rPr>
            </w:pPr>
            <w:r>
              <w:rPr>
                <w:sz w:val="20"/>
              </w:rPr>
              <w:t>Smoking</w:t>
            </w:r>
          </w:p>
          <w:p w:rsidR="00385362" w:rsidRPr="00DA7DD2" w:rsidRDefault="00C26157" w:rsidP="00385362">
            <w:pPr>
              <w:rPr>
                <w:sz w:val="20"/>
              </w:rPr>
            </w:pPr>
            <w:r>
              <w:rPr>
                <w:b/>
                <w:sz w:val="20"/>
              </w:rPr>
              <w:t>cigarettes</w:t>
            </w:r>
            <w:r w:rsidR="00385362" w:rsidRPr="00DA7DD2">
              <w:rPr>
                <w:sz w:val="20"/>
              </w:rPr>
              <w:t xml:space="preserve"> </w:t>
            </w:r>
          </w:p>
        </w:tc>
        <w:tc>
          <w:tcPr>
            <w:tcW w:w="900" w:type="dxa"/>
            <w:vAlign w:val="center"/>
          </w:tcPr>
          <w:p w:rsidR="00385362" w:rsidRPr="009C774F" w:rsidRDefault="00903C7E" w:rsidP="00385362">
            <w:pPr>
              <w:jc w:val="center"/>
              <w:rPr>
                <w:sz w:val="20"/>
              </w:rPr>
            </w:pPr>
            <w:r>
              <w:rPr>
                <w:sz w:val="20"/>
              </w:rPr>
              <w:t>96%</w:t>
            </w:r>
          </w:p>
        </w:tc>
        <w:tc>
          <w:tcPr>
            <w:tcW w:w="900" w:type="dxa"/>
            <w:vAlign w:val="center"/>
          </w:tcPr>
          <w:p w:rsidR="00385362" w:rsidRPr="009C774F" w:rsidRDefault="002D1432" w:rsidP="00385362">
            <w:pPr>
              <w:jc w:val="center"/>
              <w:rPr>
                <w:sz w:val="20"/>
              </w:rPr>
            </w:pPr>
            <w:r>
              <w:rPr>
                <w:sz w:val="20"/>
              </w:rPr>
              <w:t>96%</w:t>
            </w:r>
          </w:p>
        </w:tc>
        <w:tc>
          <w:tcPr>
            <w:tcW w:w="900" w:type="dxa"/>
            <w:vAlign w:val="center"/>
          </w:tcPr>
          <w:p w:rsidR="00385362" w:rsidRPr="009C774F" w:rsidRDefault="00903C7E" w:rsidP="00385362">
            <w:pPr>
              <w:jc w:val="center"/>
              <w:rPr>
                <w:sz w:val="20"/>
              </w:rPr>
            </w:pPr>
            <w:r>
              <w:rPr>
                <w:sz w:val="20"/>
              </w:rPr>
              <w:t>95%</w:t>
            </w:r>
          </w:p>
        </w:tc>
        <w:tc>
          <w:tcPr>
            <w:tcW w:w="900" w:type="dxa"/>
            <w:vAlign w:val="center"/>
          </w:tcPr>
          <w:p w:rsidR="00385362" w:rsidRPr="009C774F" w:rsidRDefault="002D1432" w:rsidP="00385362">
            <w:pPr>
              <w:jc w:val="center"/>
              <w:rPr>
                <w:sz w:val="20"/>
              </w:rPr>
            </w:pPr>
            <w:r>
              <w:rPr>
                <w:sz w:val="20"/>
              </w:rPr>
              <w:t>94%</w:t>
            </w:r>
          </w:p>
        </w:tc>
      </w:tr>
      <w:tr w:rsidR="00B610DC" w:rsidRPr="009C774F" w:rsidTr="00CD0F6F">
        <w:trPr>
          <w:trHeight w:val="744"/>
        </w:trPr>
        <w:tc>
          <w:tcPr>
            <w:tcW w:w="1620" w:type="dxa"/>
            <w:vAlign w:val="center"/>
          </w:tcPr>
          <w:p w:rsidR="00B610DC" w:rsidRDefault="00E363A8" w:rsidP="00B610DC">
            <w:pPr>
              <w:rPr>
                <w:sz w:val="20"/>
              </w:rPr>
            </w:pPr>
            <w:r>
              <w:rPr>
                <w:b/>
                <w:sz w:val="20"/>
              </w:rPr>
              <w:t>Prescription d</w:t>
            </w:r>
            <w:r w:rsidR="00B610DC" w:rsidRPr="00B610DC">
              <w:rPr>
                <w:b/>
                <w:sz w:val="20"/>
              </w:rPr>
              <w:t>rug</w:t>
            </w:r>
            <w:r w:rsidR="00B610DC">
              <w:rPr>
                <w:sz w:val="20"/>
              </w:rPr>
              <w:t xml:space="preserve"> Use without Rx</w:t>
            </w:r>
          </w:p>
        </w:tc>
        <w:tc>
          <w:tcPr>
            <w:tcW w:w="900" w:type="dxa"/>
            <w:shd w:val="clear" w:color="auto" w:fill="auto"/>
            <w:vAlign w:val="center"/>
          </w:tcPr>
          <w:p w:rsidR="00B610DC" w:rsidRDefault="000351BF" w:rsidP="00B610DC">
            <w:pPr>
              <w:jc w:val="center"/>
              <w:rPr>
                <w:sz w:val="20"/>
              </w:rPr>
            </w:pPr>
            <w:r>
              <w:rPr>
                <w:sz w:val="20"/>
              </w:rPr>
              <w:t>97%</w:t>
            </w:r>
          </w:p>
        </w:tc>
        <w:tc>
          <w:tcPr>
            <w:tcW w:w="900" w:type="dxa"/>
            <w:vAlign w:val="center"/>
          </w:tcPr>
          <w:p w:rsidR="00B610DC" w:rsidRDefault="00B610DC" w:rsidP="00B610DC">
            <w:pPr>
              <w:jc w:val="center"/>
              <w:rPr>
                <w:sz w:val="20"/>
              </w:rPr>
            </w:pPr>
            <w:r>
              <w:rPr>
                <w:sz w:val="20"/>
              </w:rPr>
              <w:t>97%</w:t>
            </w:r>
          </w:p>
        </w:tc>
        <w:tc>
          <w:tcPr>
            <w:tcW w:w="900" w:type="dxa"/>
            <w:shd w:val="clear" w:color="auto" w:fill="auto"/>
            <w:vAlign w:val="center"/>
          </w:tcPr>
          <w:p w:rsidR="00B610DC" w:rsidRDefault="000351BF" w:rsidP="00B610DC">
            <w:pPr>
              <w:jc w:val="center"/>
              <w:rPr>
                <w:sz w:val="20"/>
              </w:rPr>
            </w:pPr>
            <w:r>
              <w:rPr>
                <w:sz w:val="20"/>
              </w:rPr>
              <w:t>96%</w:t>
            </w:r>
          </w:p>
        </w:tc>
        <w:tc>
          <w:tcPr>
            <w:tcW w:w="900" w:type="dxa"/>
            <w:vAlign w:val="center"/>
          </w:tcPr>
          <w:p w:rsidR="00B610DC" w:rsidRDefault="00B610DC" w:rsidP="00B610DC">
            <w:pPr>
              <w:jc w:val="center"/>
              <w:rPr>
                <w:sz w:val="20"/>
              </w:rPr>
            </w:pPr>
            <w:r>
              <w:rPr>
                <w:sz w:val="20"/>
              </w:rPr>
              <w:t>96%</w:t>
            </w:r>
          </w:p>
        </w:tc>
      </w:tr>
      <w:tr w:rsidR="00B610DC" w:rsidRPr="009C774F" w:rsidTr="00385362">
        <w:trPr>
          <w:trHeight w:val="971"/>
        </w:trPr>
        <w:tc>
          <w:tcPr>
            <w:tcW w:w="5220" w:type="dxa"/>
            <w:gridSpan w:val="5"/>
            <w:vAlign w:val="center"/>
          </w:tcPr>
          <w:p w:rsidR="00B610DC" w:rsidRPr="004B313F" w:rsidRDefault="00B610DC" w:rsidP="00B610DC">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8048BC" w:rsidRPr="008048BC" w:rsidRDefault="008048BC" w:rsidP="008048BC">
      <w:r w:rsidRPr="008048BC">
        <w:t xml:space="preserve">In Greater New Orleans, </w:t>
      </w:r>
      <w:r w:rsidRPr="008048BC">
        <w:rPr>
          <w:i/>
        </w:rPr>
        <w:t>about</w:t>
      </w:r>
      <w:r w:rsidRPr="008048BC">
        <w:t xml:space="preserve"> 93 percent of 8</w:t>
      </w:r>
      <w:r w:rsidRPr="008048BC">
        <w:rPr>
          <w:vertAlign w:val="superscript"/>
        </w:rPr>
        <w:t>th</w:t>
      </w:r>
      <w:r w:rsidRPr="008048BC">
        <w:t xml:space="preserve"> grade students thought that their parents would feel it was wrong or very wrong for them to drink </w:t>
      </w:r>
      <w:r w:rsidRPr="008048BC">
        <w:rPr>
          <w:b/>
        </w:rPr>
        <w:t>alcohol</w:t>
      </w:r>
      <w:r w:rsidRPr="008048BC">
        <w:t xml:space="preserve"> regularly, based on the 2012 CCYS survey. Among 10</w:t>
      </w:r>
      <w:r w:rsidRPr="008048BC">
        <w:rPr>
          <w:vertAlign w:val="superscript"/>
        </w:rPr>
        <w:t>th</w:t>
      </w:r>
      <w:r w:rsidRPr="008048BC">
        <w:t xml:space="preserve"> grade students, </w:t>
      </w:r>
      <w:r w:rsidRPr="008048BC">
        <w:rPr>
          <w:i/>
        </w:rPr>
        <w:t>about</w:t>
      </w:r>
      <w:r w:rsidRPr="008048BC">
        <w:t xml:space="preserve"> 87 percent thought that that their parents would feel it was wrong or very wrong for them to drink alcohol regularly. Perception of parental disapproval of regular alcohol use appears to have increased slightly among 8</w:t>
      </w:r>
      <w:r w:rsidRPr="008048BC">
        <w:rPr>
          <w:vertAlign w:val="superscript"/>
        </w:rPr>
        <w:t>th</w:t>
      </w:r>
      <w:r w:rsidRPr="008048BC">
        <w:t xml:space="preserve"> graders from 2008 to 2012. Among 10</w:t>
      </w:r>
      <w:r w:rsidRPr="008048BC">
        <w:rPr>
          <w:vertAlign w:val="superscript"/>
        </w:rPr>
        <w:t>th</w:t>
      </w:r>
      <w:r w:rsidRPr="008048BC">
        <w:t xml:space="preserve"> grade students, perception of parental disapproval of regular alcohol use increased from about 78 percent in 2008 to about 87 percent in 2012.</w:t>
      </w:r>
    </w:p>
    <w:p w:rsidR="0050458C" w:rsidRDefault="0050458C" w:rsidP="0050458C"/>
    <w:p w:rsidR="006A760E" w:rsidRPr="006A760E" w:rsidRDefault="006A760E" w:rsidP="006A760E">
      <w:r w:rsidRPr="006A760E">
        <w:t xml:space="preserve">In Greater New Orleans, </w:t>
      </w:r>
      <w:r w:rsidRPr="006A760E">
        <w:rPr>
          <w:i/>
        </w:rPr>
        <w:t>about</w:t>
      </w:r>
      <w:r w:rsidRPr="006A760E">
        <w:t xml:space="preserve"> 95 percent of 8</w:t>
      </w:r>
      <w:r w:rsidRPr="006A760E">
        <w:rPr>
          <w:vertAlign w:val="superscript"/>
        </w:rPr>
        <w:t>th</w:t>
      </w:r>
      <w:r w:rsidRPr="006A760E">
        <w:t xml:space="preserve"> grade students thought that their parents would feel it was wrong or very wrong for them to smoke </w:t>
      </w:r>
      <w:r w:rsidRPr="006A760E">
        <w:rPr>
          <w:b/>
        </w:rPr>
        <w:t>marijuana</w:t>
      </w:r>
      <w:r w:rsidRPr="006A760E">
        <w:t>, based on the 2012 CCYS survey, based on the 2012 CCYS survey. Among 10</w:t>
      </w:r>
      <w:r w:rsidRPr="006A760E">
        <w:rPr>
          <w:vertAlign w:val="superscript"/>
        </w:rPr>
        <w:t>th</w:t>
      </w:r>
      <w:r w:rsidRPr="006A760E">
        <w:t xml:space="preserve"> grade students, </w:t>
      </w:r>
      <w:r w:rsidRPr="006A760E">
        <w:rPr>
          <w:i/>
        </w:rPr>
        <w:t>about</w:t>
      </w:r>
      <w:r w:rsidRPr="006A760E">
        <w:t xml:space="preserve"> 93 percent thought that that their parents would feel it was wrong or very wrong for them to smoke marijuana. There was no apparent change in perception of parental disapproval of marijuana use from 2008 to 2012 among either 8</w:t>
      </w:r>
      <w:r w:rsidRPr="006A760E">
        <w:rPr>
          <w:vertAlign w:val="superscript"/>
        </w:rPr>
        <w:t>th</w:t>
      </w:r>
      <w:r w:rsidRPr="006A760E">
        <w:t xml:space="preserve"> or 10</w:t>
      </w:r>
      <w:r w:rsidRPr="006A760E">
        <w:rPr>
          <w:vertAlign w:val="superscript"/>
        </w:rPr>
        <w:t>th</w:t>
      </w:r>
      <w:r w:rsidRPr="006A760E">
        <w:t xml:space="preserve"> grade students.</w:t>
      </w:r>
    </w:p>
    <w:p w:rsidR="0050458C" w:rsidRDefault="0050458C" w:rsidP="0050458C"/>
    <w:p w:rsidR="006A760E" w:rsidRPr="006A760E" w:rsidRDefault="006A760E" w:rsidP="006A760E">
      <w:r w:rsidRPr="006A760E">
        <w:t xml:space="preserve">In Greater New Orleans, </w:t>
      </w:r>
      <w:r w:rsidRPr="006A760E">
        <w:rPr>
          <w:i/>
        </w:rPr>
        <w:t>about</w:t>
      </w:r>
      <w:r w:rsidRPr="006A760E">
        <w:t xml:space="preserve"> 96 percent of 8</w:t>
      </w:r>
      <w:r w:rsidRPr="006A760E">
        <w:rPr>
          <w:vertAlign w:val="superscript"/>
        </w:rPr>
        <w:t>th</w:t>
      </w:r>
      <w:r w:rsidRPr="006A760E">
        <w:t xml:space="preserve"> grade students thought that their parents would feel it was wrong or very wrong for them to smoke cigarettes, based on the 2012 CCYS survey, based on the 2012 CCYS survey. Among 10</w:t>
      </w:r>
      <w:r w:rsidRPr="006A760E">
        <w:rPr>
          <w:vertAlign w:val="superscript"/>
        </w:rPr>
        <w:t>th</w:t>
      </w:r>
      <w:r w:rsidRPr="006A760E">
        <w:t xml:space="preserve"> grade students, </w:t>
      </w:r>
      <w:r w:rsidRPr="006A760E">
        <w:rPr>
          <w:i/>
        </w:rPr>
        <w:t>about</w:t>
      </w:r>
      <w:r w:rsidRPr="006A760E">
        <w:t xml:space="preserve"> 95 percent thought that that </w:t>
      </w:r>
      <w:r w:rsidRPr="006A760E">
        <w:lastRenderedPageBreak/>
        <w:t>their parents would feel it was wrong or very wrong for them to smoke cigarettes. There was no apparent change in perception of parental disapproval of cigarette smoking from 2008 to 2012 among either 8</w:t>
      </w:r>
      <w:r w:rsidRPr="006A760E">
        <w:rPr>
          <w:vertAlign w:val="superscript"/>
        </w:rPr>
        <w:t>th</w:t>
      </w:r>
      <w:r w:rsidRPr="006A760E">
        <w:t xml:space="preserve"> or 10</w:t>
      </w:r>
      <w:r w:rsidRPr="006A760E">
        <w:rPr>
          <w:vertAlign w:val="superscript"/>
        </w:rPr>
        <w:t>th</w:t>
      </w:r>
      <w:r w:rsidRPr="006A760E">
        <w:t xml:space="preserve"> grade students.</w:t>
      </w:r>
    </w:p>
    <w:p w:rsidR="00385362" w:rsidRDefault="00385362" w:rsidP="0050458C"/>
    <w:p w:rsidR="009E47FF" w:rsidRPr="009E47FF" w:rsidRDefault="009E47FF" w:rsidP="009E47FF">
      <w:r w:rsidRPr="009E47FF">
        <w:t xml:space="preserve">In Greater New Orleans, </w:t>
      </w:r>
      <w:r w:rsidRPr="009E47FF">
        <w:rPr>
          <w:i/>
        </w:rPr>
        <w:t>about</w:t>
      </w:r>
      <w:r w:rsidRPr="009E47FF">
        <w:t xml:space="preserve"> 97 percent of 8</w:t>
      </w:r>
      <w:r w:rsidRPr="009E47FF">
        <w:rPr>
          <w:vertAlign w:val="superscript"/>
        </w:rPr>
        <w:t>th</w:t>
      </w:r>
      <w:r w:rsidRPr="009E47FF">
        <w:t xml:space="preserve"> grade students thought that their parents would feel it was wrong or very wrong for them to use prescription drugs not prescribed to them, based on the 2012 CCYS survey, based on the 2012 CCYS survey. Similarly, among 10</w:t>
      </w:r>
      <w:r w:rsidRPr="009E47FF">
        <w:rPr>
          <w:vertAlign w:val="superscript"/>
        </w:rPr>
        <w:t>th</w:t>
      </w:r>
      <w:r w:rsidRPr="009E47FF">
        <w:t xml:space="preserve"> grade students, </w:t>
      </w:r>
      <w:r w:rsidRPr="009E47FF">
        <w:rPr>
          <w:i/>
        </w:rPr>
        <w:t>about</w:t>
      </w:r>
      <w:r w:rsidRPr="009E47FF">
        <w:t xml:space="preserve"> 96 percent thought that that their parents would feel it was wrong or very wrong for them to use prescription drugs not prescribed to them. </w:t>
      </w:r>
    </w:p>
    <w:p w:rsidR="00F6309C" w:rsidRDefault="00F6309C" w:rsidP="0050458C"/>
    <w:p w:rsidR="008E3CEA" w:rsidRPr="006A760E" w:rsidRDefault="008E3CEA" w:rsidP="008E3CEA">
      <w:pPr>
        <w:rPr>
          <w:u w:val="single"/>
        </w:rPr>
      </w:pPr>
      <w:r w:rsidRPr="006A760E">
        <w:rPr>
          <w:u w:val="single"/>
        </w:rPr>
        <w:t>Peer Disapproval of Substance Use</w:t>
      </w:r>
    </w:p>
    <w:p w:rsidR="0050458C" w:rsidRDefault="0050458C"/>
    <w:p w:rsidR="006A760E" w:rsidRDefault="006A760E">
      <w:r w:rsidRPr="006A760E">
        <w:t xml:space="preserve">In Greater New Orleans, </w:t>
      </w:r>
      <w:r w:rsidRPr="006A760E">
        <w:rPr>
          <w:i/>
        </w:rPr>
        <w:t>about</w:t>
      </w:r>
      <w:r w:rsidRPr="006A760E">
        <w:t xml:space="preserve"> 79 percent of 8</w:t>
      </w:r>
      <w:r w:rsidRPr="006A760E">
        <w:rPr>
          <w:vertAlign w:val="superscript"/>
        </w:rPr>
        <w:t>th</w:t>
      </w:r>
      <w:r w:rsidRPr="006A760E">
        <w:t xml:space="preserve"> grade students thought that their friends would feel it was wrong or very wrong for them to drink </w:t>
      </w:r>
      <w:r w:rsidRPr="006A760E">
        <w:rPr>
          <w:b/>
        </w:rPr>
        <w:t>alcohol</w:t>
      </w:r>
      <w:r w:rsidRPr="006A760E">
        <w:t xml:space="preserve"> nearly every day, based on the 2012 CCYS survey. Among 10</w:t>
      </w:r>
      <w:r w:rsidRPr="006A760E">
        <w:rPr>
          <w:vertAlign w:val="superscript"/>
        </w:rPr>
        <w:t>th</w:t>
      </w:r>
      <w:r w:rsidRPr="006A760E">
        <w:t xml:space="preserve"> grade students, </w:t>
      </w:r>
      <w:r w:rsidRPr="006A760E">
        <w:rPr>
          <w:i/>
        </w:rPr>
        <w:t>about</w:t>
      </w:r>
      <w:r w:rsidRPr="006A760E">
        <w:t xml:space="preserve"> 71 percent thought that that their friends would feel it was wrong or very wrong for them to drink alcohol nearly every day. There is no apparent change in perception of peer disapproval of daily alcohol use among 8</w:t>
      </w:r>
      <w:r w:rsidRPr="006A760E">
        <w:rPr>
          <w:vertAlign w:val="superscript"/>
        </w:rPr>
        <w:t>th</w:t>
      </w:r>
      <w:r w:rsidRPr="006A760E">
        <w:t xml:space="preserve"> grade students.  However, among 10</w:t>
      </w:r>
      <w:r w:rsidRPr="006A760E">
        <w:rPr>
          <w:vertAlign w:val="superscript"/>
        </w:rPr>
        <w:t>th</w:t>
      </w:r>
      <w:r w:rsidRPr="006A760E">
        <w:t xml:space="preserve"> grade students perception of peer disapproval of daily alcohol use appears to have increased</w:t>
      </w:r>
      <w:r w:rsidR="00C57910">
        <w:t xml:space="preserve"> slightly</w:t>
      </w:r>
      <w:r w:rsidRPr="006A760E">
        <w:t xml:space="preserve"> from 2008 to 2012.</w:t>
      </w:r>
    </w:p>
    <w:tbl>
      <w:tblPr>
        <w:tblStyle w:val="TableGrid"/>
        <w:tblpPr w:leftFromText="187" w:rightFromText="187" w:vertAnchor="text" w:horzAnchor="margin" w:tblpXSpec="right" w:tblpY="1"/>
        <w:tblOverlap w:val="never"/>
        <w:tblW w:w="0" w:type="auto"/>
        <w:tblLayout w:type="fixed"/>
        <w:tblLook w:val="04A0" w:firstRow="1" w:lastRow="0" w:firstColumn="1" w:lastColumn="0" w:noHBand="0" w:noVBand="1"/>
      </w:tblPr>
      <w:tblGrid>
        <w:gridCol w:w="1620"/>
        <w:gridCol w:w="900"/>
        <w:gridCol w:w="900"/>
        <w:gridCol w:w="900"/>
        <w:gridCol w:w="900"/>
      </w:tblGrid>
      <w:tr w:rsidR="00385362" w:rsidRPr="009C774F" w:rsidTr="00385362">
        <w:trPr>
          <w:trHeight w:val="980"/>
        </w:trPr>
        <w:tc>
          <w:tcPr>
            <w:tcW w:w="5220" w:type="dxa"/>
            <w:gridSpan w:val="5"/>
            <w:vAlign w:val="center"/>
          </w:tcPr>
          <w:p w:rsidR="00385362" w:rsidRDefault="00381284" w:rsidP="00385362">
            <w:pPr>
              <w:jc w:val="center"/>
              <w:rPr>
                <w:b/>
                <w:sz w:val="20"/>
              </w:rPr>
            </w:pPr>
            <w:r>
              <w:rPr>
                <w:b/>
                <w:sz w:val="20"/>
              </w:rPr>
              <w:t xml:space="preserve">Table 4: </w:t>
            </w:r>
            <w:r w:rsidR="00385362">
              <w:rPr>
                <w:b/>
                <w:sz w:val="20"/>
              </w:rPr>
              <w:t xml:space="preserve">Perception of </w:t>
            </w:r>
            <w:r w:rsidR="008A0526">
              <w:rPr>
                <w:b/>
                <w:sz w:val="20"/>
              </w:rPr>
              <w:t>Friends</w:t>
            </w:r>
            <w:r w:rsidR="00385362">
              <w:rPr>
                <w:b/>
                <w:sz w:val="20"/>
              </w:rPr>
              <w:t xml:space="preserve"> Disapproval of Substance Use </w:t>
            </w:r>
            <w:r w:rsidR="00385362" w:rsidRPr="000B6FF1">
              <w:rPr>
                <w:b/>
                <w:sz w:val="20"/>
              </w:rPr>
              <w:t xml:space="preserve">Among </w:t>
            </w:r>
            <w:r w:rsidR="00385362">
              <w:rPr>
                <w:b/>
                <w:sz w:val="20"/>
              </w:rPr>
              <w:t>8</w:t>
            </w:r>
            <w:r w:rsidR="00385362" w:rsidRPr="000B6FF1">
              <w:rPr>
                <w:b/>
                <w:sz w:val="20"/>
                <w:vertAlign w:val="superscript"/>
              </w:rPr>
              <w:t>th</w:t>
            </w:r>
            <w:r w:rsidR="00385362" w:rsidRPr="000B6FF1">
              <w:rPr>
                <w:b/>
                <w:sz w:val="20"/>
              </w:rPr>
              <w:t xml:space="preserve"> and 1</w:t>
            </w:r>
            <w:r w:rsidR="00385362">
              <w:rPr>
                <w:b/>
                <w:sz w:val="20"/>
              </w:rPr>
              <w:t>0</w:t>
            </w:r>
            <w:r w:rsidR="00385362" w:rsidRPr="000B6FF1">
              <w:rPr>
                <w:b/>
                <w:sz w:val="20"/>
                <w:vertAlign w:val="superscript"/>
              </w:rPr>
              <w:t>th</w:t>
            </w:r>
            <w:r w:rsidR="00385362" w:rsidRPr="000B6FF1">
              <w:rPr>
                <w:b/>
                <w:sz w:val="20"/>
              </w:rPr>
              <w:t xml:space="preserve"> grade </w:t>
            </w:r>
            <w:r w:rsidR="00385362">
              <w:rPr>
                <w:b/>
                <w:sz w:val="20"/>
              </w:rPr>
              <w:t>S</w:t>
            </w:r>
            <w:r w:rsidR="00385362" w:rsidRPr="000B6FF1">
              <w:rPr>
                <w:b/>
                <w:sz w:val="20"/>
              </w:rPr>
              <w:t xml:space="preserve">tudents in </w:t>
            </w:r>
          </w:p>
          <w:p w:rsidR="00385362" w:rsidRDefault="00385362" w:rsidP="00385362">
            <w:pPr>
              <w:jc w:val="center"/>
              <w:rPr>
                <w:b/>
                <w:sz w:val="20"/>
              </w:rPr>
            </w:pPr>
            <w:r w:rsidRPr="000B6FF1">
              <w:rPr>
                <w:b/>
                <w:sz w:val="20"/>
              </w:rPr>
              <w:t>Greater New Orleans (GNO)* based on</w:t>
            </w:r>
            <w:r>
              <w:rPr>
                <w:b/>
                <w:sz w:val="20"/>
              </w:rPr>
              <w:t xml:space="preserve"> </w:t>
            </w:r>
          </w:p>
          <w:p w:rsidR="00385362" w:rsidRPr="009C774F" w:rsidRDefault="00385362" w:rsidP="00385362">
            <w:pPr>
              <w:jc w:val="center"/>
              <w:rPr>
                <w:sz w:val="20"/>
              </w:rPr>
            </w:pPr>
            <w:r>
              <w:rPr>
                <w:b/>
                <w:sz w:val="20"/>
              </w:rPr>
              <w:t>the Caring Communities Y</w:t>
            </w:r>
            <w:r w:rsidRPr="000B6FF1">
              <w:rPr>
                <w:b/>
                <w:sz w:val="20"/>
              </w:rPr>
              <w:t>outh Survey</w:t>
            </w:r>
          </w:p>
        </w:tc>
      </w:tr>
      <w:tr w:rsidR="00385362" w:rsidRPr="009C774F" w:rsidTr="00385362">
        <w:trPr>
          <w:trHeight w:val="342"/>
        </w:trPr>
        <w:tc>
          <w:tcPr>
            <w:tcW w:w="1620" w:type="dxa"/>
            <w:vMerge w:val="restart"/>
            <w:vAlign w:val="center"/>
          </w:tcPr>
          <w:p w:rsidR="00385362" w:rsidRDefault="008A0526" w:rsidP="00385362">
            <w:pPr>
              <w:jc w:val="center"/>
              <w:rPr>
                <w:b/>
                <w:sz w:val="20"/>
              </w:rPr>
            </w:pPr>
            <w:r>
              <w:rPr>
                <w:b/>
                <w:sz w:val="20"/>
              </w:rPr>
              <w:t>Peer</w:t>
            </w:r>
            <w:r w:rsidR="00385362">
              <w:rPr>
                <w:b/>
                <w:sz w:val="20"/>
              </w:rPr>
              <w:t xml:space="preserve"> Disapproval:</w:t>
            </w:r>
          </w:p>
          <w:p w:rsidR="00385362" w:rsidRDefault="00385362" w:rsidP="00385362">
            <w:pPr>
              <w:jc w:val="center"/>
              <w:rPr>
                <w:b/>
                <w:sz w:val="20"/>
              </w:rPr>
            </w:pPr>
            <w:r>
              <w:rPr>
                <w:b/>
                <w:sz w:val="20"/>
              </w:rPr>
              <w:t xml:space="preserve">Wrong or </w:t>
            </w:r>
          </w:p>
          <w:p w:rsidR="00385362" w:rsidRPr="009C774F" w:rsidRDefault="00385362" w:rsidP="00385362">
            <w:pPr>
              <w:jc w:val="center"/>
              <w:rPr>
                <w:sz w:val="20"/>
              </w:rPr>
            </w:pPr>
            <w:r>
              <w:rPr>
                <w:b/>
                <w:sz w:val="20"/>
              </w:rPr>
              <w:t>Very Wrong</w:t>
            </w:r>
          </w:p>
        </w:tc>
        <w:tc>
          <w:tcPr>
            <w:tcW w:w="3600" w:type="dxa"/>
            <w:gridSpan w:val="4"/>
            <w:vAlign w:val="center"/>
          </w:tcPr>
          <w:p w:rsidR="00385362" w:rsidRPr="009C774F" w:rsidRDefault="00385362" w:rsidP="00385362">
            <w:pPr>
              <w:jc w:val="center"/>
              <w:rPr>
                <w:sz w:val="20"/>
              </w:rPr>
            </w:pPr>
            <w:r>
              <w:rPr>
                <w:sz w:val="20"/>
              </w:rPr>
              <w:t>2012 Estimates</w:t>
            </w:r>
          </w:p>
        </w:tc>
      </w:tr>
      <w:tr w:rsidR="00385362" w:rsidRPr="009C774F" w:rsidTr="00385362">
        <w:trPr>
          <w:trHeight w:val="360"/>
        </w:trPr>
        <w:tc>
          <w:tcPr>
            <w:tcW w:w="1620" w:type="dxa"/>
            <w:vMerge/>
            <w:vAlign w:val="center"/>
          </w:tcPr>
          <w:p w:rsidR="00385362" w:rsidRPr="009C774F" w:rsidRDefault="00385362" w:rsidP="00385362">
            <w:pPr>
              <w:jc w:val="center"/>
              <w:rPr>
                <w:sz w:val="20"/>
              </w:rPr>
            </w:pPr>
          </w:p>
        </w:tc>
        <w:tc>
          <w:tcPr>
            <w:tcW w:w="1800" w:type="dxa"/>
            <w:gridSpan w:val="2"/>
            <w:tcMar>
              <w:left w:w="43" w:type="dxa"/>
              <w:right w:w="43" w:type="dxa"/>
            </w:tcMar>
            <w:vAlign w:val="center"/>
          </w:tcPr>
          <w:p w:rsidR="00385362" w:rsidRPr="00F20286" w:rsidRDefault="00385362" w:rsidP="00385362">
            <w:pPr>
              <w:jc w:val="center"/>
              <w:rPr>
                <w:sz w:val="20"/>
              </w:rPr>
            </w:pPr>
            <w:r w:rsidRPr="00F20286">
              <w:rPr>
                <w:sz w:val="20"/>
              </w:rPr>
              <w:t>8</w:t>
            </w:r>
            <w:r w:rsidRPr="00F20286">
              <w:rPr>
                <w:sz w:val="20"/>
                <w:vertAlign w:val="superscript"/>
              </w:rPr>
              <w:t>th</w:t>
            </w:r>
            <w:r w:rsidRPr="00F20286">
              <w:rPr>
                <w:sz w:val="20"/>
              </w:rPr>
              <w:t xml:space="preserve"> Grade</w:t>
            </w:r>
          </w:p>
        </w:tc>
        <w:tc>
          <w:tcPr>
            <w:tcW w:w="1800" w:type="dxa"/>
            <w:gridSpan w:val="2"/>
            <w:tcMar>
              <w:left w:w="43" w:type="dxa"/>
              <w:right w:w="43" w:type="dxa"/>
            </w:tcMar>
            <w:vAlign w:val="center"/>
          </w:tcPr>
          <w:p w:rsidR="00385362" w:rsidRPr="00F20286" w:rsidRDefault="00385362" w:rsidP="00385362">
            <w:pPr>
              <w:jc w:val="center"/>
              <w:rPr>
                <w:sz w:val="20"/>
              </w:rPr>
            </w:pPr>
            <w:r w:rsidRPr="00F20286">
              <w:rPr>
                <w:sz w:val="20"/>
              </w:rPr>
              <w:t>10</w:t>
            </w:r>
            <w:r w:rsidRPr="00F20286">
              <w:rPr>
                <w:sz w:val="20"/>
                <w:vertAlign w:val="superscript"/>
              </w:rPr>
              <w:t>th</w:t>
            </w:r>
            <w:r w:rsidRPr="00F20286">
              <w:rPr>
                <w:sz w:val="20"/>
              </w:rPr>
              <w:t xml:space="preserve"> Grade</w:t>
            </w:r>
          </w:p>
        </w:tc>
      </w:tr>
      <w:tr w:rsidR="00385362" w:rsidRPr="009C774F" w:rsidTr="00385362">
        <w:trPr>
          <w:trHeight w:val="522"/>
        </w:trPr>
        <w:tc>
          <w:tcPr>
            <w:tcW w:w="1620" w:type="dxa"/>
            <w:vMerge/>
            <w:vAlign w:val="center"/>
          </w:tcPr>
          <w:p w:rsidR="00385362" w:rsidRDefault="00385362" w:rsidP="00385362">
            <w:pPr>
              <w:rPr>
                <w:sz w:val="20"/>
              </w:rPr>
            </w:pPr>
          </w:p>
        </w:tc>
        <w:tc>
          <w:tcPr>
            <w:tcW w:w="900" w:type="dxa"/>
            <w:tcMar>
              <w:left w:w="43" w:type="dxa"/>
              <w:right w:w="43" w:type="dxa"/>
            </w:tcMar>
            <w:vAlign w:val="center"/>
          </w:tcPr>
          <w:p w:rsidR="00385362" w:rsidRPr="009C774F" w:rsidRDefault="00385362" w:rsidP="00385362">
            <w:pPr>
              <w:jc w:val="center"/>
              <w:rPr>
                <w:sz w:val="20"/>
              </w:rPr>
            </w:pPr>
            <w:r>
              <w:rPr>
                <w:sz w:val="20"/>
              </w:rPr>
              <w:t>GNO Estimate</w:t>
            </w:r>
          </w:p>
        </w:tc>
        <w:tc>
          <w:tcPr>
            <w:tcW w:w="900" w:type="dxa"/>
            <w:tcMar>
              <w:left w:w="43" w:type="dxa"/>
              <w:right w:w="43" w:type="dxa"/>
            </w:tcMar>
            <w:vAlign w:val="center"/>
          </w:tcPr>
          <w:p w:rsidR="00385362" w:rsidRDefault="00385362" w:rsidP="00385362">
            <w:pPr>
              <w:jc w:val="center"/>
              <w:rPr>
                <w:sz w:val="20"/>
              </w:rPr>
            </w:pPr>
            <w:r>
              <w:rPr>
                <w:sz w:val="20"/>
              </w:rPr>
              <w:t>State</w:t>
            </w:r>
          </w:p>
          <w:p w:rsidR="00385362" w:rsidRPr="009C774F" w:rsidRDefault="00385362" w:rsidP="00385362">
            <w:pPr>
              <w:jc w:val="center"/>
              <w:rPr>
                <w:sz w:val="20"/>
              </w:rPr>
            </w:pPr>
            <w:r>
              <w:rPr>
                <w:sz w:val="20"/>
              </w:rPr>
              <w:t>wide</w:t>
            </w:r>
          </w:p>
        </w:tc>
        <w:tc>
          <w:tcPr>
            <w:tcW w:w="900" w:type="dxa"/>
            <w:tcMar>
              <w:left w:w="43" w:type="dxa"/>
              <w:right w:w="43" w:type="dxa"/>
            </w:tcMar>
            <w:vAlign w:val="center"/>
          </w:tcPr>
          <w:p w:rsidR="00385362" w:rsidRPr="009C774F" w:rsidRDefault="00385362" w:rsidP="00385362">
            <w:pPr>
              <w:jc w:val="center"/>
              <w:rPr>
                <w:sz w:val="20"/>
              </w:rPr>
            </w:pPr>
            <w:r>
              <w:rPr>
                <w:sz w:val="20"/>
              </w:rPr>
              <w:t>GNO Estimate</w:t>
            </w:r>
          </w:p>
        </w:tc>
        <w:tc>
          <w:tcPr>
            <w:tcW w:w="900" w:type="dxa"/>
            <w:tcMar>
              <w:left w:w="43" w:type="dxa"/>
              <w:right w:w="43" w:type="dxa"/>
            </w:tcMar>
            <w:vAlign w:val="center"/>
          </w:tcPr>
          <w:p w:rsidR="00385362" w:rsidRDefault="00385362" w:rsidP="00385362">
            <w:pPr>
              <w:jc w:val="center"/>
              <w:rPr>
                <w:sz w:val="20"/>
              </w:rPr>
            </w:pPr>
            <w:r>
              <w:rPr>
                <w:sz w:val="20"/>
              </w:rPr>
              <w:t>State</w:t>
            </w:r>
          </w:p>
          <w:p w:rsidR="00385362" w:rsidRPr="009C774F" w:rsidRDefault="00385362" w:rsidP="00385362">
            <w:pPr>
              <w:jc w:val="center"/>
              <w:rPr>
                <w:sz w:val="20"/>
              </w:rPr>
            </w:pPr>
            <w:r>
              <w:rPr>
                <w:sz w:val="20"/>
              </w:rPr>
              <w:t>wide</w:t>
            </w:r>
          </w:p>
        </w:tc>
      </w:tr>
      <w:tr w:rsidR="008A0526" w:rsidRPr="009C774F" w:rsidTr="00385362">
        <w:trPr>
          <w:trHeight w:val="744"/>
        </w:trPr>
        <w:tc>
          <w:tcPr>
            <w:tcW w:w="1620" w:type="dxa"/>
            <w:vAlign w:val="center"/>
          </w:tcPr>
          <w:p w:rsidR="008A0526" w:rsidRPr="00DA7DD2" w:rsidRDefault="008A0526" w:rsidP="008A0526">
            <w:pPr>
              <w:rPr>
                <w:sz w:val="20"/>
              </w:rPr>
            </w:pPr>
            <w:r>
              <w:rPr>
                <w:sz w:val="20"/>
              </w:rPr>
              <w:t>O</w:t>
            </w:r>
            <w:r w:rsidRPr="00DA7DD2">
              <w:rPr>
                <w:sz w:val="20"/>
              </w:rPr>
              <w:t xml:space="preserve">ne or two drinks of </w:t>
            </w:r>
            <w:r w:rsidRPr="00DA7DD2">
              <w:rPr>
                <w:b/>
                <w:sz w:val="20"/>
              </w:rPr>
              <w:t>alcohol</w:t>
            </w:r>
            <w:r w:rsidRPr="00DA7DD2">
              <w:rPr>
                <w:sz w:val="20"/>
              </w:rPr>
              <w:t xml:space="preserve"> nearly every day</w:t>
            </w:r>
          </w:p>
        </w:tc>
        <w:tc>
          <w:tcPr>
            <w:tcW w:w="900" w:type="dxa"/>
            <w:vAlign w:val="center"/>
          </w:tcPr>
          <w:p w:rsidR="008A0526" w:rsidRPr="009C774F" w:rsidRDefault="00903C7E" w:rsidP="008A0526">
            <w:pPr>
              <w:jc w:val="center"/>
              <w:rPr>
                <w:sz w:val="20"/>
              </w:rPr>
            </w:pPr>
            <w:r>
              <w:rPr>
                <w:sz w:val="20"/>
              </w:rPr>
              <w:t>79%</w:t>
            </w:r>
          </w:p>
        </w:tc>
        <w:tc>
          <w:tcPr>
            <w:tcW w:w="900" w:type="dxa"/>
            <w:vAlign w:val="center"/>
          </w:tcPr>
          <w:p w:rsidR="008A0526" w:rsidRPr="009C774F" w:rsidRDefault="002D1432" w:rsidP="008A0526">
            <w:pPr>
              <w:jc w:val="center"/>
              <w:rPr>
                <w:sz w:val="20"/>
              </w:rPr>
            </w:pPr>
            <w:r>
              <w:rPr>
                <w:sz w:val="20"/>
              </w:rPr>
              <w:t>79%</w:t>
            </w:r>
          </w:p>
        </w:tc>
        <w:tc>
          <w:tcPr>
            <w:tcW w:w="900" w:type="dxa"/>
            <w:vAlign w:val="center"/>
          </w:tcPr>
          <w:p w:rsidR="008A0526" w:rsidRPr="009C774F" w:rsidRDefault="00903C7E" w:rsidP="008A0526">
            <w:pPr>
              <w:jc w:val="center"/>
              <w:rPr>
                <w:sz w:val="20"/>
              </w:rPr>
            </w:pPr>
            <w:r>
              <w:rPr>
                <w:sz w:val="20"/>
              </w:rPr>
              <w:t>71%</w:t>
            </w:r>
          </w:p>
        </w:tc>
        <w:tc>
          <w:tcPr>
            <w:tcW w:w="900" w:type="dxa"/>
            <w:vAlign w:val="center"/>
          </w:tcPr>
          <w:p w:rsidR="008A0526" w:rsidRPr="009C774F" w:rsidRDefault="002D1432" w:rsidP="008A0526">
            <w:pPr>
              <w:jc w:val="center"/>
              <w:rPr>
                <w:sz w:val="20"/>
              </w:rPr>
            </w:pPr>
            <w:r>
              <w:rPr>
                <w:sz w:val="20"/>
              </w:rPr>
              <w:t>62%</w:t>
            </w:r>
          </w:p>
        </w:tc>
      </w:tr>
      <w:tr w:rsidR="00385362" w:rsidRPr="009C774F" w:rsidTr="00385362">
        <w:trPr>
          <w:trHeight w:val="744"/>
        </w:trPr>
        <w:tc>
          <w:tcPr>
            <w:tcW w:w="1620" w:type="dxa"/>
            <w:vAlign w:val="center"/>
          </w:tcPr>
          <w:p w:rsidR="00385362" w:rsidRDefault="00385362" w:rsidP="00385362">
            <w:pPr>
              <w:rPr>
                <w:sz w:val="20"/>
              </w:rPr>
            </w:pPr>
            <w:r>
              <w:rPr>
                <w:sz w:val="20"/>
              </w:rPr>
              <w:t>Smoking</w:t>
            </w:r>
          </w:p>
          <w:p w:rsidR="00385362" w:rsidRPr="00DA7DD2" w:rsidRDefault="008A0526" w:rsidP="00385362">
            <w:pPr>
              <w:rPr>
                <w:sz w:val="20"/>
              </w:rPr>
            </w:pPr>
            <w:r w:rsidRPr="008A0526">
              <w:rPr>
                <w:b/>
                <w:sz w:val="20"/>
              </w:rPr>
              <w:t>marijuana</w:t>
            </w:r>
          </w:p>
        </w:tc>
        <w:tc>
          <w:tcPr>
            <w:tcW w:w="900" w:type="dxa"/>
            <w:vAlign w:val="center"/>
          </w:tcPr>
          <w:p w:rsidR="00385362" w:rsidRPr="009C774F" w:rsidRDefault="00903C7E" w:rsidP="00385362">
            <w:pPr>
              <w:jc w:val="center"/>
              <w:rPr>
                <w:sz w:val="20"/>
              </w:rPr>
            </w:pPr>
            <w:r>
              <w:rPr>
                <w:sz w:val="20"/>
              </w:rPr>
              <w:t>78%</w:t>
            </w:r>
          </w:p>
        </w:tc>
        <w:tc>
          <w:tcPr>
            <w:tcW w:w="900" w:type="dxa"/>
            <w:vAlign w:val="center"/>
          </w:tcPr>
          <w:p w:rsidR="00385362" w:rsidRPr="009C774F" w:rsidRDefault="002D1432" w:rsidP="00385362">
            <w:pPr>
              <w:jc w:val="center"/>
              <w:rPr>
                <w:sz w:val="20"/>
              </w:rPr>
            </w:pPr>
            <w:r>
              <w:rPr>
                <w:sz w:val="20"/>
              </w:rPr>
              <w:t>84%</w:t>
            </w:r>
          </w:p>
        </w:tc>
        <w:tc>
          <w:tcPr>
            <w:tcW w:w="900" w:type="dxa"/>
            <w:vAlign w:val="center"/>
          </w:tcPr>
          <w:p w:rsidR="00385362" w:rsidRPr="009C774F" w:rsidRDefault="00903C7E" w:rsidP="00385362">
            <w:pPr>
              <w:jc w:val="center"/>
              <w:rPr>
                <w:sz w:val="20"/>
              </w:rPr>
            </w:pPr>
            <w:r>
              <w:rPr>
                <w:sz w:val="20"/>
              </w:rPr>
              <w:t>66%</w:t>
            </w:r>
          </w:p>
        </w:tc>
        <w:tc>
          <w:tcPr>
            <w:tcW w:w="900" w:type="dxa"/>
            <w:vAlign w:val="center"/>
          </w:tcPr>
          <w:p w:rsidR="00385362" w:rsidRPr="009C774F" w:rsidRDefault="002D1432" w:rsidP="00385362">
            <w:pPr>
              <w:jc w:val="center"/>
              <w:rPr>
                <w:sz w:val="20"/>
              </w:rPr>
            </w:pPr>
            <w:r>
              <w:rPr>
                <w:sz w:val="20"/>
              </w:rPr>
              <w:t>67%</w:t>
            </w:r>
          </w:p>
        </w:tc>
      </w:tr>
      <w:tr w:rsidR="00385362" w:rsidRPr="009C774F" w:rsidTr="00385362">
        <w:trPr>
          <w:trHeight w:val="744"/>
        </w:trPr>
        <w:tc>
          <w:tcPr>
            <w:tcW w:w="1620" w:type="dxa"/>
            <w:vAlign w:val="center"/>
          </w:tcPr>
          <w:p w:rsidR="00385362" w:rsidRDefault="00385362" w:rsidP="00385362">
            <w:pPr>
              <w:rPr>
                <w:sz w:val="20"/>
              </w:rPr>
            </w:pPr>
            <w:r>
              <w:rPr>
                <w:sz w:val="20"/>
              </w:rPr>
              <w:t>Smoking</w:t>
            </w:r>
          </w:p>
          <w:p w:rsidR="00385362" w:rsidRPr="00DA7DD2" w:rsidRDefault="00467FD8" w:rsidP="00385362">
            <w:pPr>
              <w:rPr>
                <w:sz w:val="20"/>
              </w:rPr>
            </w:pPr>
            <w:r>
              <w:rPr>
                <w:b/>
                <w:sz w:val="20"/>
              </w:rPr>
              <w:t>tobacco</w:t>
            </w:r>
            <w:r w:rsidR="00385362" w:rsidRPr="00DA7DD2">
              <w:rPr>
                <w:sz w:val="20"/>
              </w:rPr>
              <w:t xml:space="preserve"> </w:t>
            </w:r>
          </w:p>
        </w:tc>
        <w:tc>
          <w:tcPr>
            <w:tcW w:w="900" w:type="dxa"/>
            <w:vAlign w:val="center"/>
          </w:tcPr>
          <w:p w:rsidR="00385362" w:rsidRPr="009C774F" w:rsidRDefault="00903C7E" w:rsidP="00385362">
            <w:pPr>
              <w:jc w:val="center"/>
              <w:rPr>
                <w:sz w:val="20"/>
              </w:rPr>
            </w:pPr>
            <w:r>
              <w:rPr>
                <w:sz w:val="20"/>
              </w:rPr>
              <w:t>86%</w:t>
            </w:r>
          </w:p>
        </w:tc>
        <w:tc>
          <w:tcPr>
            <w:tcW w:w="900" w:type="dxa"/>
            <w:vAlign w:val="center"/>
          </w:tcPr>
          <w:p w:rsidR="00385362" w:rsidRPr="009C774F" w:rsidRDefault="002D1432" w:rsidP="00385362">
            <w:pPr>
              <w:jc w:val="center"/>
              <w:rPr>
                <w:sz w:val="20"/>
              </w:rPr>
            </w:pPr>
            <w:r>
              <w:rPr>
                <w:sz w:val="20"/>
              </w:rPr>
              <w:t>86%</w:t>
            </w:r>
          </w:p>
        </w:tc>
        <w:tc>
          <w:tcPr>
            <w:tcW w:w="900" w:type="dxa"/>
            <w:vAlign w:val="center"/>
          </w:tcPr>
          <w:p w:rsidR="00385362" w:rsidRPr="009C774F" w:rsidRDefault="00903C7E" w:rsidP="00385362">
            <w:pPr>
              <w:jc w:val="center"/>
              <w:rPr>
                <w:sz w:val="20"/>
              </w:rPr>
            </w:pPr>
            <w:r>
              <w:rPr>
                <w:sz w:val="20"/>
              </w:rPr>
              <w:t>72%</w:t>
            </w:r>
          </w:p>
        </w:tc>
        <w:tc>
          <w:tcPr>
            <w:tcW w:w="900" w:type="dxa"/>
            <w:vAlign w:val="center"/>
          </w:tcPr>
          <w:p w:rsidR="00385362" w:rsidRPr="009C774F" w:rsidRDefault="002D1432" w:rsidP="00385362">
            <w:pPr>
              <w:jc w:val="center"/>
              <w:rPr>
                <w:sz w:val="20"/>
              </w:rPr>
            </w:pPr>
            <w:r>
              <w:rPr>
                <w:sz w:val="20"/>
              </w:rPr>
              <w:t>72%</w:t>
            </w:r>
          </w:p>
        </w:tc>
      </w:tr>
      <w:tr w:rsidR="0083524A" w:rsidRPr="009C774F" w:rsidTr="00292301">
        <w:trPr>
          <w:trHeight w:val="744"/>
        </w:trPr>
        <w:tc>
          <w:tcPr>
            <w:tcW w:w="1620" w:type="dxa"/>
            <w:vAlign w:val="center"/>
          </w:tcPr>
          <w:p w:rsidR="0083524A" w:rsidRDefault="00E363A8" w:rsidP="00385362">
            <w:pPr>
              <w:rPr>
                <w:sz w:val="20"/>
              </w:rPr>
            </w:pPr>
            <w:r>
              <w:rPr>
                <w:b/>
                <w:sz w:val="20"/>
              </w:rPr>
              <w:t>Prescription d</w:t>
            </w:r>
            <w:r w:rsidR="0083524A" w:rsidRPr="00B610DC">
              <w:rPr>
                <w:b/>
                <w:sz w:val="20"/>
              </w:rPr>
              <w:t>rug</w:t>
            </w:r>
            <w:r w:rsidR="0083524A">
              <w:rPr>
                <w:sz w:val="20"/>
              </w:rPr>
              <w:t xml:space="preserve"> Use without Rx</w:t>
            </w:r>
          </w:p>
        </w:tc>
        <w:tc>
          <w:tcPr>
            <w:tcW w:w="900" w:type="dxa"/>
            <w:shd w:val="clear" w:color="auto" w:fill="auto"/>
            <w:vAlign w:val="center"/>
          </w:tcPr>
          <w:p w:rsidR="0083524A" w:rsidRDefault="00292301" w:rsidP="00385362">
            <w:pPr>
              <w:jc w:val="center"/>
              <w:rPr>
                <w:sz w:val="20"/>
              </w:rPr>
            </w:pPr>
            <w:r>
              <w:rPr>
                <w:sz w:val="20"/>
              </w:rPr>
              <w:t>90%</w:t>
            </w:r>
          </w:p>
        </w:tc>
        <w:tc>
          <w:tcPr>
            <w:tcW w:w="900" w:type="dxa"/>
            <w:vAlign w:val="center"/>
          </w:tcPr>
          <w:p w:rsidR="0083524A" w:rsidRDefault="00B610DC" w:rsidP="00385362">
            <w:pPr>
              <w:jc w:val="center"/>
              <w:rPr>
                <w:sz w:val="20"/>
              </w:rPr>
            </w:pPr>
            <w:r>
              <w:rPr>
                <w:sz w:val="20"/>
              </w:rPr>
              <w:t>91%</w:t>
            </w:r>
          </w:p>
        </w:tc>
        <w:tc>
          <w:tcPr>
            <w:tcW w:w="900" w:type="dxa"/>
            <w:shd w:val="clear" w:color="auto" w:fill="auto"/>
            <w:vAlign w:val="center"/>
          </w:tcPr>
          <w:p w:rsidR="0083524A" w:rsidRDefault="00292301" w:rsidP="00385362">
            <w:pPr>
              <w:jc w:val="center"/>
              <w:rPr>
                <w:sz w:val="20"/>
              </w:rPr>
            </w:pPr>
            <w:r>
              <w:rPr>
                <w:sz w:val="20"/>
              </w:rPr>
              <w:t>84%</w:t>
            </w:r>
          </w:p>
        </w:tc>
        <w:tc>
          <w:tcPr>
            <w:tcW w:w="900" w:type="dxa"/>
            <w:vAlign w:val="center"/>
          </w:tcPr>
          <w:p w:rsidR="0083524A" w:rsidRDefault="00B610DC" w:rsidP="00385362">
            <w:pPr>
              <w:jc w:val="center"/>
              <w:rPr>
                <w:sz w:val="20"/>
              </w:rPr>
            </w:pPr>
            <w:r>
              <w:rPr>
                <w:sz w:val="20"/>
              </w:rPr>
              <w:t>83%</w:t>
            </w:r>
          </w:p>
        </w:tc>
      </w:tr>
      <w:tr w:rsidR="00385362" w:rsidRPr="009C774F" w:rsidTr="00385362">
        <w:trPr>
          <w:trHeight w:val="971"/>
        </w:trPr>
        <w:tc>
          <w:tcPr>
            <w:tcW w:w="5220" w:type="dxa"/>
            <w:gridSpan w:val="5"/>
            <w:vAlign w:val="center"/>
          </w:tcPr>
          <w:p w:rsidR="00385362" w:rsidRPr="004B313F" w:rsidRDefault="00385362" w:rsidP="00385362">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50458C" w:rsidRDefault="0050458C"/>
    <w:p w:rsidR="006A760E" w:rsidRPr="006A760E" w:rsidRDefault="006A760E" w:rsidP="006A760E">
      <w:r w:rsidRPr="006A760E">
        <w:t xml:space="preserve">In Greater New Orleans, </w:t>
      </w:r>
      <w:r w:rsidRPr="006A760E">
        <w:rPr>
          <w:i/>
        </w:rPr>
        <w:t>about</w:t>
      </w:r>
      <w:r w:rsidRPr="006A760E">
        <w:t xml:space="preserve"> 78 percent of 8</w:t>
      </w:r>
      <w:r w:rsidRPr="006A760E">
        <w:rPr>
          <w:vertAlign w:val="superscript"/>
        </w:rPr>
        <w:t>th</w:t>
      </w:r>
      <w:r w:rsidRPr="006A760E">
        <w:t xml:space="preserve"> grade students thought that their friends would feel it was wrong or very wrong for them to smoke </w:t>
      </w:r>
      <w:r w:rsidRPr="006A760E">
        <w:rPr>
          <w:b/>
        </w:rPr>
        <w:t>marijuana</w:t>
      </w:r>
      <w:r w:rsidRPr="006A760E">
        <w:t>, based on the 2012 CCYS survey. Among 10</w:t>
      </w:r>
      <w:r w:rsidRPr="006A760E">
        <w:rPr>
          <w:vertAlign w:val="superscript"/>
        </w:rPr>
        <w:t>th</w:t>
      </w:r>
      <w:r w:rsidRPr="006A760E">
        <w:t xml:space="preserve"> grade students, </w:t>
      </w:r>
      <w:r w:rsidRPr="006A760E">
        <w:rPr>
          <w:i/>
        </w:rPr>
        <w:t>about</w:t>
      </w:r>
      <w:r w:rsidRPr="006A760E">
        <w:t xml:space="preserve"> 66 percent thought that that their friends would feel it was wrong or very wrong for them to smoke marijuana. There appears to have been a substantial decrease the perception of peer disapproval of marijuana use: among 8</w:t>
      </w:r>
      <w:r w:rsidRPr="006A760E">
        <w:rPr>
          <w:vertAlign w:val="superscript"/>
        </w:rPr>
        <w:t>th</w:t>
      </w:r>
      <w:r w:rsidRPr="006A760E">
        <w:t xml:space="preserve"> graders the perception of peer disapproval of marijuana use decreased form </w:t>
      </w:r>
      <w:r w:rsidRPr="006A760E">
        <w:rPr>
          <w:i/>
        </w:rPr>
        <w:t>about</w:t>
      </w:r>
      <w:r w:rsidRPr="006A760E">
        <w:t xml:space="preserve"> 89 percent in 2008 to </w:t>
      </w:r>
      <w:r w:rsidRPr="006A760E">
        <w:rPr>
          <w:i/>
        </w:rPr>
        <w:t>about</w:t>
      </w:r>
      <w:r w:rsidRPr="006A760E">
        <w:t xml:space="preserve"> 78 percent in 2012 while among 10</w:t>
      </w:r>
      <w:r w:rsidRPr="006A760E">
        <w:rPr>
          <w:vertAlign w:val="superscript"/>
        </w:rPr>
        <w:t>th</w:t>
      </w:r>
      <w:r w:rsidRPr="006A760E">
        <w:t xml:space="preserve"> grade students the perception of peer disapproval of marijuana use decrease from </w:t>
      </w:r>
      <w:r w:rsidRPr="006A760E">
        <w:rPr>
          <w:i/>
        </w:rPr>
        <w:t>about</w:t>
      </w:r>
      <w:r w:rsidRPr="006A760E">
        <w:t xml:space="preserve"> 82 in 2008 to </w:t>
      </w:r>
      <w:r w:rsidRPr="006A760E">
        <w:rPr>
          <w:i/>
        </w:rPr>
        <w:t>about</w:t>
      </w:r>
      <w:r w:rsidRPr="006A760E">
        <w:t xml:space="preserve"> 66 in 2012.</w:t>
      </w:r>
    </w:p>
    <w:p w:rsidR="0050458C" w:rsidRDefault="0050458C"/>
    <w:p w:rsidR="009A0930" w:rsidRDefault="009A0930" w:rsidP="009A0930">
      <w:r w:rsidRPr="009A0930">
        <w:t xml:space="preserve">In Greater New Orleans, </w:t>
      </w:r>
      <w:r w:rsidRPr="009A0930">
        <w:rPr>
          <w:i/>
        </w:rPr>
        <w:t>about</w:t>
      </w:r>
      <w:r w:rsidRPr="009A0930">
        <w:t xml:space="preserve"> 86 percent of 8</w:t>
      </w:r>
      <w:r w:rsidRPr="009A0930">
        <w:rPr>
          <w:vertAlign w:val="superscript"/>
        </w:rPr>
        <w:t>th</w:t>
      </w:r>
      <w:r w:rsidRPr="009A0930">
        <w:t xml:space="preserve"> grade students thought that their friends would feel it was wrong or very wrong for them to smoke </w:t>
      </w:r>
      <w:r w:rsidRPr="009A0930">
        <w:rPr>
          <w:b/>
        </w:rPr>
        <w:t>tobacco</w:t>
      </w:r>
      <w:r w:rsidRPr="009A0930">
        <w:t>, based on the 2012 CCYS survey, based on the 2012 CCYS survey. Among 10</w:t>
      </w:r>
      <w:r w:rsidRPr="009A0930">
        <w:rPr>
          <w:vertAlign w:val="superscript"/>
        </w:rPr>
        <w:t>th</w:t>
      </w:r>
      <w:r w:rsidRPr="009A0930">
        <w:t xml:space="preserve"> grade students, </w:t>
      </w:r>
      <w:r w:rsidRPr="009A0930">
        <w:rPr>
          <w:i/>
        </w:rPr>
        <w:t>about</w:t>
      </w:r>
      <w:r w:rsidRPr="009A0930">
        <w:t xml:space="preserve"> 79 percent thought that that their friends would feel it was </w:t>
      </w:r>
      <w:r w:rsidRPr="009A0930">
        <w:lastRenderedPageBreak/>
        <w:t>wrong or very wrong for them to smoke tobacco. There was no apparent change in perception of peer disapproval of tobacco smoking from 2008 to 2012 among either 8</w:t>
      </w:r>
      <w:r w:rsidRPr="009A0930">
        <w:rPr>
          <w:vertAlign w:val="superscript"/>
        </w:rPr>
        <w:t>th</w:t>
      </w:r>
      <w:r w:rsidRPr="009A0930">
        <w:t xml:space="preserve"> or 10</w:t>
      </w:r>
      <w:r w:rsidRPr="009A0930">
        <w:rPr>
          <w:vertAlign w:val="superscript"/>
        </w:rPr>
        <w:t>th</w:t>
      </w:r>
      <w:r w:rsidRPr="009A0930">
        <w:t xml:space="preserve"> grade students.</w:t>
      </w:r>
    </w:p>
    <w:p w:rsidR="008D699F" w:rsidRPr="009A0930" w:rsidRDefault="008D699F" w:rsidP="009A0930"/>
    <w:p w:rsidR="009F7E2B" w:rsidRPr="009F7E2B" w:rsidRDefault="009F7E2B" w:rsidP="009F7E2B">
      <w:r w:rsidRPr="009F7E2B">
        <w:t xml:space="preserve">In Greater New Orleans, </w:t>
      </w:r>
      <w:r w:rsidRPr="009F7E2B">
        <w:rPr>
          <w:i/>
        </w:rPr>
        <w:t>about</w:t>
      </w:r>
      <w:r w:rsidRPr="009F7E2B">
        <w:t xml:space="preserve"> 90 percent of 8</w:t>
      </w:r>
      <w:r w:rsidRPr="009F7E2B">
        <w:rPr>
          <w:vertAlign w:val="superscript"/>
        </w:rPr>
        <w:t>th</w:t>
      </w:r>
      <w:r w:rsidRPr="009F7E2B">
        <w:t xml:space="preserve"> grade students thought that their friends would feel it was wrong or very wrong for them to use prescription drugs not prescribed to them, based on the 2012 CCYS survey. Among 10</w:t>
      </w:r>
      <w:r w:rsidRPr="009F7E2B">
        <w:rPr>
          <w:vertAlign w:val="superscript"/>
        </w:rPr>
        <w:t>th</w:t>
      </w:r>
      <w:r w:rsidRPr="009F7E2B">
        <w:t xml:space="preserve"> grade students, </w:t>
      </w:r>
      <w:r w:rsidRPr="009F7E2B">
        <w:rPr>
          <w:i/>
        </w:rPr>
        <w:t>about</w:t>
      </w:r>
      <w:r w:rsidRPr="009F7E2B">
        <w:t xml:space="preserve"> 84 percent thought that that their friends would feel it was wrong or very wrong for them to use prescription drugs not prescribed to them. </w:t>
      </w:r>
    </w:p>
    <w:p w:rsidR="008D699F" w:rsidRDefault="008D699F">
      <w:pPr>
        <w:rPr>
          <w:b/>
        </w:rPr>
      </w:pPr>
    </w:p>
    <w:p w:rsidR="00B3464C" w:rsidRPr="00B3464C" w:rsidRDefault="00B3464C">
      <w:pPr>
        <w:rPr>
          <w:b/>
        </w:rPr>
      </w:pPr>
      <w:r w:rsidRPr="00B3464C">
        <w:rPr>
          <w:b/>
        </w:rPr>
        <w:t>Current Substance Use</w:t>
      </w:r>
    </w:p>
    <w:p w:rsidR="00E93BE6" w:rsidRDefault="00E93BE6"/>
    <w:p w:rsidR="00D241E5" w:rsidRDefault="00B3464C">
      <w:r w:rsidRPr="00B3464C">
        <w:t xml:space="preserve">The most frequently used indicator measuring substance use is “current use,” defined as any use </w:t>
      </w:r>
      <w:r w:rsidRPr="00B3464C">
        <w:rPr>
          <w:i/>
        </w:rPr>
        <w:t>in the past 30 days</w:t>
      </w:r>
      <w:r w:rsidRPr="00B3464C">
        <w:t xml:space="preserve">. One exception is the “binge drinking” indicator which in school surveys has typically been defined a five or more drinks on one occasion </w:t>
      </w:r>
      <w:r w:rsidRPr="00B3464C">
        <w:rPr>
          <w:i/>
        </w:rPr>
        <w:t>in the past 2 weeks</w:t>
      </w:r>
      <w:r w:rsidRPr="00B3464C">
        <w:t>.</w:t>
      </w:r>
    </w:p>
    <w:p w:rsidR="00763C02" w:rsidRPr="00763C02" w:rsidRDefault="00763C02" w:rsidP="00763C02"/>
    <w:p w:rsidR="00763C02" w:rsidRPr="00763C02" w:rsidRDefault="00763C02" w:rsidP="00763C02">
      <w:r w:rsidRPr="00763C02">
        <w:t xml:space="preserve">In Greater New Orleans, </w:t>
      </w:r>
      <w:r w:rsidRPr="00763C02">
        <w:rPr>
          <w:i/>
        </w:rPr>
        <w:t>about</w:t>
      </w:r>
      <w:r w:rsidRPr="00763C02">
        <w:t xml:space="preserve"> 17 percent of 8</w:t>
      </w:r>
      <w:r w:rsidRPr="00763C02">
        <w:rPr>
          <w:vertAlign w:val="superscript"/>
        </w:rPr>
        <w:t>th</w:t>
      </w:r>
      <w:r w:rsidRPr="00763C02">
        <w:t xml:space="preserve"> grade students had a drink of </w:t>
      </w:r>
      <w:r w:rsidRPr="00763C02">
        <w:rPr>
          <w:b/>
        </w:rPr>
        <w:t>alcohol</w:t>
      </w:r>
      <w:r w:rsidRPr="00763C02">
        <w:t xml:space="preserve"> in the past 30 days, based on the 2012 CCYS survey. Among 10</w:t>
      </w:r>
      <w:r w:rsidRPr="00763C02">
        <w:rPr>
          <w:vertAlign w:val="superscript"/>
        </w:rPr>
        <w:t>th</w:t>
      </w:r>
      <w:r w:rsidRPr="00763C02">
        <w:t xml:space="preserve"> grade students, </w:t>
      </w:r>
      <w:r w:rsidRPr="00763C02">
        <w:rPr>
          <w:i/>
        </w:rPr>
        <w:t>about</w:t>
      </w:r>
      <w:r w:rsidRPr="00763C02">
        <w:t xml:space="preserve"> 29 percent had a drink of alcohol in the past 30 days. Current alcohol use among 8</w:t>
      </w:r>
      <w:r w:rsidRPr="00763C02">
        <w:rPr>
          <w:vertAlign w:val="superscript"/>
        </w:rPr>
        <w:t>th</w:t>
      </w:r>
      <w:r w:rsidRPr="00763C02">
        <w:t xml:space="preserve"> and 10</w:t>
      </w:r>
      <w:r w:rsidRPr="00763C02">
        <w:rPr>
          <w:vertAlign w:val="superscript"/>
        </w:rPr>
        <w:t>th</w:t>
      </w:r>
      <w:r w:rsidRPr="00763C02">
        <w:t xml:space="preserve"> graders appears to have declined from 2008 levels.</w:t>
      </w:r>
      <w:r w:rsidR="009F7E2B">
        <w:t xml:space="preserve"> </w:t>
      </w:r>
      <w:r w:rsidRPr="00763C02">
        <w:t xml:space="preserve">In Greater New Orleans, </w:t>
      </w:r>
      <w:r w:rsidRPr="00763C02">
        <w:rPr>
          <w:i/>
        </w:rPr>
        <w:t>about</w:t>
      </w:r>
      <w:r w:rsidRPr="00763C02">
        <w:t xml:space="preserve"> 9 percent of 8</w:t>
      </w:r>
      <w:r w:rsidRPr="00763C02">
        <w:rPr>
          <w:vertAlign w:val="superscript"/>
        </w:rPr>
        <w:t>th</w:t>
      </w:r>
      <w:r w:rsidRPr="00763C02">
        <w:t xml:space="preserve"> grade students engaged in </w:t>
      </w:r>
      <w:r w:rsidRPr="00763C02">
        <w:rPr>
          <w:b/>
        </w:rPr>
        <w:t>binge drinking</w:t>
      </w:r>
      <w:r w:rsidRPr="00763C02">
        <w:t xml:space="preserve"> in the past 2 weeks, based on the 2012 CCYS survey. </w:t>
      </w:r>
      <w:proofErr w:type="gramStart"/>
      <w:r w:rsidRPr="00763C02">
        <w:t>(Binge drinking means having “5 or more drinks in a row.”)</w:t>
      </w:r>
      <w:proofErr w:type="gramEnd"/>
      <w:r w:rsidRPr="00763C02">
        <w:t xml:space="preserve"> Among 10</w:t>
      </w:r>
      <w:r w:rsidRPr="00763C02">
        <w:rPr>
          <w:vertAlign w:val="superscript"/>
        </w:rPr>
        <w:t>th</w:t>
      </w:r>
      <w:r w:rsidRPr="00763C02">
        <w:t xml:space="preserve"> grade students, </w:t>
      </w:r>
      <w:r w:rsidRPr="00763C02">
        <w:rPr>
          <w:i/>
        </w:rPr>
        <w:t>about</w:t>
      </w:r>
      <w:r w:rsidRPr="00763C02">
        <w:t xml:space="preserve"> 13 percent engaged in binge drinking in the past 2 weeks. Binge alcohol use among 8</w:t>
      </w:r>
      <w:r w:rsidRPr="00763C02">
        <w:rPr>
          <w:vertAlign w:val="superscript"/>
        </w:rPr>
        <w:t>th</w:t>
      </w:r>
      <w:r w:rsidRPr="00763C02">
        <w:t xml:space="preserve"> and 10</w:t>
      </w:r>
      <w:r w:rsidRPr="00763C02">
        <w:rPr>
          <w:vertAlign w:val="superscript"/>
        </w:rPr>
        <w:t>th</w:t>
      </w:r>
      <w:r w:rsidRPr="00763C02">
        <w:t xml:space="preserve"> graders may have declined from 2008 levels.</w:t>
      </w:r>
    </w:p>
    <w:tbl>
      <w:tblPr>
        <w:tblStyle w:val="TableGrid"/>
        <w:tblpPr w:leftFromText="187" w:rightFromText="187" w:vertAnchor="text" w:horzAnchor="margin" w:tblpXSpec="right" w:tblpY="1"/>
        <w:tblOverlap w:val="never"/>
        <w:tblW w:w="0" w:type="auto"/>
        <w:tblLayout w:type="fixed"/>
        <w:tblLook w:val="04A0" w:firstRow="1" w:lastRow="0" w:firstColumn="1" w:lastColumn="0" w:noHBand="0" w:noVBand="1"/>
      </w:tblPr>
      <w:tblGrid>
        <w:gridCol w:w="1620"/>
        <w:gridCol w:w="900"/>
        <w:gridCol w:w="900"/>
        <w:gridCol w:w="900"/>
        <w:gridCol w:w="900"/>
      </w:tblGrid>
      <w:tr w:rsidR="003F364B" w:rsidRPr="009C774F" w:rsidTr="003F364B">
        <w:trPr>
          <w:trHeight w:val="888"/>
        </w:trPr>
        <w:tc>
          <w:tcPr>
            <w:tcW w:w="5220" w:type="dxa"/>
            <w:gridSpan w:val="5"/>
            <w:vAlign w:val="center"/>
          </w:tcPr>
          <w:p w:rsidR="003F364B" w:rsidRDefault="003F364B" w:rsidP="003F364B">
            <w:pPr>
              <w:jc w:val="center"/>
              <w:rPr>
                <w:b/>
                <w:sz w:val="20"/>
              </w:rPr>
            </w:pPr>
            <w:r>
              <w:rPr>
                <w:b/>
                <w:sz w:val="20"/>
              </w:rPr>
              <w:t xml:space="preserve">Table 5: Current Substance Use </w:t>
            </w:r>
            <w:r w:rsidRPr="000B6FF1">
              <w:rPr>
                <w:b/>
                <w:sz w:val="20"/>
              </w:rPr>
              <w:t xml:space="preserve"> Among 8</w:t>
            </w:r>
            <w:r w:rsidRPr="000B6FF1">
              <w:rPr>
                <w:b/>
                <w:sz w:val="20"/>
                <w:vertAlign w:val="superscript"/>
              </w:rPr>
              <w:t>th</w:t>
            </w:r>
            <w:r w:rsidRPr="000B6FF1">
              <w:rPr>
                <w:b/>
                <w:sz w:val="20"/>
              </w:rPr>
              <w:t xml:space="preserve"> and 10</w:t>
            </w:r>
            <w:r w:rsidRPr="000B6FF1">
              <w:rPr>
                <w:b/>
                <w:sz w:val="20"/>
                <w:vertAlign w:val="superscript"/>
              </w:rPr>
              <w:t>th</w:t>
            </w:r>
            <w:r w:rsidRPr="000B6FF1">
              <w:rPr>
                <w:b/>
                <w:sz w:val="20"/>
              </w:rPr>
              <w:t xml:space="preserve"> </w:t>
            </w:r>
            <w:r>
              <w:rPr>
                <w:b/>
                <w:sz w:val="20"/>
              </w:rPr>
              <w:t>G</w:t>
            </w:r>
            <w:r w:rsidRPr="000B6FF1">
              <w:rPr>
                <w:b/>
                <w:sz w:val="20"/>
              </w:rPr>
              <w:t xml:space="preserve">rade </w:t>
            </w:r>
            <w:r>
              <w:rPr>
                <w:b/>
                <w:sz w:val="20"/>
              </w:rPr>
              <w:t>S</w:t>
            </w:r>
            <w:r w:rsidRPr="000B6FF1">
              <w:rPr>
                <w:b/>
                <w:sz w:val="20"/>
              </w:rPr>
              <w:t xml:space="preserve">tudents in Greater New Orleans (GNO)* </w:t>
            </w:r>
          </w:p>
          <w:p w:rsidR="003F364B" w:rsidRPr="009C774F" w:rsidRDefault="003F364B" w:rsidP="003F364B">
            <w:pPr>
              <w:jc w:val="center"/>
              <w:rPr>
                <w:sz w:val="20"/>
              </w:rPr>
            </w:pPr>
            <w:r w:rsidRPr="000B6FF1">
              <w:rPr>
                <w:b/>
                <w:sz w:val="20"/>
              </w:rPr>
              <w:t>based on</w:t>
            </w:r>
            <w:r>
              <w:rPr>
                <w:b/>
                <w:sz w:val="20"/>
              </w:rPr>
              <w:t xml:space="preserve"> the Caring Communities Y</w:t>
            </w:r>
            <w:r w:rsidRPr="000B6FF1">
              <w:rPr>
                <w:b/>
                <w:sz w:val="20"/>
              </w:rPr>
              <w:t>outh Survey</w:t>
            </w:r>
          </w:p>
        </w:tc>
      </w:tr>
      <w:tr w:rsidR="003F364B" w:rsidRPr="009C774F" w:rsidTr="003F364B">
        <w:trPr>
          <w:trHeight w:val="342"/>
        </w:trPr>
        <w:tc>
          <w:tcPr>
            <w:tcW w:w="1620" w:type="dxa"/>
            <w:vMerge w:val="restart"/>
            <w:vAlign w:val="center"/>
          </w:tcPr>
          <w:p w:rsidR="003F364B" w:rsidRPr="00200467" w:rsidRDefault="003F364B" w:rsidP="003F364B">
            <w:pPr>
              <w:jc w:val="center"/>
              <w:rPr>
                <w:b/>
                <w:sz w:val="20"/>
              </w:rPr>
            </w:pPr>
            <w:r w:rsidRPr="00200467">
              <w:rPr>
                <w:b/>
                <w:sz w:val="20"/>
              </w:rPr>
              <w:t xml:space="preserve">Current Use </w:t>
            </w:r>
          </w:p>
          <w:p w:rsidR="003F364B" w:rsidRPr="00200467" w:rsidRDefault="003F364B" w:rsidP="003F364B">
            <w:pPr>
              <w:jc w:val="center"/>
              <w:rPr>
                <w:b/>
                <w:sz w:val="20"/>
              </w:rPr>
            </w:pPr>
            <w:r w:rsidRPr="00200467">
              <w:rPr>
                <w:b/>
                <w:sz w:val="20"/>
              </w:rPr>
              <w:t>past 30 days</w:t>
            </w:r>
          </w:p>
          <w:p w:rsidR="003F364B" w:rsidRPr="00200467" w:rsidRDefault="003F364B" w:rsidP="003F364B">
            <w:pPr>
              <w:jc w:val="center"/>
              <w:rPr>
                <w:sz w:val="18"/>
                <w:szCs w:val="18"/>
              </w:rPr>
            </w:pPr>
            <w:r w:rsidRPr="00200467">
              <w:rPr>
                <w:sz w:val="18"/>
                <w:szCs w:val="18"/>
              </w:rPr>
              <w:t>(except binge drinking, past</w:t>
            </w:r>
          </w:p>
          <w:p w:rsidR="003F364B" w:rsidRPr="009C774F" w:rsidRDefault="003F364B" w:rsidP="003F364B">
            <w:pPr>
              <w:jc w:val="center"/>
              <w:rPr>
                <w:sz w:val="20"/>
              </w:rPr>
            </w:pPr>
            <w:r w:rsidRPr="00200467">
              <w:rPr>
                <w:sz w:val="18"/>
                <w:szCs w:val="18"/>
              </w:rPr>
              <w:t xml:space="preserve"> 2 weeks)</w:t>
            </w:r>
          </w:p>
        </w:tc>
        <w:tc>
          <w:tcPr>
            <w:tcW w:w="3600" w:type="dxa"/>
            <w:gridSpan w:val="4"/>
            <w:vAlign w:val="center"/>
          </w:tcPr>
          <w:p w:rsidR="003F364B" w:rsidRPr="009C774F" w:rsidRDefault="003F364B" w:rsidP="003F364B">
            <w:pPr>
              <w:jc w:val="center"/>
              <w:rPr>
                <w:sz w:val="20"/>
              </w:rPr>
            </w:pPr>
            <w:r>
              <w:rPr>
                <w:sz w:val="20"/>
              </w:rPr>
              <w:t>2012 Estimates</w:t>
            </w:r>
          </w:p>
        </w:tc>
      </w:tr>
      <w:tr w:rsidR="003F364B" w:rsidRPr="009C774F" w:rsidTr="003F364B">
        <w:trPr>
          <w:trHeight w:val="360"/>
        </w:trPr>
        <w:tc>
          <w:tcPr>
            <w:tcW w:w="1620" w:type="dxa"/>
            <w:vMerge/>
            <w:vAlign w:val="center"/>
          </w:tcPr>
          <w:p w:rsidR="003F364B" w:rsidRPr="009C774F" w:rsidRDefault="003F364B" w:rsidP="003F364B">
            <w:pPr>
              <w:jc w:val="center"/>
              <w:rPr>
                <w:sz w:val="20"/>
              </w:rPr>
            </w:pPr>
          </w:p>
        </w:tc>
        <w:tc>
          <w:tcPr>
            <w:tcW w:w="1800" w:type="dxa"/>
            <w:gridSpan w:val="2"/>
            <w:tcMar>
              <w:left w:w="43" w:type="dxa"/>
              <w:right w:w="43" w:type="dxa"/>
            </w:tcMar>
            <w:vAlign w:val="center"/>
          </w:tcPr>
          <w:p w:rsidR="003F364B" w:rsidRPr="009C774F" w:rsidRDefault="003F364B" w:rsidP="003F364B">
            <w:pPr>
              <w:jc w:val="center"/>
              <w:rPr>
                <w:sz w:val="20"/>
              </w:rPr>
            </w:pPr>
            <w:r>
              <w:rPr>
                <w:sz w:val="20"/>
              </w:rPr>
              <w:t>8</w:t>
            </w:r>
            <w:r w:rsidRPr="000B17FE">
              <w:rPr>
                <w:sz w:val="20"/>
                <w:vertAlign w:val="superscript"/>
              </w:rPr>
              <w:t>th</w:t>
            </w:r>
            <w:r>
              <w:rPr>
                <w:sz w:val="20"/>
              </w:rPr>
              <w:t xml:space="preserve"> Grade</w:t>
            </w:r>
          </w:p>
        </w:tc>
        <w:tc>
          <w:tcPr>
            <w:tcW w:w="1800" w:type="dxa"/>
            <w:gridSpan w:val="2"/>
            <w:tcMar>
              <w:left w:w="43" w:type="dxa"/>
              <w:right w:w="43" w:type="dxa"/>
            </w:tcMar>
            <w:vAlign w:val="center"/>
          </w:tcPr>
          <w:p w:rsidR="003F364B" w:rsidRPr="009C774F" w:rsidRDefault="003F364B" w:rsidP="003F364B">
            <w:pPr>
              <w:jc w:val="center"/>
              <w:rPr>
                <w:sz w:val="20"/>
              </w:rPr>
            </w:pPr>
            <w:r>
              <w:rPr>
                <w:sz w:val="20"/>
              </w:rPr>
              <w:t>10</w:t>
            </w:r>
            <w:r w:rsidRPr="000B17FE">
              <w:rPr>
                <w:sz w:val="20"/>
                <w:vertAlign w:val="superscript"/>
              </w:rPr>
              <w:t>th</w:t>
            </w:r>
            <w:r>
              <w:rPr>
                <w:sz w:val="20"/>
              </w:rPr>
              <w:t xml:space="preserve"> Grade</w:t>
            </w:r>
          </w:p>
        </w:tc>
      </w:tr>
      <w:tr w:rsidR="003F364B" w:rsidRPr="009C774F" w:rsidTr="003F364B">
        <w:trPr>
          <w:trHeight w:val="522"/>
        </w:trPr>
        <w:tc>
          <w:tcPr>
            <w:tcW w:w="1620" w:type="dxa"/>
            <w:vMerge/>
            <w:vAlign w:val="center"/>
          </w:tcPr>
          <w:p w:rsidR="003F364B" w:rsidRDefault="003F364B" w:rsidP="003F364B">
            <w:pPr>
              <w:rPr>
                <w:sz w:val="20"/>
              </w:rPr>
            </w:pPr>
          </w:p>
        </w:tc>
        <w:tc>
          <w:tcPr>
            <w:tcW w:w="900" w:type="dxa"/>
            <w:tcMar>
              <w:left w:w="43" w:type="dxa"/>
              <w:right w:w="43" w:type="dxa"/>
            </w:tcMar>
            <w:vAlign w:val="center"/>
          </w:tcPr>
          <w:p w:rsidR="003F364B" w:rsidRPr="009C774F" w:rsidRDefault="003F364B" w:rsidP="003F364B">
            <w:pPr>
              <w:jc w:val="center"/>
              <w:rPr>
                <w:sz w:val="20"/>
              </w:rPr>
            </w:pPr>
            <w:r>
              <w:rPr>
                <w:sz w:val="20"/>
              </w:rPr>
              <w:t>GNO Estimate</w:t>
            </w:r>
          </w:p>
        </w:tc>
        <w:tc>
          <w:tcPr>
            <w:tcW w:w="900" w:type="dxa"/>
            <w:tcMar>
              <w:left w:w="43" w:type="dxa"/>
              <w:right w:w="43" w:type="dxa"/>
            </w:tcMar>
            <w:vAlign w:val="center"/>
          </w:tcPr>
          <w:p w:rsidR="003F364B" w:rsidRDefault="003F364B" w:rsidP="003F364B">
            <w:pPr>
              <w:jc w:val="center"/>
              <w:rPr>
                <w:sz w:val="20"/>
              </w:rPr>
            </w:pPr>
            <w:r>
              <w:rPr>
                <w:sz w:val="20"/>
              </w:rPr>
              <w:t>State</w:t>
            </w:r>
          </w:p>
          <w:p w:rsidR="003F364B" w:rsidRPr="009C774F" w:rsidRDefault="003F364B" w:rsidP="003F364B">
            <w:pPr>
              <w:jc w:val="center"/>
              <w:rPr>
                <w:sz w:val="20"/>
              </w:rPr>
            </w:pPr>
            <w:r>
              <w:rPr>
                <w:sz w:val="20"/>
              </w:rPr>
              <w:t>wide</w:t>
            </w:r>
          </w:p>
        </w:tc>
        <w:tc>
          <w:tcPr>
            <w:tcW w:w="900" w:type="dxa"/>
            <w:tcMar>
              <w:left w:w="43" w:type="dxa"/>
              <w:right w:w="43" w:type="dxa"/>
            </w:tcMar>
            <w:vAlign w:val="center"/>
          </w:tcPr>
          <w:p w:rsidR="003F364B" w:rsidRPr="009C774F" w:rsidRDefault="003F364B" w:rsidP="003F364B">
            <w:pPr>
              <w:jc w:val="center"/>
              <w:rPr>
                <w:sz w:val="20"/>
              </w:rPr>
            </w:pPr>
            <w:r>
              <w:rPr>
                <w:sz w:val="20"/>
              </w:rPr>
              <w:t>GNO Estimate</w:t>
            </w:r>
          </w:p>
        </w:tc>
        <w:tc>
          <w:tcPr>
            <w:tcW w:w="900" w:type="dxa"/>
            <w:tcMar>
              <w:left w:w="43" w:type="dxa"/>
              <w:right w:w="43" w:type="dxa"/>
            </w:tcMar>
            <w:vAlign w:val="center"/>
          </w:tcPr>
          <w:p w:rsidR="003F364B" w:rsidRDefault="003F364B" w:rsidP="003F364B">
            <w:pPr>
              <w:jc w:val="center"/>
              <w:rPr>
                <w:sz w:val="20"/>
              </w:rPr>
            </w:pPr>
            <w:r>
              <w:rPr>
                <w:sz w:val="20"/>
              </w:rPr>
              <w:t>State</w:t>
            </w:r>
          </w:p>
          <w:p w:rsidR="003F364B" w:rsidRPr="009C774F" w:rsidRDefault="003F364B" w:rsidP="003F364B">
            <w:pPr>
              <w:jc w:val="center"/>
              <w:rPr>
                <w:sz w:val="20"/>
              </w:rPr>
            </w:pPr>
            <w:r>
              <w:rPr>
                <w:sz w:val="20"/>
              </w:rPr>
              <w:t>wide</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Alcohol</w:t>
            </w:r>
          </w:p>
        </w:tc>
        <w:tc>
          <w:tcPr>
            <w:tcW w:w="900" w:type="dxa"/>
            <w:vAlign w:val="center"/>
          </w:tcPr>
          <w:p w:rsidR="003F364B" w:rsidRPr="009C774F" w:rsidRDefault="003F364B" w:rsidP="003F364B">
            <w:pPr>
              <w:jc w:val="center"/>
              <w:rPr>
                <w:sz w:val="20"/>
              </w:rPr>
            </w:pPr>
            <w:r>
              <w:rPr>
                <w:sz w:val="20"/>
              </w:rPr>
              <w:t>17%</w:t>
            </w:r>
          </w:p>
        </w:tc>
        <w:tc>
          <w:tcPr>
            <w:tcW w:w="900" w:type="dxa"/>
            <w:vAlign w:val="center"/>
          </w:tcPr>
          <w:p w:rsidR="003F364B" w:rsidRPr="009C774F" w:rsidRDefault="003F364B" w:rsidP="003F364B">
            <w:pPr>
              <w:jc w:val="center"/>
              <w:rPr>
                <w:sz w:val="20"/>
              </w:rPr>
            </w:pPr>
            <w:r>
              <w:rPr>
                <w:sz w:val="20"/>
              </w:rPr>
              <w:t>19%</w:t>
            </w:r>
          </w:p>
        </w:tc>
        <w:tc>
          <w:tcPr>
            <w:tcW w:w="900" w:type="dxa"/>
            <w:vAlign w:val="center"/>
          </w:tcPr>
          <w:p w:rsidR="003F364B" w:rsidRPr="009C774F" w:rsidRDefault="003F364B" w:rsidP="003F364B">
            <w:pPr>
              <w:jc w:val="center"/>
              <w:rPr>
                <w:sz w:val="20"/>
              </w:rPr>
            </w:pPr>
            <w:r>
              <w:rPr>
                <w:sz w:val="20"/>
              </w:rPr>
              <w:t>29%</w:t>
            </w:r>
          </w:p>
        </w:tc>
        <w:tc>
          <w:tcPr>
            <w:tcW w:w="900" w:type="dxa"/>
            <w:vAlign w:val="center"/>
          </w:tcPr>
          <w:p w:rsidR="003F364B" w:rsidRPr="009C774F" w:rsidRDefault="003F364B" w:rsidP="003F364B">
            <w:pPr>
              <w:jc w:val="center"/>
              <w:rPr>
                <w:sz w:val="20"/>
              </w:rPr>
            </w:pPr>
            <w:r>
              <w:rPr>
                <w:sz w:val="20"/>
              </w:rPr>
              <w:t>35%</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Binge Drinking</w:t>
            </w:r>
            <w:r w:rsidRPr="005235B8">
              <w:rPr>
                <w:sz w:val="20"/>
                <w:vertAlign w:val="superscript"/>
              </w:rPr>
              <w:t>1</w:t>
            </w:r>
          </w:p>
        </w:tc>
        <w:tc>
          <w:tcPr>
            <w:tcW w:w="900" w:type="dxa"/>
            <w:vAlign w:val="center"/>
          </w:tcPr>
          <w:p w:rsidR="003F364B" w:rsidRPr="009C774F" w:rsidRDefault="003F364B" w:rsidP="003F364B">
            <w:pPr>
              <w:jc w:val="center"/>
              <w:rPr>
                <w:sz w:val="20"/>
              </w:rPr>
            </w:pPr>
            <w:r>
              <w:rPr>
                <w:sz w:val="20"/>
              </w:rPr>
              <w:t>9%</w:t>
            </w:r>
          </w:p>
        </w:tc>
        <w:tc>
          <w:tcPr>
            <w:tcW w:w="900" w:type="dxa"/>
            <w:vAlign w:val="center"/>
          </w:tcPr>
          <w:p w:rsidR="003F364B" w:rsidRPr="009C774F" w:rsidRDefault="003F364B" w:rsidP="003F364B">
            <w:pPr>
              <w:jc w:val="center"/>
              <w:rPr>
                <w:sz w:val="20"/>
              </w:rPr>
            </w:pPr>
            <w:r>
              <w:rPr>
                <w:sz w:val="20"/>
              </w:rPr>
              <w:t>10%</w:t>
            </w:r>
          </w:p>
        </w:tc>
        <w:tc>
          <w:tcPr>
            <w:tcW w:w="900" w:type="dxa"/>
            <w:vAlign w:val="center"/>
          </w:tcPr>
          <w:p w:rsidR="003F364B" w:rsidRPr="009C774F" w:rsidRDefault="003F364B" w:rsidP="003F364B">
            <w:pPr>
              <w:jc w:val="center"/>
              <w:rPr>
                <w:sz w:val="20"/>
              </w:rPr>
            </w:pPr>
            <w:r>
              <w:rPr>
                <w:sz w:val="20"/>
              </w:rPr>
              <w:t>13%</w:t>
            </w:r>
          </w:p>
        </w:tc>
        <w:tc>
          <w:tcPr>
            <w:tcW w:w="900" w:type="dxa"/>
            <w:vAlign w:val="center"/>
          </w:tcPr>
          <w:p w:rsidR="003F364B" w:rsidRPr="009C774F" w:rsidRDefault="003F364B" w:rsidP="003F364B">
            <w:pPr>
              <w:jc w:val="center"/>
              <w:rPr>
                <w:sz w:val="20"/>
              </w:rPr>
            </w:pPr>
            <w:r>
              <w:rPr>
                <w:sz w:val="20"/>
              </w:rPr>
              <w:t>18%</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Cigarettes</w:t>
            </w:r>
          </w:p>
        </w:tc>
        <w:tc>
          <w:tcPr>
            <w:tcW w:w="900" w:type="dxa"/>
            <w:vAlign w:val="center"/>
          </w:tcPr>
          <w:p w:rsidR="003F364B" w:rsidRPr="009C774F" w:rsidRDefault="003F364B" w:rsidP="003F364B">
            <w:pPr>
              <w:jc w:val="center"/>
              <w:rPr>
                <w:sz w:val="20"/>
              </w:rPr>
            </w:pPr>
            <w:r>
              <w:rPr>
                <w:sz w:val="20"/>
              </w:rPr>
              <w:t>6%</w:t>
            </w:r>
          </w:p>
        </w:tc>
        <w:tc>
          <w:tcPr>
            <w:tcW w:w="900" w:type="dxa"/>
            <w:vAlign w:val="center"/>
          </w:tcPr>
          <w:p w:rsidR="003F364B" w:rsidRPr="009C774F" w:rsidRDefault="003F364B" w:rsidP="003F364B">
            <w:pPr>
              <w:jc w:val="center"/>
              <w:rPr>
                <w:sz w:val="20"/>
              </w:rPr>
            </w:pPr>
            <w:r>
              <w:rPr>
                <w:sz w:val="20"/>
              </w:rPr>
              <w:t>6%</w:t>
            </w:r>
          </w:p>
        </w:tc>
        <w:tc>
          <w:tcPr>
            <w:tcW w:w="900" w:type="dxa"/>
            <w:vAlign w:val="center"/>
          </w:tcPr>
          <w:p w:rsidR="003F364B" w:rsidRPr="009C774F" w:rsidRDefault="003F364B" w:rsidP="003F364B">
            <w:pPr>
              <w:jc w:val="center"/>
              <w:rPr>
                <w:sz w:val="20"/>
              </w:rPr>
            </w:pPr>
            <w:r>
              <w:rPr>
                <w:sz w:val="20"/>
              </w:rPr>
              <w:t>8%</w:t>
            </w:r>
          </w:p>
        </w:tc>
        <w:tc>
          <w:tcPr>
            <w:tcW w:w="900" w:type="dxa"/>
            <w:vAlign w:val="center"/>
          </w:tcPr>
          <w:p w:rsidR="003F364B" w:rsidRPr="009C774F" w:rsidRDefault="003F364B" w:rsidP="003F364B">
            <w:pPr>
              <w:jc w:val="center"/>
              <w:rPr>
                <w:sz w:val="20"/>
              </w:rPr>
            </w:pPr>
            <w:r>
              <w:rPr>
                <w:sz w:val="20"/>
              </w:rPr>
              <w:t>12%</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Heavy Smoking</w:t>
            </w:r>
            <w:r w:rsidRPr="005235B8">
              <w:rPr>
                <w:sz w:val="20"/>
                <w:vertAlign w:val="superscript"/>
              </w:rPr>
              <w:t>2</w:t>
            </w:r>
          </w:p>
        </w:tc>
        <w:tc>
          <w:tcPr>
            <w:tcW w:w="900" w:type="dxa"/>
            <w:vAlign w:val="center"/>
          </w:tcPr>
          <w:p w:rsidR="003F364B" w:rsidRPr="009C774F" w:rsidRDefault="003F364B" w:rsidP="003F364B">
            <w:pPr>
              <w:jc w:val="center"/>
              <w:rPr>
                <w:sz w:val="20"/>
              </w:rPr>
            </w:pPr>
            <w:r>
              <w:rPr>
                <w:sz w:val="20"/>
              </w:rPr>
              <w:t>1%</w:t>
            </w:r>
          </w:p>
        </w:tc>
        <w:tc>
          <w:tcPr>
            <w:tcW w:w="900" w:type="dxa"/>
            <w:vAlign w:val="center"/>
          </w:tcPr>
          <w:p w:rsidR="003F364B" w:rsidRPr="009C774F" w:rsidRDefault="003F364B" w:rsidP="003F364B">
            <w:pPr>
              <w:jc w:val="center"/>
              <w:rPr>
                <w:sz w:val="20"/>
              </w:rPr>
            </w:pPr>
            <w:r>
              <w:rPr>
                <w:sz w:val="20"/>
              </w:rPr>
              <w:t>1%</w:t>
            </w:r>
          </w:p>
        </w:tc>
        <w:tc>
          <w:tcPr>
            <w:tcW w:w="900" w:type="dxa"/>
            <w:vAlign w:val="center"/>
          </w:tcPr>
          <w:p w:rsidR="003F364B" w:rsidRPr="009C774F" w:rsidRDefault="003F364B" w:rsidP="003F364B">
            <w:pPr>
              <w:jc w:val="center"/>
              <w:rPr>
                <w:sz w:val="20"/>
              </w:rPr>
            </w:pPr>
            <w:r>
              <w:rPr>
                <w:sz w:val="20"/>
              </w:rPr>
              <w:t>2%</w:t>
            </w:r>
          </w:p>
        </w:tc>
        <w:tc>
          <w:tcPr>
            <w:tcW w:w="900" w:type="dxa"/>
            <w:vAlign w:val="center"/>
          </w:tcPr>
          <w:p w:rsidR="003F364B" w:rsidRPr="009C774F" w:rsidRDefault="003F364B" w:rsidP="003F364B">
            <w:pPr>
              <w:jc w:val="center"/>
              <w:rPr>
                <w:sz w:val="20"/>
              </w:rPr>
            </w:pPr>
            <w:r>
              <w:rPr>
                <w:sz w:val="20"/>
              </w:rPr>
              <w:t>2%</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Marijuana</w:t>
            </w:r>
          </w:p>
        </w:tc>
        <w:tc>
          <w:tcPr>
            <w:tcW w:w="900" w:type="dxa"/>
            <w:vAlign w:val="center"/>
          </w:tcPr>
          <w:p w:rsidR="003F364B" w:rsidRPr="009C774F" w:rsidRDefault="003F364B" w:rsidP="003F364B">
            <w:pPr>
              <w:jc w:val="center"/>
              <w:rPr>
                <w:sz w:val="20"/>
              </w:rPr>
            </w:pPr>
            <w:r>
              <w:rPr>
                <w:sz w:val="20"/>
              </w:rPr>
              <w:t>7%</w:t>
            </w:r>
          </w:p>
        </w:tc>
        <w:tc>
          <w:tcPr>
            <w:tcW w:w="900" w:type="dxa"/>
            <w:vAlign w:val="center"/>
          </w:tcPr>
          <w:p w:rsidR="003F364B" w:rsidRPr="009C774F" w:rsidRDefault="003F364B" w:rsidP="003F364B">
            <w:pPr>
              <w:jc w:val="center"/>
              <w:rPr>
                <w:sz w:val="20"/>
              </w:rPr>
            </w:pPr>
            <w:r>
              <w:rPr>
                <w:sz w:val="20"/>
              </w:rPr>
              <w:t>5%</w:t>
            </w:r>
          </w:p>
        </w:tc>
        <w:tc>
          <w:tcPr>
            <w:tcW w:w="900" w:type="dxa"/>
            <w:vAlign w:val="center"/>
          </w:tcPr>
          <w:p w:rsidR="003F364B" w:rsidRPr="009C774F" w:rsidRDefault="003F364B" w:rsidP="003F364B">
            <w:pPr>
              <w:jc w:val="center"/>
              <w:rPr>
                <w:sz w:val="20"/>
              </w:rPr>
            </w:pPr>
            <w:r>
              <w:rPr>
                <w:sz w:val="20"/>
              </w:rPr>
              <w:t>10%</w:t>
            </w:r>
          </w:p>
        </w:tc>
        <w:tc>
          <w:tcPr>
            <w:tcW w:w="900" w:type="dxa"/>
            <w:vAlign w:val="center"/>
          </w:tcPr>
          <w:p w:rsidR="003F364B" w:rsidRPr="009C774F" w:rsidRDefault="003F364B" w:rsidP="003F364B">
            <w:pPr>
              <w:jc w:val="center"/>
              <w:rPr>
                <w:sz w:val="20"/>
              </w:rPr>
            </w:pPr>
            <w:r>
              <w:rPr>
                <w:sz w:val="20"/>
              </w:rPr>
              <w:t>11%</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Sedative w/o Rx</w:t>
            </w:r>
          </w:p>
        </w:tc>
        <w:tc>
          <w:tcPr>
            <w:tcW w:w="900" w:type="dxa"/>
            <w:vAlign w:val="center"/>
          </w:tcPr>
          <w:p w:rsidR="003F364B" w:rsidRDefault="003F364B" w:rsidP="003F364B">
            <w:pPr>
              <w:jc w:val="center"/>
              <w:rPr>
                <w:sz w:val="20"/>
              </w:rPr>
            </w:pPr>
            <w:r>
              <w:rPr>
                <w:sz w:val="20"/>
              </w:rPr>
              <w:t>3%</w:t>
            </w:r>
          </w:p>
        </w:tc>
        <w:tc>
          <w:tcPr>
            <w:tcW w:w="900" w:type="dxa"/>
            <w:vAlign w:val="center"/>
          </w:tcPr>
          <w:p w:rsidR="003F364B" w:rsidRDefault="003F364B" w:rsidP="003F364B">
            <w:pPr>
              <w:jc w:val="center"/>
              <w:rPr>
                <w:sz w:val="20"/>
              </w:rPr>
            </w:pPr>
            <w:r>
              <w:rPr>
                <w:sz w:val="20"/>
              </w:rPr>
              <w:t>3%</w:t>
            </w:r>
          </w:p>
        </w:tc>
        <w:tc>
          <w:tcPr>
            <w:tcW w:w="900" w:type="dxa"/>
            <w:vAlign w:val="center"/>
          </w:tcPr>
          <w:p w:rsidR="003F364B" w:rsidRDefault="003F364B" w:rsidP="003F364B">
            <w:pPr>
              <w:jc w:val="center"/>
              <w:rPr>
                <w:sz w:val="20"/>
              </w:rPr>
            </w:pPr>
            <w:r>
              <w:rPr>
                <w:sz w:val="20"/>
              </w:rPr>
              <w:t>4%</w:t>
            </w:r>
          </w:p>
        </w:tc>
        <w:tc>
          <w:tcPr>
            <w:tcW w:w="900" w:type="dxa"/>
            <w:vAlign w:val="center"/>
          </w:tcPr>
          <w:p w:rsidR="003F364B" w:rsidRDefault="003F364B" w:rsidP="003F364B">
            <w:pPr>
              <w:jc w:val="center"/>
              <w:rPr>
                <w:sz w:val="20"/>
              </w:rPr>
            </w:pPr>
            <w:r>
              <w:rPr>
                <w:sz w:val="20"/>
              </w:rPr>
              <w:t>4%</w:t>
            </w:r>
          </w:p>
        </w:tc>
      </w:tr>
      <w:tr w:rsidR="003F364B" w:rsidRPr="009C774F" w:rsidTr="003F364B">
        <w:trPr>
          <w:trHeight w:val="288"/>
        </w:trPr>
        <w:tc>
          <w:tcPr>
            <w:tcW w:w="1620" w:type="dxa"/>
            <w:vAlign w:val="center"/>
          </w:tcPr>
          <w:p w:rsidR="003F364B" w:rsidRPr="009C774F" w:rsidRDefault="003F364B" w:rsidP="003F364B">
            <w:pPr>
              <w:rPr>
                <w:sz w:val="20"/>
              </w:rPr>
            </w:pPr>
            <w:r>
              <w:rPr>
                <w:sz w:val="20"/>
              </w:rPr>
              <w:t>Opiates w/o Rx</w:t>
            </w:r>
          </w:p>
        </w:tc>
        <w:tc>
          <w:tcPr>
            <w:tcW w:w="900" w:type="dxa"/>
            <w:vAlign w:val="center"/>
          </w:tcPr>
          <w:p w:rsidR="003F364B" w:rsidRDefault="003F364B" w:rsidP="003F364B">
            <w:pPr>
              <w:jc w:val="center"/>
              <w:rPr>
                <w:sz w:val="20"/>
              </w:rPr>
            </w:pPr>
            <w:r>
              <w:rPr>
                <w:sz w:val="20"/>
              </w:rPr>
              <w:t>1%</w:t>
            </w:r>
          </w:p>
        </w:tc>
        <w:tc>
          <w:tcPr>
            <w:tcW w:w="900" w:type="dxa"/>
            <w:vAlign w:val="center"/>
          </w:tcPr>
          <w:p w:rsidR="003F364B" w:rsidRDefault="003F364B" w:rsidP="003F364B">
            <w:pPr>
              <w:jc w:val="center"/>
              <w:rPr>
                <w:sz w:val="20"/>
              </w:rPr>
            </w:pPr>
            <w:r>
              <w:rPr>
                <w:sz w:val="20"/>
              </w:rPr>
              <w:t>1%</w:t>
            </w:r>
          </w:p>
        </w:tc>
        <w:tc>
          <w:tcPr>
            <w:tcW w:w="900" w:type="dxa"/>
            <w:vAlign w:val="center"/>
          </w:tcPr>
          <w:p w:rsidR="003F364B" w:rsidRDefault="003F364B" w:rsidP="003F364B">
            <w:pPr>
              <w:jc w:val="center"/>
              <w:rPr>
                <w:sz w:val="20"/>
              </w:rPr>
            </w:pPr>
            <w:r>
              <w:rPr>
                <w:sz w:val="20"/>
              </w:rPr>
              <w:t>3%</w:t>
            </w:r>
          </w:p>
        </w:tc>
        <w:tc>
          <w:tcPr>
            <w:tcW w:w="900" w:type="dxa"/>
            <w:vAlign w:val="center"/>
          </w:tcPr>
          <w:p w:rsidR="003F364B" w:rsidRDefault="003F364B" w:rsidP="003F364B">
            <w:pPr>
              <w:jc w:val="center"/>
              <w:rPr>
                <w:sz w:val="20"/>
              </w:rPr>
            </w:pPr>
            <w:r>
              <w:rPr>
                <w:sz w:val="20"/>
              </w:rPr>
              <w:t>2%</w:t>
            </w:r>
          </w:p>
        </w:tc>
      </w:tr>
      <w:tr w:rsidR="003F364B" w:rsidRPr="009C774F" w:rsidTr="003F364B">
        <w:trPr>
          <w:trHeight w:val="288"/>
        </w:trPr>
        <w:tc>
          <w:tcPr>
            <w:tcW w:w="1620" w:type="dxa"/>
            <w:vAlign w:val="center"/>
          </w:tcPr>
          <w:p w:rsidR="003F364B" w:rsidRDefault="003F364B" w:rsidP="003F364B">
            <w:pPr>
              <w:rPr>
                <w:sz w:val="20"/>
              </w:rPr>
            </w:pPr>
            <w:r>
              <w:rPr>
                <w:sz w:val="20"/>
              </w:rPr>
              <w:t>Prescription drugs w/o Rx</w:t>
            </w:r>
            <w:r w:rsidRPr="008C2670">
              <w:rPr>
                <w:sz w:val="20"/>
                <w:vertAlign w:val="superscript"/>
              </w:rPr>
              <w:t>3</w:t>
            </w:r>
          </w:p>
        </w:tc>
        <w:tc>
          <w:tcPr>
            <w:tcW w:w="900" w:type="dxa"/>
            <w:shd w:val="clear" w:color="auto" w:fill="auto"/>
            <w:vAlign w:val="center"/>
          </w:tcPr>
          <w:p w:rsidR="003F364B" w:rsidRDefault="003F364B" w:rsidP="003F364B">
            <w:pPr>
              <w:jc w:val="center"/>
              <w:rPr>
                <w:sz w:val="20"/>
              </w:rPr>
            </w:pPr>
            <w:r>
              <w:rPr>
                <w:sz w:val="20"/>
              </w:rPr>
              <w:t>4%</w:t>
            </w:r>
          </w:p>
        </w:tc>
        <w:tc>
          <w:tcPr>
            <w:tcW w:w="900" w:type="dxa"/>
            <w:vAlign w:val="center"/>
          </w:tcPr>
          <w:p w:rsidR="003F364B" w:rsidRDefault="003F364B" w:rsidP="003F364B">
            <w:pPr>
              <w:jc w:val="center"/>
              <w:rPr>
                <w:sz w:val="20"/>
              </w:rPr>
            </w:pPr>
            <w:r>
              <w:rPr>
                <w:sz w:val="20"/>
              </w:rPr>
              <w:t>3%</w:t>
            </w:r>
          </w:p>
        </w:tc>
        <w:tc>
          <w:tcPr>
            <w:tcW w:w="900" w:type="dxa"/>
            <w:shd w:val="clear" w:color="auto" w:fill="auto"/>
            <w:vAlign w:val="center"/>
          </w:tcPr>
          <w:p w:rsidR="003F364B" w:rsidRDefault="003F364B" w:rsidP="003F364B">
            <w:pPr>
              <w:jc w:val="center"/>
              <w:rPr>
                <w:sz w:val="20"/>
              </w:rPr>
            </w:pPr>
            <w:r>
              <w:rPr>
                <w:sz w:val="20"/>
              </w:rPr>
              <w:t>5%</w:t>
            </w:r>
          </w:p>
        </w:tc>
        <w:tc>
          <w:tcPr>
            <w:tcW w:w="900" w:type="dxa"/>
            <w:vAlign w:val="center"/>
          </w:tcPr>
          <w:p w:rsidR="003F364B" w:rsidRDefault="003F364B" w:rsidP="003F364B">
            <w:pPr>
              <w:jc w:val="center"/>
              <w:rPr>
                <w:sz w:val="20"/>
              </w:rPr>
            </w:pPr>
            <w:r>
              <w:rPr>
                <w:sz w:val="20"/>
              </w:rPr>
              <w:t>6%</w:t>
            </w:r>
          </w:p>
        </w:tc>
      </w:tr>
      <w:tr w:rsidR="003F364B" w:rsidRPr="009C774F" w:rsidTr="003F364B">
        <w:trPr>
          <w:trHeight w:val="260"/>
        </w:trPr>
        <w:tc>
          <w:tcPr>
            <w:tcW w:w="5220" w:type="dxa"/>
            <w:gridSpan w:val="5"/>
            <w:vAlign w:val="center"/>
          </w:tcPr>
          <w:p w:rsidR="003F364B" w:rsidRDefault="003F364B" w:rsidP="003F364B">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p w:rsidR="003F364B" w:rsidRPr="005235B8" w:rsidRDefault="003F364B" w:rsidP="003F364B">
            <w:pPr>
              <w:rPr>
                <w:sz w:val="18"/>
                <w:szCs w:val="18"/>
              </w:rPr>
            </w:pPr>
            <w:r w:rsidRPr="005235B8">
              <w:rPr>
                <w:sz w:val="18"/>
                <w:szCs w:val="18"/>
                <w:vertAlign w:val="superscript"/>
              </w:rPr>
              <w:t>1</w:t>
            </w:r>
            <w:r w:rsidRPr="005235B8">
              <w:rPr>
                <w:sz w:val="18"/>
                <w:szCs w:val="18"/>
              </w:rPr>
              <w:t>Binge drinking means “five or more drinks in a row.”</w:t>
            </w:r>
          </w:p>
          <w:p w:rsidR="003F364B" w:rsidRDefault="003F364B" w:rsidP="003F364B">
            <w:pPr>
              <w:rPr>
                <w:sz w:val="18"/>
                <w:szCs w:val="18"/>
              </w:rPr>
            </w:pPr>
            <w:r w:rsidRPr="005235B8">
              <w:rPr>
                <w:sz w:val="18"/>
                <w:szCs w:val="18"/>
                <w:vertAlign w:val="superscript"/>
              </w:rPr>
              <w:t>2</w:t>
            </w:r>
            <w:r>
              <w:rPr>
                <w:sz w:val="18"/>
                <w:szCs w:val="18"/>
              </w:rPr>
              <w:t>Heavy smoking means ½ pack per day.</w:t>
            </w:r>
          </w:p>
          <w:p w:rsidR="003F364B" w:rsidRPr="004B313F" w:rsidRDefault="003F364B" w:rsidP="003F364B">
            <w:pPr>
              <w:rPr>
                <w:sz w:val="18"/>
                <w:szCs w:val="18"/>
              </w:rPr>
            </w:pPr>
            <w:r w:rsidRPr="00F6309C">
              <w:rPr>
                <w:sz w:val="18"/>
                <w:szCs w:val="18"/>
                <w:vertAlign w:val="superscript"/>
              </w:rPr>
              <w:t>3</w:t>
            </w:r>
            <w:r>
              <w:rPr>
                <w:sz w:val="18"/>
                <w:szCs w:val="18"/>
              </w:rPr>
              <w:t xml:space="preserve">Stimulants, sedatives </w:t>
            </w:r>
            <w:r w:rsidRPr="00CF5AA4">
              <w:rPr>
                <w:sz w:val="18"/>
                <w:szCs w:val="18"/>
                <w:u w:val="single"/>
              </w:rPr>
              <w:t>or</w:t>
            </w:r>
            <w:r>
              <w:rPr>
                <w:sz w:val="18"/>
                <w:szCs w:val="18"/>
              </w:rPr>
              <w:t xml:space="preserve"> narcotics.</w:t>
            </w:r>
          </w:p>
        </w:tc>
      </w:tr>
    </w:tbl>
    <w:p w:rsidR="00763C02" w:rsidRPr="00763C02" w:rsidRDefault="00763C02" w:rsidP="00763C02"/>
    <w:p w:rsidR="00763C02" w:rsidRPr="00763C02" w:rsidRDefault="00763C02" w:rsidP="00763C02">
      <w:r w:rsidRPr="00763C02">
        <w:t xml:space="preserve">In Greater New Orleans, </w:t>
      </w:r>
      <w:r w:rsidRPr="00763C02">
        <w:rPr>
          <w:i/>
        </w:rPr>
        <w:t>about</w:t>
      </w:r>
      <w:r w:rsidRPr="00763C02">
        <w:t xml:space="preserve"> 6 percent of 8</w:t>
      </w:r>
      <w:r w:rsidRPr="00763C02">
        <w:rPr>
          <w:vertAlign w:val="superscript"/>
        </w:rPr>
        <w:t>th</w:t>
      </w:r>
      <w:r w:rsidRPr="00763C02">
        <w:t xml:space="preserve"> grade students smoked </w:t>
      </w:r>
      <w:r w:rsidRPr="00763C02">
        <w:rPr>
          <w:b/>
        </w:rPr>
        <w:t xml:space="preserve">cigarettes </w:t>
      </w:r>
      <w:r w:rsidRPr="00763C02">
        <w:t>in the past 30 days, based on the 2012 CCYS survey. Among 10</w:t>
      </w:r>
      <w:r w:rsidRPr="00763C02">
        <w:rPr>
          <w:vertAlign w:val="superscript"/>
        </w:rPr>
        <w:t>th</w:t>
      </w:r>
      <w:r w:rsidRPr="00763C02">
        <w:t xml:space="preserve"> grade students, </w:t>
      </w:r>
      <w:r w:rsidRPr="00763C02">
        <w:rPr>
          <w:i/>
        </w:rPr>
        <w:t>about</w:t>
      </w:r>
      <w:r w:rsidRPr="00763C02">
        <w:t xml:space="preserve"> 8 percent smoked cigarettes in the past 30 days. Current cigarette use among 8</w:t>
      </w:r>
      <w:r w:rsidRPr="00763C02">
        <w:rPr>
          <w:vertAlign w:val="superscript"/>
        </w:rPr>
        <w:t>th</w:t>
      </w:r>
      <w:r w:rsidRPr="00763C02">
        <w:t xml:space="preserve"> and 10</w:t>
      </w:r>
      <w:r w:rsidRPr="00763C02">
        <w:rPr>
          <w:vertAlign w:val="superscript"/>
        </w:rPr>
        <w:t>th</w:t>
      </w:r>
      <w:r w:rsidRPr="00763C02">
        <w:t xml:space="preserve"> graders may have declined from 2008 levels.</w:t>
      </w:r>
    </w:p>
    <w:p w:rsidR="00763C02" w:rsidRPr="00763C02" w:rsidRDefault="00763C02" w:rsidP="00763C02"/>
    <w:p w:rsidR="00763C02" w:rsidRPr="00763C02" w:rsidRDefault="00763C02" w:rsidP="00763C02">
      <w:r w:rsidRPr="00763C02">
        <w:t xml:space="preserve">In Greater New Orleans, </w:t>
      </w:r>
      <w:r w:rsidRPr="00763C02">
        <w:rPr>
          <w:i/>
        </w:rPr>
        <w:t>about</w:t>
      </w:r>
      <w:r w:rsidRPr="00763C02">
        <w:t xml:space="preserve"> 1 percent of 8</w:t>
      </w:r>
      <w:r w:rsidRPr="00763C02">
        <w:rPr>
          <w:vertAlign w:val="superscript"/>
        </w:rPr>
        <w:t>th</w:t>
      </w:r>
      <w:r w:rsidRPr="00763C02">
        <w:t xml:space="preserve"> grade students engaged in </w:t>
      </w:r>
      <w:r w:rsidRPr="008048A2">
        <w:rPr>
          <w:b/>
        </w:rPr>
        <w:t>heavy smoking</w:t>
      </w:r>
      <w:r w:rsidRPr="00763C02">
        <w:t xml:space="preserve"> in the past 30 days, based on the 2012 CCYS survey. (Heavy smoking means ½ pack per day.) Among 10</w:t>
      </w:r>
      <w:r w:rsidRPr="00763C02">
        <w:rPr>
          <w:vertAlign w:val="superscript"/>
        </w:rPr>
        <w:t>th</w:t>
      </w:r>
      <w:r w:rsidRPr="00763C02">
        <w:t xml:space="preserve"> grade students, </w:t>
      </w:r>
      <w:r w:rsidRPr="00763C02">
        <w:rPr>
          <w:i/>
        </w:rPr>
        <w:t>about</w:t>
      </w:r>
      <w:r w:rsidRPr="00763C02">
        <w:t xml:space="preserve"> 2 percent engaged in heavy smoking in the past 30 days. Heavy smoking among 8</w:t>
      </w:r>
      <w:r w:rsidRPr="00763C02">
        <w:rPr>
          <w:vertAlign w:val="superscript"/>
        </w:rPr>
        <w:t>th</w:t>
      </w:r>
      <w:r w:rsidRPr="00763C02">
        <w:t xml:space="preserve"> and 10</w:t>
      </w:r>
      <w:r w:rsidRPr="00763C02">
        <w:rPr>
          <w:vertAlign w:val="superscript"/>
        </w:rPr>
        <w:t>th</w:t>
      </w:r>
      <w:r w:rsidRPr="00763C02">
        <w:t xml:space="preserve"> graders may have declined from 2008 levels.</w:t>
      </w:r>
    </w:p>
    <w:p w:rsidR="00763C02" w:rsidRPr="00763C02" w:rsidRDefault="00763C02" w:rsidP="00763C02"/>
    <w:p w:rsidR="00763C02" w:rsidRPr="00763C02" w:rsidRDefault="00763C02" w:rsidP="00763C02">
      <w:r w:rsidRPr="00763C02">
        <w:t xml:space="preserve">In Greater New Orleans, </w:t>
      </w:r>
      <w:r w:rsidRPr="00763C02">
        <w:rPr>
          <w:i/>
        </w:rPr>
        <w:t>about</w:t>
      </w:r>
      <w:r w:rsidRPr="00763C02">
        <w:t xml:space="preserve"> 7 percent of 8</w:t>
      </w:r>
      <w:r w:rsidRPr="00763C02">
        <w:rPr>
          <w:vertAlign w:val="superscript"/>
        </w:rPr>
        <w:t>th</w:t>
      </w:r>
      <w:r w:rsidRPr="00763C02">
        <w:t xml:space="preserve"> grade students used </w:t>
      </w:r>
      <w:r w:rsidRPr="00763C02">
        <w:rPr>
          <w:b/>
        </w:rPr>
        <w:t>marijuana</w:t>
      </w:r>
      <w:r w:rsidRPr="00763C02">
        <w:t xml:space="preserve"> in </w:t>
      </w:r>
      <w:r w:rsidRPr="00763C02">
        <w:lastRenderedPageBreak/>
        <w:t>the past 30 days, based on the 2012 CCYS survey. Among 10</w:t>
      </w:r>
      <w:r w:rsidRPr="00763C02">
        <w:rPr>
          <w:vertAlign w:val="superscript"/>
        </w:rPr>
        <w:t>th</w:t>
      </w:r>
      <w:r w:rsidRPr="00763C02">
        <w:t xml:space="preserve"> grade students, </w:t>
      </w:r>
      <w:r w:rsidRPr="00763C02">
        <w:rPr>
          <w:i/>
        </w:rPr>
        <w:t>about</w:t>
      </w:r>
      <w:r w:rsidRPr="00763C02">
        <w:t xml:space="preserve"> 10 percent used marijuana in the past 30 days. Current marijuana use appears to have </w:t>
      </w:r>
      <w:r w:rsidRPr="00763C02">
        <w:rPr>
          <w:i/>
        </w:rPr>
        <w:t>increased</w:t>
      </w:r>
      <w:r w:rsidRPr="00763C02">
        <w:t xml:space="preserve"> from 2008 levels.</w:t>
      </w:r>
    </w:p>
    <w:p w:rsidR="00763C02" w:rsidRPr="00763C02" w:rsidRDefault="00763C02" w:rsidP="00763C02"/>
    <w:p w:rsidR="00763C02" w:rsidRPr="00763C02" w:rsidRDefault="00763C02" w:rsidP="00763C02">
      <w:r w:rsidRPr="00763C02">
        <w:t>Overall, the trends in current use of the major “gateway” drugs from 2008 to 2012 are mixed. Current use of alcohol and cigarettes among 8</w:t>
      </w:r>
      <w:r w:rsidRPr="00763C02">
        <w:rPr>
          <w:vertAlign w:val="superscript"/>
        </w:rPr>
        <w:t>th</w:t>
      </w:r>
      <w:r w:rsidRPr="00763C02">
        <w:t xml:space="preserve"> and 10</w:t>
      </w:r>
      <w:r w:rsidRPr="00763C02">
        <w:rPr>
          <w:vertAlign w:val="superscript"/>
        </w:rPr>
        <w:t>th</w:t>
      </w:r>
      <w:r w:rsidRPr="00763C02">
        <w:t xml:space="preserve"> grade students has declined at the state level and appears to have declined as well as for Greater New Orleans. However, unlike alcohol and cigarettes, current marijuana use appears to have increased among 8</w:t>
      </w:r>
      <w:r w:rsidRPr="00763C02">
        <w:rPr>
          <w:vertAlign w:val="superscript"/>
        </w:rPr>
        <w:t>th</w:t>
      </w:r>
      <w:r w:rsidRPr="00763C02">
        <w:t xml:space="preserve"> and 10</w:t>
      </w:r>
      <w:r w:rsidRPr="00763C02">
        <w:rPr>
          <w:vertAlign w:val="superscript"/>
        </w:rPr>
        <w:t>th</w:t>
      </w:r>
      <w:r w:rsidRPr="00763C02">
        <w:t xml:space="preserve"> grade students from 2008 to 2012.</w:t>
      </w:r>
    </w:p>
    <w:p w:rsidR="005230A7" w:rsidRDefault="005230A7" w:rsidP="004F4264"/>
    <w:p w:rsidR="00763C02" w:rsidRPr="00763C02" w:rsidRDefault="00763C02" w:rsidP="00763C02">
      <w:r w:rsidRPr="00763C02">
        <w:t xml:space="preserve">Beyond alcohol, tobacco and marijuana, </w:t>
      </w:r>
      <w:r w:rsidR="00AF2EF1">
        <w:t>t</w:t>
      </w:r>
      <w:r w:rsidRPr="00763C02">
        <w:t xml:space="preserve">he drugs most likely to be used in the past 30 days are </w:t>
      </w:r>
      <w:r w:rsidRPr="00763C02">
        <w:rPr>
          <w:b/>
        </w:rPr>
        <w:t>prescription</w:t>
      </w:r>
      <w:r w:rsidRPr="00763C02">
        <w:t xml:space="preserve"> </w:t>
      </w:r>
      <w:r w:rsidRPr="00763C02">
        <w:rPr>
          <w:b/>
        </w:rPr>
        <w:t>sedatives</w:t>
      </w:r>
      <w:r w:rsidRPr="00763C02">
        <w:t>. Statewide, 3 percent of 8</w:t>
      </w:r>
      <w:r w:rsidRPr="00763C02">
        <w:rPr>
          <w:vertAlign w:val="superscript"/>
        </w:rPr>
        <w:t>th</w:t>
      </w:r>
      <w:r w:rsidRPr="00763C02">
        <w:t xml:space="preserve"> graders and 4 percent of 10</w:t>
      </w:r>
      <w:r w:rsidRPr="00763C02">
        <w:rPr>
          <w:vertAlign w:val="superscript"/>
        </w:rPr>
        <w:t>th</w:t>
      </w:r>
      <w:r w:rsidRPr="00763C02">
        <w:t xml:space="preserve"> grade students used sedatives in the past 30 days without a doctor’s order, based on the 2012 CCYS survey. Similarly, in Greater New Orleans, </w:t>
      </w:r>
      <w:r w:rsidRPr="00763C02">
        <w:rPr>
          <w:i/>
        </w:rPr>
        <w:t>about</w:t>
      </w:r>
      <w:r w:rsidRPr="00763C02">
        <w:t xml:space="preserve"> 3 percent of 8</w:t>
      </w:r>
      <w:r w:rsidRPr="00763C02">
        <w:rPr>
          <w:vertAlign w:val="superscript"/>
        </w:rPr>
        <w:t>th</w:t>
      </w:r>
      <w:r w:rsidRPr="00763C02">
        <w:t xml:space="preserve"> graders and </w:t>
      </w:r>
      <w:r w:rsidRPr="00763C02">
        <w:rPr>
          <w:i/>
        </w:rPr>
        <w:t>about</w:t>
      </w:r>
      <w:r w:rsidRPr="00763C02">
        <w:t xml:space="preserve"> 4 percent of 10</w:t>
      </w:r>
      <w:r w:rsidRPr="00763C02">
        <w:rPr>
          <w:vertAlign w:val="superscript"/>
        </w:rPr>
        <w:t>th</w:t>
      </w:r>
      <w:r w:rsidRPr="00763C02">
        <w:t xml:space="preserve"> grade students used sedatives in the past 30 days without a doctor’s order.</w:t>
      </w:r>
    </w:p>
    <w:p w:rsidR="00763C02" w:rsidRPr="00763C02" w:rsidRDefault="00763C02" w:rsidP="00763C02"/>
    <w:p w:rsidR="00763C02" w:rsidRPr="00763C02" w:rsidRDefault="00AF2EF1" w:rsidP="00763C02">
      <w:r w:rsidRPr="00AF2EF1">
        <w:t xml:space="preserve">Beyond alcohol, tobacco and marijuana, the </w:t>
      </w:r>
      <w:r w:rsidR="00763C02" w:rsidRPr="00763C02">
        <w:t xml:space="preserve">drugs second most likely to be used in the past 30 days are </w:t>
      </w:r>
      <w:r w:rsidR="00763C02" w:rsidRPr="00763C02">
        <w:rPr>
          <w:b/>
        </w:rPr>
        <w:t>prescription opiates</w:t>
      </w:r>
      <w:r w:rsidR="00763C02" w:rsidRPr="00763C02">
        <w:t>. Statewide, 1 percent of 8</w:t>
      </w:r>
      <w:r w:rsidR="00763C02" w:rsidRPr="00763C02">
        <w:rPr>
          <w:vertAlign w:val="superscript"/>
        </w:rPr>
        <w:t>th</w:t>
      </w:r>
      <w:r w:rsidR="00763C02" w:rsidRPr="00763C02">
        <w:t xml:space="preserve"> graders and 2 percent of 10</w:t>
      </w:r>
      <w:r w:rsidR="00763C02" w:rsidRPr="00763C02">
        <w:rPr>
          <w:vertAlign w:val="superscript"/>
        </w:rPr>
        <w:t>th</w:t>
      </w:r>
      <w:r w:rsidR="00763C02" w:rsidRPr="00763C02">
        <w:t xml:space="preserve"> grade students have used prescription opiates without a doctor’s order. Similarly, in Greater New Orleans, </w:t>
      </w:r>
      <w:r w:rsidR="00763C02" w:rsidRPr="00763C02">
        <w:rPr>
          <w:i/>
        </w:rPr>
        <w:t>about</w:t>
      </w:r>
      <w:r w:rsidR="00763C02" w:rsidRPr="00763C02">
        <w:t xml:space="preserve"> 1 percent of 8</w:t>
      </w:r>
      <w:r w:rsidR="00763C02" w:rsidRPr="00763C02">
        <w:rPr>
          <w:vertAlign w:val="superscript"/>
        </w:rPr>
        <w:t>th</w:t>
      </w:r>
      <w:r w:rsidR="00763C02" w:rsidRPr="00763C02">
        <w:t xml:space="preserve"> graders and </w:t>
      </w:r>
      <w:r w:rsidR="00763C02" w:rsidRPr="00763C02">
        <w:rPr>
          <w:i/>
        </w:rPr>
        <w:t>about</w:t>
      </w:r>
      <w:r w:rsidR="00763C02" w:rsidRPr="00763C02">
        <w:t xml:space="preserve"> 3 percent of 10</w:t>
      </w:r>
      <w:r w:rsidR="00763C02" w:rsidRPr="00763C02">
        <w:rPr>
          <w:vertAlign w:val="superscript"/>
        </w:rPr>
        <w:t>th</w:t>
      </w:r>
      <w:r w:rsidR="00763C02" w:rsidRPr="00763C02">
        <w:t xml:space="preserve"> grade students have used prescription opiates without a doctor’s order.</w:t>
      </w:r>
    </w:p>
    <w:p w:rsidR="00721AA5" w:rsidRPr="00721AA5" w:rsidRDefault="00721AA5" w:rsidP="00721AA5"/>
    <w:p w:rsidR="00721AA5" w:rsidRPr="00721AA5" w:rsidRDefault="00721AA5" w:rsidP="00721AA5">
      <w:r w:rsidRPr="00721AA5">
        <w:t>In Greater New Orleans</w:t>
      </w:r>
      <w:r>
        <w:t xml:space="preserve">, </w:t>
      </w:r>
      <w:r w:rsidRPr="00721AA5">
        <w:rPr>
          <w:i/>
        </w:rPr>
        <w:t>combining stimulant, sedative and opiate prescription drugs together</w:t>
      </w:r>
      <w:r w:rsidRPr="00721AA5">
        <w:t xml:space="preserve">, </w:t>
      </w:r>
      <w:r w:rsidRPr="00721AA5">
        <w:rPr>
          <w:i/>
        </w:rPr>
        <w:t>about</w:t>
      </w:r>
      <w:r w:rsidRPr="00721AA5">
        <w:t xml:space="preserve"> 4 percent of 8</w:t>
      </w:r>
      <w:r w:rsidRPr="00721AA5">
        <w:rPr>
          <w:vertAlign w:val="superscript"/>
        </w:rPr>
        <w:t>th</w:t>
      </w:r>
      <w:r w:rsidRPr="00721AA5">
        <w:t xml:space="preserve"> grade students used </w:t>
      </w:r>
      <w:r w:rsidRPr="00721AA5">
        <w:rPr>
          <w:b/>
        </w:rPr>
        <w:t>prescription drugs</w:t>
      </w:r>
      <w:r w:rsidRPr="00721AA5">
        <w:t xml:space="preserve"> in the past 30 days without a doctor telling them to, based on the 2012 CCYS survey. Among 10</w:t>
      </w:r>
      <w:r w:rsidRPr="00721AA5">
        <w:rPr>
          <w:vertAlign w:val="superscript"/>
        </w:rPr>
        <w:t>th</w:t>
      </w:r>
      <w:r w:rsidRPr="00721AA5">
        <w:t xml:space="preserve"> grade students, </w:t>
      </w:r>
      <w:r w:rsidRPr="00721AA5">
        <w:rPr>
          <w:i/>
        </w:rPr>
        <w:t>about</w:t>
      </w:r>
      <w:r w:rsidRPr="00721AA5">
        <w:t xml:space="preserve"> 5 percent used prescription drugs in the past 30 days without a doctor telling them to. </w:t>
      </w:r>
    </w:p>
    <w:p w:rsidR="002B4D2F" w:rsidRDefault="002B4D2F" w:rsidP="004F4264"/>
    <w:p w:rsidR="008D699F" w:rsidRDefault="008D699F" w:rsidP="004F4264"/>
    <w:p w:rsidR="006B5994" w:rsidRPr="006B5994" w:rsidRDefault="006B5994" w:rsidP="006B5994">
      <w:pPr>
        <w:rPr>
          <w:b/>
        </w:rPr>
      </w:pPr>
      <w:r w:rsidRPr="006B5994">
        <w:rPr>
          <w:b/>
        </w:rPr>
        <w:t>Substance Use Disorders and Treatment Need</w:t>
      </w:r>
    </w:p>
    <w:p w:rsidR="005230A7" w:rsidRDefault="005230A7" w:rsidP="004F4264"/>
    <w:p w:rsidR="006B5994" w:rsidRPr="006B5994" w:rsidRDefault="006B5994" w:rsidP="006B5994">
      <w:r w:rsidRPr="006B5994">
        <w:t>Substance use disorder (SUD) is defined in the Diagnostic and Statist</w:t>
      </w:r>
      <w:r w:rsidRPr="006B5994">
        <w:rPr>
          <w:i/>
        </w:rPr>
        <w:t>ical Manual</w:t>
      </w:r>
      <w:r w:rsidRPr="006B5994">
        <w:t xml:space="preserve"> (DSM-IV) of the American Psychiatric Association as “a maladaptive pattern of substance use, leading to clinically significant impairment or distress, as manifested by … [criteria], occurring at any time in the same 12-month period.” Both dependence and abuse conditions are defined</w:t>
      </w:r>
      <w:r w:rsidRPr="006B5994">
        <w:rPr>
          <w:vertAlign w:val="superscript"/>
        </w:rPr>
        <w:footnoteReference w:id="3"/>
      </w:r>
      <w:r w:rsidRPr="006B5994">
        <w:t xml:space="preserve"> A dependence condition can be considered more clinically serious or a progression from an abuse condition, but consequences and costs can be substantial in any case. An assessment of dependence or abuse </w:t>
      </w:r>
      <w:r w:rsidRPr="006B5994">
        <w:lastRenderedPageBreak/>
        <w:t xml:space="preserve">based on DSM-IV criteria is generally accepted as a requirement for admission to treatment services, but does not itself determine the level of care needed. </w:t>
      </w:r>
    </w:p>
    <w:p w:rsidR="006B5994" w:rsidRPr="006B5994" w:rsidRDefault="006B5994" w:rsidP="006B5994"/>
    <w:p w:rsidR="006B5994" w:rsidRPr="006B5994" w:rsidRDefault="006B5994" w:rsidP="006B5994">
      <w:r w:rsidRPr="006B5994">
        <w:t xml:space="preserve">The Caring Communities Youth Survey (CCYS) includes 6 questions that closely correspond to the concepts and criteria defining substance use disorder. The CCYS defines the </w:t>
      </w:r>
      <w:r w:rsidRPr="006B5994">
        <w:rPr>
          <w:i/>
        </w:rPr>
        <w:t>need for treatment</w:t>
      </w:r>
      <w:r w:rsidRPr="006B5994">
        <w:t xml:space="preserve"> as using alcohol or drugs on 10 or more occasions (in lifetime) and responding “yes” to at least three of the following six items </w:t>
      </w:r>
      <w:r w:rsidR="008048A2">
        <w:t>regarding</w:t>
      </w:r>
      <w:r w:rsidRPr="006B5994">
        <w:t xml:space="preserve"> alcohol and other drug use in the past year:</w:t>
      </w:r>
    </w:p>
    <w:p w:rsidR="006B5994" w:rsidRPr="006B5994" w:rsidRDefault="006B5994" w:rsidP="006B5994"/>
    <w:p w:rsidR="006B5994" w:rsidRPr="006B5994" w:rsidRDefault="006B5994" w:rsidP="006B5994">
      <w:pPr>
        <w:numPr>
          <w:ilvl w:val="0"/>
          <w:numId w:val="13"/>
        </w:numPr>
        <w:rPr>
          <w:iCs/>
        </w:rPr>
      </w:pPr>
      <w:r w:rsidRPr="006B5994">
        <w:rPr>
          <w:iCs/>
        </w:rPr>
        <w:t>Spent more time using than intended;</w:t>
      </w:r>
    </w:p>
    <w:p w:rsidR="006B5994" w:rsidRPr="006B5994" w:rsidRDefault="006B5994" w:rsidP="006B5994">
      <w:pPr>
        <w:numPr>
          <w:ilvl w:val="0"/>
          <w:numId w:val="13"/>
        </w:numPr>
        <w:rPr>
          <w:iCs/>
        </w:rPr>
      </w:pPr>
      <w:r w:rsidRPr="006B5994">
        <w:rPr>
          <w:iCs/>
        </w:rPr>
        <w:t>Neglected some of your usual responsibilities because of use</w:t>
      </w:r>
    </w:p>
    <w:p w:rsidR="006B5994" w:rsidRPr="006B5994" w:rsidRDefault="006B5994" w:rsidP="006B5994">
      <w:pPr>
        <w:numPr>
          <w:ilvl w:val="0"/>
          <w:numId w:val="13"/>
        </w:numPr>
        <w:rPr>
          <w:iCs/>
        </w:rPr>
      </w:pPr>
      <w:r w:rsidRPr="006B5994">
        <w:rPr>
          <w:iCs/>
        </w:rPr>
        <w:t>Wanted to cut down on use</w:t>
      </w:r>
    </w:p>
    <w:p w:rsidR="006B5994" w:rsidRPr="006B5994" w:rsidRDefault="006B5994" w:rsidP="006B5994">
      <w:pPr>
        <w:numPr>
          <w:ilvl w:val="0"/>
          <w:numId w:val="13"/>
        </w:numPr>
        <w:rPr>
          <w:iCs/>
        </w:rPr>
      </w:pPr>
      <w:r w:rsidRPr="006B5994">
        <w:rPr>
          <w:iCs/>
        </w:rPr>
        <w:t>Others objected to your use</w:t>
      </w:r>
    </w:p>
    <w:p w:rsidR="006B5994" w:rsidRPr="006B5994" w:rsidRDefault="006B5994" w:rsidP="006B5994">
      <w:pPr>
        <w:numPr>
          <w:ilvl w:val="0"/>
          <w:numId w:val="13"/>
        </w:numPr>
        <w:rPr>
          <w:iCs/>
        </w:rPr>
      </w:pPr>
      <w:r w:rsidRPr="006B5994">
        <w:rPr>
          <w:iCs/>
        </w:rPr>
        <w:t>Frequently thought about using</w:t>
      </w:r>
    </w:p>
    <w:p w:rsidR="006B5994" w:rsidRPr="006B5994" w:rsidRDefault="006B5994" w:rsidP="006B5994">
      <w:pPr>
        <w:numPr>
          <w:ilvl w:val="0"/>
          <w:numId w:val="13"/>
        </w:numPr>
        <w:rPr>
          <w:iCs/>
        </w:rPr>
      </w:pPr>
      <w:r w:rsidRPr="006B5994">
        <w:rPr>
          <w:iCs/>
        </w:rPr>
        <w:t>Used alcohol or drugs to relieve feelings such as sadness, anger, or boredom</w:t>
      </w:r>
    </w:p>
    <w:p w:rsidR="006B5994" w:rsidRPr="006B5994" w:rsidRDefault="006B5994" w:rsidP="006B5994"/>
    <w:p w:rsidR="006B5994" w:rsidRPr="006B5994" w:rsidRDefault="006B5994" w:rsidP="006B5994">
      <w:r w:rsidRPr="006B5994">
        <w:t>In comparison to the DSM IV criteria, the CCYS definition for treatment need appears to require more than a substance abuse diagnosis because 3 criteria must be met, but less than a dependence diagnosis because the criteria are not as strictly stated as those for dependence. In sum, the CCYS criteria for treatment need appear credible and conservative for the practical purposes of estimating the prevalence of substance use disorders and the need for clinical intervention and/or treatment among adolescents.</w:t>
      </w:r>
    </w:p>
    <w:p w:rsidR="005230A7" w:rsidRDefault="005230A7" w:rsidP="004F4264"/>
    <w:p w:rsidR="00BE39EA" w:rsidRPr="00BE39EA" w:rsidRDefault="00BE39EA" w:rsidP="00BE39EA">
      <w:r w:rsidRPr="00BE39EA">
        <w:t>Statewide, 3.6 percent of 8</w:t>
      </w:r>
      <w:r w:rsidRPr="00BE39EA">
        <w:rPr>
          <w:vertAlign w:val="superscript"/>
        </w:rPr>
        <w:t>th</w:t>
      </w:r>
      <w:r w:rsidRPr="00BE39EA">
        <w:t xml:space="preserve"> grade students need clinical intervention or treatment services for an alcohol or drug problem, based on the 2012 CCYS survey. Among 10</w:t>
      </w:r>
      <w:r w:rsidRPr="00BE39EA">
        <w:rPr>
          <w:vertAlign w:val="superscript"/>
        </w:rPr>
        <w:t>th</w:t>
      </w:r>
      <w:r w:rsidRPr="00BE39EA">
        <w:t xml:space="preserve"> grade students, 9.5 percent need clinical intervention or treatment services, 6.3 percent for alcohol and 4.8 percent for other drug problems.</w:t>
      </w:r>
    </w:p>
    <w:tbl>
      <w:tblPr>
        <w:tblStyle w:val="TableGrid"/>
        <w:tblpPr w:leftFromText="180" w:rightFromText="180" w:vertAnchor="text" w:horzAnchor="margin" w:tblpXSpec="right" w:tblpY="303"/>
        <w:tblOverlap w:val="never"/>
        <w:tblW w:w="0" w:type="auto"/>
        <w:tblLayout w:type="fixed"/>
        <w:tblLook w:val="04A0" w:firstRow="1" w:lastRow="0" w:firstColumn="1" w:lastColumn="0" w:noHBand="0" w:noVBand="1"/>
      </w:tblPr>
      <w:tblGrid>
        <w:gridCol w:w="1620"/>
        <w:gridCol w:w="900"/>
        <w:gridCol w:w="900"/>
        <w:gridCol w:w="900"/>
        <w:gridCol w:w="900"/>
      </w:tblGrid>
      <w:tr w:rsidR="002B4D2F" w:rsidRPr="009C774F" w:rsidTr="003F2303">
        <w:trPr>
          <w:trHeight w:val="888"/>
        </w:trPr>
        <w:tc>
          <w:tcPr>
            <w:tcW w:w="5220" w:type="dxa"/>
            <w:gridSpan w:val="5"/>
            <w:vAlign w:val="center"/>
          </w:tcPr>
          <w:p w:rsidR="002B4D2F" w:rsidRDefault="002B4D2F" w:rsidP="003F2303">
            <w:pPr>
              <w:jc w:val="center"/>
              <w:rPr>
                <w:b/>
                <w:sz w:val="20"/>
              </w:rPr>
            </w:pPr>
            <w:r>
              <w:rPr>
                <w:b/>
                <w:sz w:val="20"/>
              </w:rPr>
              <w:t xml:space="preserve">Table 6: Treatment Need </w:t>
            </w:r>
            <w:r w:rsidRPr="000B6FF1">
              <w:rPr>
                <w:b/>
                <w:sz w:val="20"/>
              </w:rPr>
              <w:t xml:space="preserve"> Among 8</w:t>
            </w:r>
            <w:r w:rsidRPr="000B6FF1">
              <w:rPr>
                <w:b/>
                <w:sz w:val="20"/>
                <w:vertAlign w:val="superscript"/>
              </w:rPr>
              <w:t>th</w:t>
            </w:r>
            <w:r w:rsidRPr="000B6FF1">
              <w:rPr>
                <w:b/>
                <w:sz w:val="20"/>
              </w:rPr>
              <w:t xml:space="preserve"> and 10</w:t>
            </w:r>
            <w:r w:rsidRPr="000B6FF1">
              <w:rPr>
                <w:b/>
                <w:sz w:val="20"/>
                <w:vertAlign w:val="superscript"/>
              </w:rPr>
              <w:t>th</w:t>
            </w:r>
            <w:r>
              <w:rPr>
                <w:b/>
                <w:sz w:val="20"/>
              </w:rPr>
              <w:t xml:space="preserve"> grade S</w:t>
            </w:r>
            <w:r w:rsidRPr="000B6FF1">
              <w:rPr>
                <w:b/>
                <w:sz w:val="20"/>
              </w:rPr>
              <w:t xml:space="preserve">tudents in Greater New Orleans (GNO)* based </w:t>
            </w:r>
          </w:p>
          <w:p w:rsidR="002B4D2F" w:rsidRPr="009C774F" w:rsidRDefault="002B4D2F" w:rsidP="003F2303">
            <w:pPr>
              <w:jc w:val="center"/>
              <w:rPr>
                <w:sz w:val="20"/>
              </w:rPr>
            </w:pPr>
            <w:r w:rsidRPr="000B6FF1">
              <w:rPr>
                <w:b/>
                <w:sz w:val="20"/>
              </w:rPr>
              <w:t>on</w:t>
            </w:r>
            <w:r>
              <w:rPr>
                <w:b/>
                <w:sz w:val="20"/>
              </w:rPr>
              <w:t xml:space="preserve"> the Caring Communities Y</w:t>
            </w:r>
            <w:r w:rsidRPr="000B6FF1">
              <w:rPr>
                <w:b/>
                <w:sz w:val="20"/>
              </w:rPr>
              <w:t>outh Survey</w:t>
            </w:r>
          </w:p>
        </w:tc>
      </w:tr>
      <w:tr w:rsidR="002B4D2F" w:rsidRPr="009C774F" w:rsidTr="003F2303">
        <w:trPr>
          <w:trHeight w:val="342"/>
        </w:trPr>
        <w:tc>
          <w:tcPr>
            <w:tcW w:w="1620" w:type="dxa"/>
            <w:vMerge w:val="restart"/>
            <w:vAlign w:val="center"/>
          </w:tcPr>
          <w:p w:rsidR="002B4D2F" w:rsidRDefault="002B4D2F" w:rsidP="003F2303">
            <w:pPr>
              <w:jc w:val="center"/>
              <w:rPr>
                <w:b/>
                <w:sz w:val="20"/>
              </w:rPr>
            </w:pPr>
            <w:r>
              <w:rPr>
                <w:b/>
                <w:sz w:val="20"/>
              </w:rPr>
              <w:t xml:space="preserve">Treatment </w:t>
            </w:r>
          </w:p>
          <w:p w:rsidR="002B4D2F" w:rsidRPr="009C774F" w:rsidRDefault="002B4D2F" w:rsidP="003F2303">
            <w:pPr>
              <w:jc w:val="center"/>
              <w:rPr>
                <w:sz w:val="20"/>
              </w:rPr>
            </w:pPr>
            <w:r>
              <w:rPr>
                <w:b/>
                <w:sz w:val="20"/>
              </w:rPr>
              <w:t>Need</w:t>
            </w:r>
          </w:p>
        </w:tc>
        <w:tc>
          <w:tcPr>
            <w:tcW w:w="3600" w:type="dxa"/>
            <w:gridSpan w:val="4"/>
            <w:vAlign w:val="center"/>
          </w:tcPr>
          <w:p w:rsidR="002B4D2F" w:rsidRPr="009C774F" w:rsidRDefault="002B4D2F" w:rsidP="003F2303">
            <w:pPr>
              <w:jc w:val="center"/>
              <w:rPr>
                <w:sz w:val="20"/>
              </w:rPr>
            </w:pPr>
            <w:r>
              <w:rPr>
                <w:sz w:val="20"/>
              </w:rPr>
              <w:t>2012 Estimates</w:t>
            </w:r>
          </w:p>
        </w:tc>
      </w:tr>
      <w:tr w:rsidR="002B4D2F" w:rsidRPr="009C774F" w:rsidTr="003F2303">
        <w:trPr>
          <w:trHeight w:val="360"/>
        </w:trPr>
        <w:tc>
          <w:tcPr>
            <w:tcW w:w="1620" w:type="dxa"/>
            <w:vMerge/>
            <w:vAlign w:val="center"/>
          </w:tcPr>
          <w:p w:rsidR="002B4D2F" w:rsidRPr="009C774F" w:rsidRDefault="002B4D2F" w:rsidP="003F2303">
            <w:pPr>
              <w:jc w:val="center"/>
              <w:rPr>
                <w:sz w:val="20"/>
              </w:rPr>
            </w:pPr>
          </w:p>
        </w:tc>
        <w:tc>
          <w:tcPr>
            <w:tcW w:w="1800" w:type="dxa"/>
            <w:gridSpan w:val="2"/>
            <w:tcMar>
              <w:left w:w="43" w:type="dxa"/>
              <w:right w:w="43" w:type="dxa"/>
            </w:tcMar>
            <w:vAlign w:val="center"/>
          </w:tcPr>
          <w:p w:rsidR="002B4D2F" w:rsidRPr="009C774F" w:rsidRDefault="002B4D2F" w:rsidP="003F2303">
            <w:pPr>
              <w:jc w:val="center"/>
              <w:rPr>
                <w:sz w:val="20"/>
              </w:rPr>
            </w:pPr>
            <w:r>
              <w:rPr>
                <w:sz w:val="20"/>
              </w:rPr>
              <w:t>8</w:t>
            </w:r>
            <w:r w:rsidRPr="000B17FE">
              <w:rPr>
                <w:sz w:val="20"/>
                <w:vertAlign w:val="superscript"/>
              </w:rPr>
              <w:t>th</w:t>
            </w:r>
            <w:r>
              <w:rPr>
                <w:sz w:val="20"/>
              </w:rPr>
              <w:t xml:space="preserve"> Grade</w:t>
            </w:r>
          </w:p>
        </w:tc>
        <w:tc>
          <w:tcPr>
            <w:tcW w:w="1800" w:type="dxa"/>
            <w:gridSpan w:val="2"/>
            <w:tcMar>
              <w:left w:w="43" w:type="dxa"/>
              <w:right w:w="43" w:type="dxa"/>
            </w:tcMar>
            <w:vAlign w:val="center"/>
          </w:tcPr>
          <w:p w:rsidR="002B4D2F" w:rsidRPr="009C774F" w:rsidRDefault="002B4D2F" w:rsidP="003F2303">
            <w:pPr>
              <w:jc w:val="center"/>
              <w:rPr>
                <w:sz w:val="20"/>
              </w:rPr>
            </w:pPr>
            <w:r>
              <w:rPr>
                <w:sz w:val="20"/>
              </w:rPr>
              <w:t>10</w:t>
            </w:r>
            <w:r w:rsidRPr="000B17FE">
              <w:rPr>
                <w:sz w:val="20"/>
                <w:vertAlign w:val="superscript"/>
              </w:rPr>
              <w:t>th</w:t>
            </w:r>
            <w:r>
              <w:rPr>
                <w:sz w:val="20"/>
              </w:rPr>
              <w:t xml:space="preserve"> Grade</w:t>
            </w:r>
          </w:p>
        </w:tc>
      </w:tr>
      <w:tr w:rsidR="002B4D2F" w:rsidRPr="009C774F" w:rsidTr="003F2303">
        <w:trPr>
          <w:trHeight w:val="522"/>
        </w:trPr>
        <w:tc>
          <w:tcPr>
            <w:tcW w:w="1620" w:type="dxa"/>
            <w:vMerge/>
            <w:vAlign w:val="center"/>
          </w:tcPr>
          <w:p w:rsidR="002B4D2F" w:rsidRDefault="002B4D2F" w:rsidP="003F2303">
            <w:pPr>
              <w:rPr>
                <w:sz w:val="20"/>
              </w:rPr>
            </w:pPr>
          </w:p>
        </w:tc>
        <w:tc>
          <w:tcPr>
            <w:tcW w:w="900" w:type="dxa"/>
            <w:tcMar>
              <w:left w:w="43" w:type="dxa"/>
              <w:right w:w="43" w:type="dxa"/>
            </w:tcMar>
            <w:vAlign w:val="center"/>
          </w:tcPr>
          <w:p w:rsidR="002B4D2F" w:rsidRPr="009C774F" w:rsidRDefault="002B4D2F" w:rsidP="003F2303">
            <w:pPr>
              <w:jc w:val="center"/>
              <w:rPr>
                <w:sz w:val="20"/>
              </w:rPr>
            </w:pPr>
            <w:r>
              <w:rPr>
                <w:sz w:val="20"/>
              </w:rPr>
              <w:t>GNO Estimate</w:t>
            </w:r>
          </w:p>
        </w:tc>
        <w:tc>
          <w:tcPr>
            <w:tcW w:w="900" w:type="dxa"/>
            <w:tcMar>
              <w:left w:w="43" w:type="dxa"/>
              <w:right w:w="43" w:type="dxa"/>
            </w:tcMar>
            <w:vAlign w:val="center"/>
          </w:tcPr>
          <w:p w:rsidR="002B4D2F" w:rsidRDefault="002B4D2F" w:rsidP="003F2303">
            <w:pPr>
              <w:jc w:val="center"/>
              <w:rPr>
                <w:sz w:val="20"/>
              </w:rPr>
            </w:pPr>
            <w:r>
              <w:rPr>
                <w:sz w:val="20"/>
              </w:rPr>
              <w:t>State</w:t>
            </w:r>
          </w:p>
          <w:p w:rsidR="002B4D2F" w:rsidRPr="009C774F" w:rsidRDefault="002B4D2F" w:rsidP="003F2303">
            <w:pPr>
              <w:jc w:val="center"/>
              <w:rPr>
                <w:sz w:val="20"/>
              </w:rPr>
            </w:pPr>
            <w:r>
              <w:rPr>
                <w:sz w:val="20"/>
              </w:rPr>
              <w:t>wide</w:t>
            </w:r>
          </w:p>
        </w:tc>
        <w:tc>
          <w:tcPr>
            <w:tcW w:w="900" w:type="dxa"/>
            <w:tcMar>
              <w:left w:w="43" w:type="dxa"/>
              <w:right w:w="43" w:type="dxa"/>
            </w:tcMar>
            <w:vAlign w:val="center"/>
          </w:tcPr>
          <w:p w:rsidR="002B4D2F" w:rsidRPr="009C774F" w:rsidRDefault="002B4D2F" w:rsidP="003F2303">
            <w:pPr>
              <w:jc w:val="center"/>
              <w:rPr>
                <w:sz w:val="20"/>
              </w:rPr>
            </w:pPr>
            <w:r>
              <w:rPr>
                <w:sz w:val="20"/>
              </w:rPr>
              <w:t>GNO Estimate</w:t>
            </w:r>
          </w:p>
        </w:tc>
        <w:tc>
          <w:tcPr>
            <w:tcW w:w="900" w:type="dxa"/>
            <w:tcMar>
              <w:left w:w="43" w:type="dxa"/>
              <w:right w:w="43" w:type="dxa"/>
            </w:tcMar>
            <w:vAlign w:val="center"/>
          </w:tcPr>
          <w:p w:rsidR="002B4D2F" w:rsidRDefault="002B4D2F" w:rsidP="003F2303">
            <w:pPr>
              <w:jc w:val="center"/>
              <w:rPr>
                <w:sz w:val="20"/>
              </w:rPr>
            </w:pPr>
            <w:r>
              <w:rPr>
                <w:sz w:val="20"/>
              </w:rPr>
              <w:t>State</w:t>
            </w:r>
          </w:p>
          <w:p w:rsidR="002B4D2F" w:rsidRPr="009C774F" w:rsidRDefault="002B4D2F" w:rsidP="003F2303">
            <w:pPr>
              <w:jc w:val="center"/>
              <w:rPr>
                <w:sz w:val="20"/>
              </w:rPr>
            </w:pPr>
            <w:r>
              <w:rPr>
                <w:sz w:val="20"/>
              </w:rPr>
              <w:t>wide</w:t>
            </w:r>
          </w:p>
        </w:tc>
      </w:tr>
      <w:tr w:rsidR="002B4D2F" w:rsidRPr="009C774F" w:rsidTr="003F2303">
        <w:trPr>
          <w:trHeight w:val="288"/>
        </w:trPr>
        <w:tc>
          <w:tcPr>
            <w:tcW w:w="1620" w:type="dxa"/>
            <w:vAlign w:val="center"/>
          </w:tcPr>
          <w:p w:rsidR="002B4D2F" w:rsidRPr="009C774F" w:rsidRDefault="002B4D2F" w:rsidP="003F2303">
            <w:pPr>
              <w:rPr>
                <w:sz w:val="20"/>
              </w:rPr>
            </w:pPr>
            <w:r>
              <w:rPr>
                <w:sz w:val="20"/>
              </w:rPr>
              <w:t>Alcohol Treatment</w:t>
            </w:r>
          </w:p>
        </w:tc>
        <w:tc>
          <w:tcPr>
            <w:tcW w:w="900" w:type="dxa"/>
            <w:vAlign w:val="center"/>
          </w:tcPr>
          <w:p w:rsidR="002B4D2F" w:rsidRPr="009C774F" w:rsidRDefault="002B4D2F" w:rsidP="003F2303">
            <w:pPr>
              <w:jc w:val="center"/>
              <w:rPr>
                <w:sz w:val="20"/>
              </w:rPr>
            </w:pPr>
            <w:r>
              <w:rPr>
                <w:sz w:val="20"/>
              </w:rPr>
              <w:t>2.3%</w:t>
            </w:r>
          </w:p>
        </w:tc>
        <w:tc>
          <w:tcPr>
            <w:tcW w:w="900" w:type="dxa"/>
            <w:vAlign w:val="center"/>
          </w:tcPr>
          <w:p w:rsidR="002B4D2F" w:rsidRPr="009C774F" w:rsidRDefault="002B4D2F" w:rsidP="003F2303">
            <w:pPr>
              <w:jc w:val="center"/>
              <w:rPr>
                <w:sz w:val="20"/>
              </w:rPr>
            </w:pPr>
            <w:r>
              <w:rPr>
                <w:sz w:val="20"/>
              </w:rPr>
              <w:t>2.2%</w:t>
            </w:r>
          </w:p>
        </w:tc>
        <w:tc>
          <w:tcPr>
            <w:tcW w:w="900" w:type="dxa"/>
            <w:vAlign w:val="center"/>
          </w:tcPr>
          <w:p w:rsidR="002B4D2F" w:rsidRPr="009C774F" w:rsidRDefault="002B4D2F" w:rsidP="003F2303">
            <w:pPr>
              <w:jc w:val="center"/>
              <w:rPr>
                <w:sz w:val="20"/>
              </w:rPr>
            </w:pPr>
            <w:r>
              <w:rPr>
                <w:sz w:val="20"/>
              </w:rPr>
              <w:t>4.2%</w:t>
            </w:r>
          </w:p>
        </w:tc>
        <w:tc>
          <w:tcPr>
            <w:tcW w:w="900" w:type="dxa"/>
            <w:vAlign w:val="center"/>
          </w:tcPr>
          <w:p w:rsidR="002B4D2F" w:rsidRPr="009C774F" w:rsidRDefault="002B4D2F" w:rsidP="003F2303">
            <w:pPr>
              <w:jc w:val="center"/>
              <w:rPr>
                <w:sz w:val="20"/>
              </w:rPr>
            </w:pPr>
            <w:r>
              <w:rPr>
                <w:sz w:val="20"/>
              </w:rPr>
              <w:t>6.3%</w:t>
            </w:r>
          </w:p>
        </w:tc>
      </w:tr>
      <w:tr w:rsidR="002B4D2F" w:rsidRPr="009C774F" w:rsidTr="003F2303">
        <w:trPr>
          <w:trHeight w:val="288"/>
        </w:trPr>
        <w:tc>
          <w:tcPr>
            <w:tcW w:w="1620" w:type="dxa"/>
            <w:vAlign w:val="center"/>
          </w:tcPr>
          <w:p w:rsidR="002B4D2F" w:rsidRPr="009C774F" w:rsidRDefault="002B4D2F" w:rsidP="003F2303">
            <w:pPr>
              <w:rPr>
                <w:sz w:val="20"/>
              </w:rPr>
            </w:pPr>
            <w:r>
              <w:rPr>
                <w:sz w:val="20"/>
              </w:rPr>
              <w:t>Other Drug Treatment</w:t>
            </w:r>
          </w:p>
        </w:tc>
        <w:tc>
          <w:tcPr>
            <w:tcW w:w="900" w:type="dxa"/>
            <w:vAlign w:val="center"/>
          </w:tcPr>
          <w:p w:rsidR="002B4D2F" w:rsidRPr="009C774F" w:rsidRDefault="002B4D2F" w:rsidP="003F2303">
            <w:pPr>
              <w:jc w:val="center"/>
              <w:rPr>
                <w:sz w:val="20"/>
              </w:rPr>
            </w:pPr>
            <w:r>
              <w:rPr>
                <w:sz w:val="20"/>
              </w:rPr>
              <w:t>2.3%</w:t>
            </w:r>
          </w:p>
        </w:tc>
        <w:tc>
          <w:tcPr>
            <w:tcW w:w="900" w:type="dxa"/>
            <w:vAlign w:val="center"/>
          </w:tcPr>
          <w:p w:rsidR="002B4D2F" w:rsidRPr="009C774F" w:rsidRDefault="002B4D2F" w:rsidP="003F2303">
            <w:pPr>
              <w:jc w:val="center"/>
              <w:rPr>
                <w:sz w:val="20"/>
              </w:rPr>
            </w:pPr>
            <w:r>
              <w:rPr>
                <w:sz w:val="20"/>
              </w:rPr>
              <w:t>1.8%</w:t>
            </w:r>
          </w:p>
        </w:tc>
        <w:tc>
          <w:tcPr>
            <w:tcW w:w="900" w:type="dxa"/>
            <w:vAlign w:val="center"/>
          </w:tcPr>
          <w:p w:rsidR="002B4D2F" w:rsidRPr="009C774F" w:rsidRDefault="002B4D2F" w:rsidP="003F2303">
            <w:pPr>
              <w:jc w:val="center"/>
              <w:rPr>
                <w:sz w:val="20"/>
              </w:rPr>
            </w:pPr>
            <w:r>
              <w:rPr>
                <w:sz w:val="20"/>
              </w:rPr>
              <w:t>4.6%</w:t>
            </w:r>
          </w:p>
        </w:tc>
        <w:tc>
          <w:tcPr>
            <w:tcW w:w="900" w:type="dxa"/>
            <w:vAlign w:val="center"/>
          </w:tcPr>
          <w:p w:rsidR="002B4D2F" w:rsidRPr="009C774F" w:rsidRDefault="002B4D2F" w:rsidP="003F2303">
            <w:pPr>
              <w:jc w:val="center"/>
              <w:rPr>
                <w:sz w:val="20"/>
              </w:rPr>
            </w:pPr>
            <w:r>
              <w:rPr>
                <w:sz w:val="20"/>
              </w:rPr>
              <w:t>4.8%</w:t>
            </w:r>
          </w:p>
        </w:tc>
      </w:tr>
      <w:tr w:rsidR="002B4D2F" w:rsidRPr="009C774F" w:rsidTr="003F2303">
        <w:trPr>
          <w:trHeight w:val="288"/>
        </w:trPr>
        <w:tc>
          <w:tcPr>
            <w:tcW w:w="1620" w:type="dxa"/>
            <w:vAlign w:val="center"/>
          </w:tcPr>
          <w:p w:rsidR="002B4D2F" w:rsidRPr="009C774F" w:rsidRDefault="002B4D2F" w:rsidP="003F2303">
            <w:pPr>
              <w:rPr>
                <w:sz w:val="20"/>
              </w:rPr>
            </w:pPr>
            <w:r>
              <w:rPr>
                <w:sz w:val="20"/>
              </w:rPr>
              <w:t>Alcohol or Other Drug Treatment</w:t>
            </w:r>
          </w:p>
        </w:tc>
        <w:tc>
          <w:tcPr>
            <w:tcW w:w="900" w:type="dxa"/>
            <w:vAlign w:val="center"/>
          </w:tcPr>
          <w:p w:rsidR="002B4D2F" w:rsidRPr="009C774F" w:rsidRDefault="002B4D2F" w:rsidP="003F2303">
            <w:pPr>
              <w:jc w:val="center"/>
              <w:rPr>
                <w:sz w:val="20"/>
              </w:rPr>
            </w:pPr>
            <w:r>
              <w:rPr>
                <w:sz w:val="20"/>
              </w:rPr>
              <w:t>4.0%</w:t>
            </w:r>
          </w:p>
        </w:tc>
        <w:tc>
          <w:tcPr>
            <w:tcW w:w="900" w:type="dxa"/>
            <w:vAlign w:val="center"/>
          </w:tcPr>
          <w:p w:rsidR="002B4D2F" w:rsidRPr="009C774F" w:rsidRDefault="002B4D2F" w:rsidP="003F2303">
            <w:pPr>
              <w:jc w:val="center"/>
              <w:rPr>
                <w:sz w:val="20"/>
              </w:rPr>
            </w:pPr>
            <w:r>
              <w:rPr>
                <w:sz w:val="20"/>
              </w:rPr>
              <w:t>3.6%</w:t>
            </w:r>
          </w:p>
        </w:tc>
        <w:tc>
          <w:tcPr>
            <w:tcW w:w="900" w:type="dxa"/>
            <w:vAlign w:val="center"/>
          </w:tcPr>
          <w:p w:rsidR="002B4D2F" w:rsidRPr="009C774F" w:rsidRDefault="002B4D2F" w:rsidP="003F2303">
            <w:pPr>
              <w:jc w:val="center"/>
              <w:rPr>
                <w:sz w:val="20"/>
              </w:rPr>
            </w:pPr>
            <w:r>
              <w:rPr>
                <w:sz w:val="20"/>
              </w:rPr>
              <w:t>7.4%</w:t>
            </w:r>
          </w:p>
        </w:tc>
        <w:tc>
          <w:tcPr>
            <w:tcW w:w="900" w:type="dxa"/>
            <w:vAlign w:val="center"/>
          </w:tcPr>
          <w:p w:rsidR="002B4D2F" w:rsidRPr="009C774F" w:rsidRDefault="002B4D2F" w:rsidP="003F2303">
            <w:pPr>
              <w:jc w:val="center"/>
              <w:rPr>
                <w:sz w:val="20"/>
              </w:rPr>
            </w:pPr>
            <w:r>
              <w:rPr>
                <w:sz w:val="20"/>
              </w:rPr>
              <w:t>9.5%</w:t>
            </w:r>
          </w:p>
        </w:tc>
      </w:tr>
      <w:tr w:rsidR="002B4D2F" w:rsidRPr="009C774F" w:rsidTr="003F2303">
        <w:trPr>
          <w:trHeight w:val="1010"/>
        </w:trPr>
        <w:tc>
          <w:tcPr>
            <w:tcW w:w="5220" w:type="dxa"/>
            <w:gridSpan w:val="5"/>
            <w:vAlign w:val="center"/>
          </w:tcPr>
          <w:p w:rsidR="002B4D2F" w:rsidRPr="004B313F" w:rsidRDefault="002B4D2F" w:rsidP="003F2303">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6B5994" w:rsidRDefault="006B5994" w:rsidP="004F4264"/>
    <w:p w:rsidR="00BE39EA" w:rsidRDefault="00BE39EA" w:rsidP="00BE39EA">
      <w:r w:rsidRPr="00BE39EA">
        <w:t>In Greater New Orleans, about 4.0 percent of 8</w:t>
      </w:r>
      <w:r w:rsidRPr="00BE39EA">
        <w:rPr>
          <w:vertAlign w:val="superscript"/>
        </w:rPr>
        <w:t>th</w:t>
      </w:r>
      <w:r w:rsidRPr="00BE39EA">
        <w:t xml:space="preserve"> grade students need clinical intervention or treatment services for an alcohol or drug problem, based on the 2012 CCYS survey. Among 10</w:t>
      </w:r>
      <w:r w:rsidRPr="00BE39EA">
        <w:rPr>
          <w:vertAlign w:val="superscript"/>
        </w:rPr>
        <w:t>th</w:t>
      </w:r>
      <w:r w:rsidRPr="00BE39EA">
        <w:t xml:space="preserve"> grade students, </w:t>
      </w:r>
      <w:r>
        <w:t xml:space="preserve">about </w:t>
      </w:r>
      <w:r w:rsidRPr="00BE39EA">
        <w:t xml:space="preserve">7.4 percent need clinical intervention or treatment services, </w:t>
      </w:r>
      <w:r>
        <w:t xml:space="preserve">about </w:t>
      </w:r>
      <w:r w:rsidRPr="00BE39EA">
        <w:t xml:space="preserve">4.2 percent for alcohol and </w:t>
      </w:r>
      <w:r>
        <w:t xml:space="preserve">about </w:t>
      </w:r>
      <w:r w:rsidRPr="00BE39EA">
        <w:t>4.6 percent for other drug problems.</w:t>
      </w:r>
    </w:p>
    <w:p w:rsidR="00BE39EA" w:rsidRDefault="00BE39EA" w:rsidP="00BE39EA"/>
    <w:p w:rsidR="00BE39EA" w:rsidRDefault="00BE39EA" w:rsidP="00BE39EA">
      <w:r>
        <w:t>As suggested above, the fall semester of the 10</w:t>
      </w:r>
      <w:r w:rsidRPr="00B849F1">
        <w:rPr>
          <w:vertAlign w:val="superscript"/>
        </w:rPr>
        <w:t>th</w:t>
      </w:r>
      <w:r>
        <w:t xml:space="preserve"> grade can be considered a developmental midpoint for the adolescent population (ages 12 through 17). Using the 7.4% treatment need prevalence rate for 10</w:t>
      </w:r>
      <w:r w:rsidRPr="009358E6">
        <w:rPr>
          <w:vertAlign w:val="superscript"/>
        </w:rPr>
        <w:t>th</w:t>
      </w:r>
      <w:r>
        <w:t xml:space="preserve"> grade students in Greater New Orleans and applying it to the 2010 U.S. Census population figures yields the following estimates.</w:t>
      </w:r>
    </w:p>
    <w:tbl>
      <w:tblPr>
        <w:tblStyle w:val="TableGrid"/>
        <w:tblpPr w:leftFromText="187" w:rightFromText="187" w:vertAnchor="text" w:horzAnchor="margin" w:tblpXSpec="right" w:tblpY="352"/>
        <w:tblOverlap w:val="never"/>
        <w:tblW w:w="0" w:type="auto"/>
        <w:tblLook w:val="04A0" w:firstRow="1" w:lastRow="0" w:firstColumn="1" w:lastColumn="0" w:noHBand="0" w:noVBand="1"/>
      </w:tblPr>
      <w:tblGrid>
        <w:gridCol w:w="1998"/>
        <w:gridCol w:w="1386"/>
        <w:gridCol w:w="633"/>
        <w:gridCol w:w="1314"/>
      </w:tblGrid>
      <w:tr w:rsidR="002B4D2F" w:rsidRPr="00DE38EF" w:rsidTr="002B4D2F">
        <w:trPr>
          <w:trHeight w:val="796"/>
        </w:trPr>
        <w:tc>
          <w:tcPr>
            <w:tcW w:w="5331" w:type="dxa"/>
            <w:gridSpan w:val="4"/>
            <w:vAlign w:val="center"/>
          </w:tcPr>
          <w:p w:rsidR="002B4D2F" w:rsidRDefault="002B4D2F" w:rsidP="002B4D2F">
            <w:pPr>
              <w:jc w:val="center"/>
              <w:rPr>
                <w:b/>
                <w:sz w:val="20"/>
              </w:rPr>
            </w:pPr>
            <w:r>
              <w:rPr>
                <w:b/>
                <w:sz w:val="20"/>
              </w:rPr>
              <w:lastRenderedPageBreak/>
              <w:t xml:space="preserve">Table 7: Estimated </w:t>
            </w:r>
            <w:r w:rsidRPr="00F21CD7">
              <w:rPr>
                <w:b/>
                <w:sz w:val="20"/>
              </w:rPr>
              <w:t xml:space="preserve">Adolescent Population in Need of </w:t>
            </w:r>
          </w:p>
          <w:p w:rsidR="002B4D2F" w:rsidRDefault="002B4D2F" w:rsidP="002B4D2F">
            <w:pPr>
              <w:jc w:val="center"/>
              <w:rPr>
                <w:b/>
                <w:sz w:val="20"/>
              </w:rPr>
            </w:pPr>
            <w:r w:rsidRPr="00F21CD7">
              <w:rPr>
                <w:b/>
                <w:sz w:val="20"/>
              </w:rPr>
              <w:t>Clinical Intervention or Treatment Services</w:t>
            </w:r>
          </w:p>
          <w:p w:rsidR="002B4D2F" w:rsidRPr="00DE38EF" w:rsidRDefault="002B4D2F" w:rsidP="002B4D2F">
            <w:pPr>
              <w:jc w:val="center"/>
              <w:rPr>
                <w:sz w:val="20"/>
              </w:rPr>
            </w:pPr>
            <w:r>
              <w:rPr>
                <w:b/>
                <w:sz w:val="20"/>
              </w:rPr>
              <w:t xml:space="preserve"> based on the 2012 CCYS Survey</w:t>
            </w:r>
          </w:p>
        </w:tc>
      </w:tr>
      <w:tr w:rsidR="002B4D2F" w:rsidRPr="00DE38EF" w:rsidTr="002B4D2F">
        <w:trPr>
          <w:trHeight w:val="379"/>
        </w:trPr>
        <w:tc>
          <w:tcPr>
            <w:tcW w:w="1998" w:type="dxa"/>
            <w:vMerge w:val="restart"/>
            <w:tcMar>
              <w:left w:w="43" w:type="dxa"/>
              <w:right w:w="43" w:type="dxa"/>
            </w:tcMar>
            <w:vAlign w:val="center"/>
          </w:tcPr>
          <w:p w:rsidR="002B4D2F" w:rsidRPr="00DE38EF" w:rsidRDefault="002B4D2F" w:rsidP="002B4D2F">
            <w:pPr>
              <w:jc w:val="center"/>
              <w:rPr>
                <w:sz w:val="20"/>
              </w:rPr>
            </w:pPr>
          </w:p>
        </w:tc>
        <w:tc>
          <w:tcPr>
            <w:tcW w:w="1386" w:type="dxa"/>
            <w:vMerge w:val="restart"/>
            <w:tcMar>
              <w:left w:w="43" w:type="dxa"/>
              <w:right w:w="43" w:type="dxa"/>
            </w:tcMar>
            <w:vAlign w:val="center"/>
          </w:tcPr>
          <w:p w:rsidR="002B4D2F" w:rsidRPr="00DE38EF" w:rsidRDefault="002B4D2F" w:rsidP="002B4D2F">
            <w:pPr>
              <w:jc w:val="center"/>
              <w:rPr>
                <w:sz w:val="20"/>
              </w:rPr>
            </w:pPr>
            <w:r w:rsidRPr="00DE38EF">
              <w:rPr>
                <w:sz w:val="20"/>
              </w:rPr>
              <w:t xml:space="preserve">2010 </w:t>
            </w:r>
            <w:proofErr w:type="spellStart"/>
            <w:r w:rsidRPr="00DE38EF">
              <w:rPr>
                <w:sz w:val="20"/>
              </w:rPr>
              <w:t>Adoles</w:t>
            </w:r>
            <w:proofErr w:type="spellEnd"/>
            <w:r>
              <w:rPr>
                <w:sz w:val="20"/>
              </w:rPr>
              <w:t>-</w:t>
            </w:r>
            <w:r w:rsidRPr="00DE38EF">
              <w:rPr>
                <w:sz w:val="20"/>
              </w:rPr>
              <w:t>cent Population</w:t>
            </w:r>
          </w:p>
          <w:p w:rsidR="002B4D2F" w:rsidRPr="00DE38EF" w:rsidRDefault="002B4D2F" w:rsidP="002B4D2F">
            <w:pPr>
              <w:jc w:val="center"/>
              <w:rPr>
                <w:sz w:val="20"/>
              </w:rPr>
            </w:pPr>
            <w:r w:rsidRPr="00DE38EF">
              <w:rPr>
                <w:sz w:val="20"/>
              </w:rPr>
              <w:t>(Aged 12-17)</w:t>
            </w:r>
            <w:r w:rsidRPr="00DE38EF">
              <w:rPr>
                <w:sz w:val="20"/>
                <w:vertAlign w:val="superscript"/>
              </w:rPr>
              <w:t>1</w:t>
            </w:r>
          </w:p>
        </w:tc>
        <w:tc>
          <w:tcPr>
            <w:tcW w:w="1947" w:type="dxa"/>
            <w:gridSpan w:val="2"/>
            <w:tcMar>
              <w:left w:w="43" w:type="dxa"/>
              <w:right w:w="43" w:type="dxa"/>
            </w:tcMar>
            <w:vAlign w:val="center"/>
          </w:tcPr>
          <w:p w:rsidR="002B4D2F" w:rsidRPr="00DE38EF" w:rsidRDefault="002B4D2F" w:rsidP="002B4D2F">
            <w:pPr>
              <w:jc w:val="center"/>
              <w:rPr>
                <w:sz w:val="20"/>
              </w:rPr>
            </w:pPr>
            <w:r w:rsidRPr="00DE38EF">
              <w:rPr>
                <w:sz w:val="20"/>
              </w:rPr>
              <w:t>Treatment Need</w:t>
            </w:r>
          </w:p>
        </w:tc>
      </w:tr>
      <w:tr w:rsidR="002B4D2F" w:rsidRPr="00DE38EF" w:rsidTr="002B4D2F">
        <w:trPr>
          <w:trHeight w:val="409"/>
        </w:trPr>
        <w:tc>
          <w:tcPr>
            <w:tcW w:w="1998" w:type="dxa"/>
            <w:vMerge/>
            <w:tcMar>
              <w:left w:w="43" w:type="dxa"/>
              <w:right w:w="43" w:type="dxa"/>
            </w:tcMar>
            <w:vAlign w:val="center"/>
          </w:tcPr>
          <w:p w:rsidR="002B4D2F" w:rsidRPr="00DE38EF" w:rsidRDefault="002B4D2F" w:rsidP="002B4D2F">
            <w:pPr>
              <w:jc w:val="center"/>
              <w:rPr>
                <w:sz w:val="20"/>
              </w:rPr>
            </w:pPr>
          </w:p>
        </w:tc>
        <w:tc>
          <w:tcPr>
            <w:tcW w:w="1386" w:type="dxa"/>
            <w:vMerge/>
            <w:tcMar>
              <w:left w:w="43" w:type="dxa"/>
              <w:right w:w="43" w:type="dxa"/>
            </w:tcMar>
            <w:vAlign w:val="center"/>
          </w:tcPr>
          <w:p w:rsidR="002B4D2F" w:rsidRPr="00DE38EF" w:rsidRDefault="002B4D2F" w:rsidP="002B4D2F">
            <w:pPr>
              <w:jc w:val="center"/>
              <w:rPr>
                <w:sz w:val="20"/>
              </w:rPr>
            </w:pPr>
          </w:p>
        </w:tc>
        <w:tc>
          <w:tcPr>
            <w:tcW w:w="633" w:type="dxa"/>
            <w:tcMar>
              <w:left w:w="43" w:type="dxa"/>
              <w:right w:w="43" w:type="dxa"/>
            </w:tcMar>
            <w:vAlign w:val="center"/>
          </w:tcPr>
          <w:p w:rsidR="002B4D2F" w:rsidRPr="00DE38EF" w:rsidRDefault="002B4D2F" w:rsidP="002B4D2F">
            <w:pPr>
              <w:jc w:val="center"/>
              <w:rPr>
                <w:sz w:val="20"/>
              </w:rPr>
            </w:pPr>
            <w:r w:rsidRPr="00DE38EF">
              <w:rPr>
                <w:sz w:val="20"/>
              </w:rPr>
              <w:t>Rate</w:t>
            </w:r>
          </w:p>
        </w:tc>
        <w:tc>
          <w:tcPr>
            <w:tcW w:w="1314" w:type="dxa"/>
            <w:tcMar>
              <w:left w:w="43" w:type="dxa"/>
              <w:right w:w="43" w:type="dxa"/>
            </w:tcMar>
            <w:vAlign w:val="center"/>
          </w:tcPr>
          <w:p w:rsidR="002B4D2F" w:rsidRPr="00DE38EF" w:rsidRDefault="002B4D2F" w:rsidP="002B4D2F">
            <w:pPr>
              <w:jc w:val="center"/>
              <w:rPr>
                <w:sz w:val="20"/>
              </w:rPr>
            </w:pPr>
            <w:r w:rsidRPr="00DE38EF">
              <w:rPr>
                <w:sz w:val="20"/>
              </w:rPr>
              <w:t>Number</w:t>
            </w:r>
          </w:p>
        </w:tc>
      </w:tr>
      <w:tr w:rsidR="002B4D2F" w:rsidRPr="00DE38EF" w:rsidTr="002B4D2F">
        <w:trPr>
          <w:trHeight w:val="300"/>
        </w:trPr>
        <w:tc>
          <w:tcPr>
            <w:tcW w:w="1998" w:type="dxa"/>
            <w:vAlign w:val="center"/>
          </w:tcPr>
          <w:p w:rsidR="002B4D2F" w:rsidRPr="00DE38EF" w:rsidRDefault="002B4D2F" w:rsidP="002B4D2F">
            <w:pPr>
              <w:rPr>
                <w:sz w:val="20"/>
              </w:rPr>
            </w:pPr>
            <w:r w:rsidRPr="00DE38EF">
              <w:rPr>
                <w:sz w:val="20"/>
              </w:rPr>
              <w:t>Orleans Parish</w:t>
            </w:r>
          </w:p>
        </w:tc>
        <w:tc>
          <w:tcPr>
            <w:tcW w:w="1386" w:type="dxa"/>
            <w:vAlign w:val="center"/>
          </w:tcPr>
          <w:p w:rsidR="002B4D2F" w:rsidRPr="00DE38EF" w:rsidRDefault="002B4D2F" w:rsidP="002B4D2F">
            <w:pPr>
              <w:jc w:val="center"/>
              <w:rPr>
                <w:color w:val="000000"/>
                <w:sz w:val="20"/>
              </w:rPr>
            </w:pPr>
            <w:r w:rsidRPr="00DE38EF">
              <w:rPr>
                <w:color w:val="000000"/>
                <w:sz w:val="20"/>
              </w:rPr>
              <w:t>23,848</w:t>
            </w:r>
          </w:p>
        </w:tc>
        <w:tc>
          <w:tcPr>
            <w:tcW w:w="633" w:type="dxa"/>
            <w:vAlign w:val="center"/>
          </w:tcPr>
          <w:p w:rsidR="002B4D2F" w:rsidRPr="00DE38EF" w:rsidRDefault="002B4D2F" w:rsidP="002B4D2F">
            <w:pPr>
              <w:jc w:val="center"/>
              <w:rPr>
                <w:sz w:val="20"/>
              </w:rPr>
            </w:pPr>
            <w:r w:rsidRPr="00DE38EF">
              <w:rPr>
                <w:sz w:val="20"/>
              </w:rPr>
              <w:t>7.4%</w:t>
            </w:r>
          </w:p>
        </w:tc>
        <w:tc>
          <w:tcPr>
            <w:tcW w:w="1314" w:type="dxa"/>
            <w:vAlign w:val="center"/>
          </w:tcPr>
          <w:p w:rsidR="002B4D2F" w:rsidRDefault="002B4D2F" w:rsidP="002B4D2F">
            <w:pPr>
              <w:jc w:val="center"/>
              <w:rPr>
                <w:color w:val="000000"/>
                <w:sz w:val="20"/>
              </w:rPr>
            </w:pPr>
            <w:r>
              <w:rPr>
                <w:color w:val="000000"/>
                <w:sz w:val="20"/>
              </w:rPr>
              <w:t>1,765</w:t>
            </w:r>
          </w:p>
        </w:tc>
      </w:tr>
      <w:tr w:rsidR="002B4D2F" w:rsidRPr="00DE38EF" w:rsidTr="002B4D2F">
        <w:trPr>
          <w:trHeight w:val="300"/>
        </w:trPr>
        <w:tc>
          <w:tcPr>
            <w:tcW w:w="1998" w:type="dxa"/>
            <w:vAlign w:val="center"/>
          </w:tcPr>
          <w:p w:rsidR="002B4D2F" w:rsidRPr="00DE38EF" w:rsidRDefault="002B4D2F" w:rsidP="002B4D2F">
            <w:pPr>
              <w:rPr>
                <w:sz w:val="20"/>
              </w:rPr>
            </w:pPr>
            <w:r w:rsidRPr="00DE38EF">
              <w:rPr>
                <w:sz w:val="20"/>
              </w:rPr>
              <w:t>Jefferson Parish</w:t>
            </w:r>
          </w:p>
        </w:tc>
        <w:tc>
          <w:tcPr>
            <w:tcW w:w="1386" w:type="dxa"/>
            <w:vAlign w:val="center"/>
          </w:tcPr>
          <w:p w:rsidR="002B4D2F" w:rsidRPr="00DE38EF" w:rsidRDefault="002B4D2F" w:rsidP="002B4D2F">
            <w:pPr>
              <w:jc w:val="center"/>
              <w:rPr>
                <w:color w:val="000000"/>
                <w:sz w:val="20"/>
              </w:rPr>
            </w:pPr>
            <w:r w:rsidRPr="00DE38EF">
              <w:rPr>
                <w:color w:val="000000"/>
                <w:sz w:val="20"/>
              </w:rPr>
              <w:t>32,094</w:t>
            </w:r>
          </w:p>
        </w:tc>
        <w:tc>
          <w:tcPr>
            <w:tcW w:w="633" w:type="dxa"/>
            <w:vAlign w:val="center"/>
          </w:tcPr>
          <w:p w:rsidR="002B4D2F" w:rsidRPr="00DE38EF" w:rsidRDefault="002B4D2F" w:rsidP="002B4D2F">
            <w:pPr>
              <w:jc w:val="center"/>
              <w:rPr>
                <w:sz w:val="20"/>
              </w:rPr>
            </w:pPr>
            <w:r w:rsidRPr="00DE38EF">
              <w:rPr>
                <w:sz w:val="20"/>
              </w:rPr>
              <w:t>7.4%</w:t>
            </w:r>
          </w:p>
        </w:tc>
        <w:tc>
          <w:tcPr>
            <w:tcW w:w="1314" w:type="dxa"/>
            <w:vAlign w:val="center"/>
          </w:tcPr>
          <w:p w:rsidR="002B4D2F" w:rsidRDefault="002B4D2F" w:rsidP="002B4D2F">
            <w:pPr>
              <w:jc w:val="center"/>
              <w:rPr>
                <w:color w:val="000000"/>
                <w:sz w:val="20"/>
              </w:rPr>
            </w:pPr>
            <w:r>
              <w:rPr>
                <w:color w:val="000000"/>
                <w:sz w:val="20"/>
              </w:rPr>
              <w:t>2,375</w:t>
            </w:r>
          </w:p>
        </w:tc>
      </w:tr>
      <w:tr w:rsidR="002B4D2F" w:rsidRPr="00DE38EF" w:rsidTr="002B4D2F">
        <w:trPr>
          <w:trHeight w:val="300"/>
        </w:trPr>
        <w:tc>
          <w:tcPr>
            <w:tcW w:w="1998" w:type="dxa"/>
            <w:vAlign w:val="center"/>
          </w:tcPr>
          <w:p w:rsidR="002B4D2F" w:rsidRPr="00DE38EF" w:rsidRDefault="002B4D2F" w:rsidP="002B4D2F">
            <w:pPr>
              <w:rPr>
                <w:sz w:val="20"/>
              </w:rPr>
            </w:pPr>
            <w:r w:rsidRPr="00DE38EF">
              <w:rPr>
                <w:sz w:val="20"/>
              </w:rPr>
              <w:t>Plaquemines Parish</w:t>
            </w:r>
          </w:p>
        </w:tc>
        <w:tc>
          <w:tcPr>
            <w:tcW w:w="1386" w:type="dxa"/>
            <w:vAlign w:val="center"/>
          </w:tcPr>
          <w:p w:rsidR="002B4D2F" w:rsidRPr="00DE38EF" w:rsidRDefault="002B4D2F" w:rsidP="002B4D2F">
            <w:pPr>
              <w:jc w:val="center"/>
              <w:rPr>
                <w:color w:val="000000"/>
                <w:sz w:val="20"/>
              </w:rPr>
            </w:pPr>
            <w:r w:rsidRPr="00DE38EF">
              <w:rPr>
                <w:color w:val="000000"/>
                <w:sz w:val="20"/>
              </w:rPr>
              <w:t>2,206</w:t>
            </w:r>
          </w:p>
        </w:tc>
        <w:tc>
          <w:tcPr>
            <w:tcW w:w="633" w:type="dxa"/>
            <w:vAlign w:val="center"/>
          </w:tcPr>
          <w:p w:rsidR="002B4D2F" w:rsidRPr="00DE38EF" w:rsidRDefault="002B4D2F" w:rsidP="002B4D2F">
            <w:pPr>
              <w:jc w:val="center"/>
              <w:rPr>
                <w:sz w:val="20"/>
              </w:rPr>
            </w:pPr>
            <w:r w:rsidRPr="00DE38EF">
              <w:rPr>
                <w:sz w:val="20"/>
              </w:rPr>
              <w:t>7.4%</w:t>
            </w:r>
          </w:p>
        </w:tc>
        <w:tc>
          <w:tcPr>
            <w:tcW w:w="1314" w:type="dxa"/>
            <w:vAlign w:val="center"/>
          </w:tcPr>
          <w:p w:rsidR="002B4D2F" w:rsidRDefault="002B4D2F" w:rsidP="002B4D2F">
            <w:pPr>
              <w:jc w:val="center"/>
              <w:rPr>
                <w:color w:val="000000"/>
                <w:sz w:val="20"/>
              </w:rPr>
            </w:pPr>
            <w:r>
              <w:rPr>
                <w:color w:val="000000"/>
                <w:sz w:val="20"/>
              </w:rPr>
              <w:t>163</w:t>
            </w:r>
          </w:p>
        </w:tc>
      </w:tr>
      <w:tr w:rsidR="002B4D2F" w:rsidRPr="00DE38EF" w:rsidTr="002B4D2F">
        <w:trPr>
          <w:trHeight w:val="300"/>
        </w:trPr>
        <w:tc>
          <w:tcPr>
            <w:tcW w:w="1998" w:type="dxa"/>
            <w:vAlign w:val="center"/>
          </w:tcPr>
          <w:p w:rsidR="002B4D2F" w:rsidRPr="00DE38EF" w:rsidRDefault="002B4D2F" w:rsidP="002B4D2F">
            <w:pPr>
              <w:rPr>
                <w:sz w:val="20"/>
              </w:rPr>
            </w:pPr>
            <w:r w:rsidRPr="00DE38EF">
              <w:rPr>
                <w:sz w:val="20"/>
              </w:rPr>
              <w:t>St. Bernard Parish</w:t>
            </w:r>
          </w:p>
        </w:tc>
        <w:tc>
          <w:tcPr>
            <w:tcW w:w="1386" w:type="dxa"/>
            <w:vAlign w:val="center"/>
          </w:tcPr>
          <w:p w:rsidR="002B4D2F" w:rsidRPr="00DE38EF" w:rsidRDefault="002B4D2F" w:rsidP="002B4D2F">
            <w:pPr>
              <w:jc w:val="center"/>
              <w:rPr>
                <w:color w:val="000000"/>
                <w:sz w:val="20"/>
              </w:rPr>
            </w:pPr>
            <w:r w:rsidRPr="00DE38EF">
              <w:rPr>
                <w:color w:val="000000"/>
                <w:sz w:val="20"/>
              </w:rPr>
              <w:t>2,946</w:t>
            </w:r>
          </w:p>
        </w:tc>
        <w:tc>
          <w:tcPr>
            <w:tcW w:w="633" w:type="dxa"/>
            <w:vAlign w:val="center"/>
          </w:tcPr>
          <w:p w:rsidR="002B4D2F" w:rsidRPr="00DE38EF" w:rsidRDefault="002B4D2F" w:rsidP="002B4D2F">
            <w:pPr>
              <w:jc w:val="center"/>
              <w:rPr>
                <w:sz w:val="20"/>
              </w:rPr>
            </w:pPr>
            <w:r w:rsidRPr="00DE38EF">
              <w:rPr>
                <w:sz w:val="20"/>
              </w:rPr>
              <w:t>7.4%</w:t>
            </w:r>
          </w:p>
        </w:tc>
        <w:tc>
          <w:tcPr>
            <w:tcW w:w="1314" w:type="dxa"/>
            <w:vAlign w:val="center"/>
          </w:tcPr>
          <w:p w:rsidR="002B4D2F" w:rsidRDefault="002B4D2F" w:rsidP="002B4D2F">
            <w:pPr>
              <w:jc w:val="center"/>
              <w:rPr>
                <w:color w:val="000000"/>
                <w:sz w:val="20"/>
              </w:rPr>
            </w:pPr>
            <w:r>
              <w:rPr>
                <w:color w:val="000000"/>
                <w:sz w:val="20"/>
              </w:rPr>
              <w:t>218</w:t>
            </w:r>
          </w:p>
        </w:tc>
      </w:tr>
      <w:tr w:rsidR="002B4D2F" w:rsidRPr="00DE38EF" w:rsidTr="002B4D2F">
        <w:trPr>
          <w:trHeight w:val="300"/>
        </w:trPr>
        <w:tc>
          <w:tcPr>
            <w:tcW w:w="1998" w:type="dxa"/>
            <w:vAlign w:val="center"/>
          </w:tcPr>
          <w:p w:rsidR="002B4D2F" w:rsidRPr="00DE38EF" w:rsidRDefault="002B4D2F" w:rsidP="002B4D2F">
            <w:pPr>
              <w:rPr>
                <w:bCs/>
                <w:sz w:val="20"/>
              </w:rPr>
            </w:pPr>
            <w:r w:rsidRPr="00DE38EF">
              <w:rPr>
                <w:bCs/>
                <w:sz w:val="20"/>
              </w:rPr>
              <w:t>Greater New Orleans</w:t>
            </w:r>
          </w:p>
        </w:tc>
        <w:tc>
          <w:tcPr>
            <w:tcW w:w="1386" w:type="dxa"/>
            <w:vAlign w:val="center"/>
          </w:tcPr>
          <w:p w:rsidR="002B4D2F" w:rsidRPr="00DE38EF" w:rsidRDefault="002B4D2F" w:rsidP="002B4D2F">
            <w:pPr>
              <w:jc w:val="center"/>
              <w:rPr>
                <w:color w:val="000000"/>
                <w:sz w:val="20"/>
              </w:rPr>
            </w:pPr>
            <w:r w:rsidRPr="00DE38EF">
              <w:rPr>
                <w:color w:val="000000"/>
                <w:sz w:val="20"/>
              </w:rPr>
              <w:t>61,094</w:t>
            </w:r>
          </w:p>
        </w:tc>
        <w:tc>
          <w:tcPr>
            <w:tcW w:w="633" w:type="dxa"/>
            <w:vAlign w:val="center"/>
          </w:tcPr>
          <w:p w:rsidR="002B4D2F" w:rsidRPr="00DE38EF" w:rsidRDefault="002B4D2F" w:rsidP="002B4D2F">
            <w:pPr>
              <w:jc w:val="center"/>
              <w:rPr>
                <w:sz w:val="20"/>
              </w:rPr>
            </w:pPr>
            <w:r w:rsidRPr="00DE38EF">
              <w:rPr>
                <w:sz w:val="20"/>
              </w:rPr>
              <w:t>7.4%</w:t>
            </w:r>
          </w:p>
        </w:tc>
        <w:tc>
          <w:tcPr>
            <w:tcW w:w="1314" w:type="dxa"/>
            <w:vAlign w:val="center"/>
          </w:tcPr>
          <w:p w:rsidR="002B4D2F" w:rsidRDefault="002B4D2F" w:rsidP="002B4D2F">
            <w:pPr>
              <w:jc w:val="center"/>
              <w:rPr>
                <w:color w:val="000000"/>
                <w:sz w:val="20"/>
              </w:rPr>
            </w:pPr>
            <w:r>
              <w:rPr>
                <w:color w:val="000000"/>
                <w:sz w:val="20"/>
              </w:rPr>
              <w:t>4,521</w:t>
            </w:r>
          </w:p>
        </w:tc>
      </w:tr>
      <w:tr w:rsidR="002B4D2F" w:rsidRPr="00DE38EF" w:rsidTr="002B4D2F">
        <w:trPr>
          <w:trHeight w:val="517"/>
        </w:trPr>
        <w:tc>
          <w:tcPr>
            <w:tcW w:w="5331" w:type="dxa"/>
            <w:gridSpan w:val="4"/>
            <w:vAlign w:val="center"/>
          </w:tcPr>
          <w:p w:rsidR="002B4D2F" w:rsidRPr="00DE38EF" w:rsidRDefault="002B4D2F" w:rsidP="002B4D2F">
            <w:pPr>
              <w:rPr>
                <w:sz w:val="18"/>
                <w:szCs w:val="18"/>
              </w:rPr>
            </w:pPr>
            <w:r w:rsidRPr="00DE38EF">
              <w:rPr>
                <w:sz w:val="18"/>
                <w:szCs w:val="18"/>
                <w:vertAlign w:val="superscript"/>
              </w:rPr>
              <w:t>1</w:t>
            </w:r>
            <w:r w:rsidRPr="00DE38EF">
              <w:rPr>
                <w:sz w:val="18"/>
                <w:szCs w:val="18"/>
              </w:rPr>
              <w:t>U.S. Census Bureau, 2010 Census and Census 2000, released September 2011.</w:t>
            </w:r>
          </w:p>
        </w:tc>
      </w:tr>
    </w:tbl>
    <w:p w:rsidR="00BE39EA" w:rsidRDefault="00BE39EA" w:rsidP="00BE39EA"/>
    <w:p w:rsidR="00BE39EA" w:rsidRDefault="00BE39EA" w:rsidP="00BE39EA">
      <w:r>
        <w:t>An estimated total of 4,521 adolescents (ages 12-17) in Greater New Orleans are in need of clinical intervention and/or treatment services for an alcohol or drug problem, including 1,765 in Orleans Parish, 2,375 in Jefferson Parish, 163 in Plaquemines, and 218 in St. Bernard Parish.</w:t>
      </w:r>
    </w:p>
    <w:p w:rsidR="006B5994" w:rsidRDefault="006B5994" w:rsidP="004F4264"/>
    <w:p w:rsidR="006B5994" w:rsidRDefault="006B5994" w:rsidP="004F4264"/>
    <w:p w:rsidR="00023F81" w:rsidRDefault="00023F81" w:rsidP="004F4264"/>
    <w:p w:rsidR="002B4D2F" w:rsidRDefault="002B4D2F" w:rsidP="004F4264"/>
    <w:p w:rsidR="008D699F" w:rsidRDefault="008D699F" w:rsidP="004F4264">
      <w:pPr>
        <w:rPr>
          <w:b/>
        </w:rPr>
      </w:pPr>
    </w:p>
    <w:p w:rsidR="008D699F" w:rsidRDefault="008D699F" w:rsidP="004F4264">
      <w:pPr>
        <w:rPr>
          <w:b/>
        </w:rPr>
      </w:pPr>
    </w:p>
    <w:p w:rsidR="00373396" w:rsidRDefault="00373396" w:rsidP="004F4264">
      <w:pPr>
        <w:rPr>
          <w:b/>
        </w:rPr>
      </w:pPr>
    </w:p>
    <w:p w:rsidR="006B5994" w:rsidRPr="00226FBE" w:rsidRDefault="00226FBE" w:rsidP="004F4264">
      <w:pPr>
        <w:rPr>
          <w:b/>
        </w:rPr>
      </w:pPr>
      <w:r w:rsidRPr="00226FBE">
        <w:rPr>
          <w:b/>
        </w:rPr>
        <w:t xml:space="preserve">Consequences </w:t>
      </w:r>
      <w:r>
        <w:rPr>
          <w:b/>
        </w:rPr>
        <w:t xml:space="preserve">-- Legal </w:t>
      </w:r>
      <w:r w:rsidR="00D342CF">
        <w:rPr>
          <w:b/>
        </w:rPr>
        <w:t>and Educational</w:t>
      </w:r>
    </w:p>
    <w:p w:rsidR="00226FBE" w:rsidRDefault="00226FBE" w:rsidP="004F4264"/>
    <w:p w:rsidR="00226FBE" w:rsidRDefault="00D342CF" w:rsidP="004F4264">
      <w:r>
        <w:t>The CCYS includes many questions about behaviors and experiences known to be closely associated with substance use, such as those concerning emotional problems, poor academic performance and violence</w:t>
      </w:r>
      <w:r w:rsidR="00526DB0">
        <w:t>.</w:t>
      </w:r>
      <w:r>
        <w:t xml:space="preserve"> However, in general, the CCYS </w:t>
      </w:r>
      <w:r w:rsidR="0000471F">
        <w:t>presents</w:t>
      </w:r>
      <w:r>
        <w:t xml:space="preserve"> these</w:t>
      </w:r>
      <w:r w:rsidR="00543586">
        <w:t xml:space="preserve"> items</w:t>
      </w:r>
      <w:r>
        <w:t xml:space="preserve"> independently and does not</w:t>
      </w:r>
      <w:r w:rsidR="0000471F">
        <w:t xml:space="preserve"> ask the student to attribute them to, or associate them with, substance use. However some behaviors and experiences by their nature are direct consequences of substance use.</w:t>
      </w:r>
    </w:p>
    <w:p w:rsidR="00DE2F3C" w:rsidRDefault="00DE2F3C" w:rsidP="004F4264"/>
    <w:p w:rsidR="008D699F" w:rsidRPr="00B8754B" w:rsidRDefault="00B8754B" w:rsidP="004F4264">
      <w:pPr>
        <w:rPr>
          <w:u w:val="single"/>
        </w:rPr>
      </w:pPr>
      <w:r w:rsidRPr="00B8754B">
        <w:rPr>
          <w:u w:val="single"/>
        </w:rPr>
        <w:t>Legal Consequences</w:t>
      </w:r>
    </w:p>
    <w:tbl>
      <w:tblPr>
        <w:tblStyle w:val="TableGrid"/>
        <w:tblpPr w:leftFromText="187" w:rightFromText="187" w:vertAnchor="text" w:horzAnchor="margin" w:tblpXSpec="right" w:tblpY="101"/>
        <w:tblOverlap w:val="never"/>
        <w:tblW w:w="0" w:type="auto"/>
        <w:tblLayout w:type="fixed"/>
        <w:tblLook w:val="04A0" w:firstRow="1" w:lastRow="0" w:firstColumn="1" w:lastColumn="0" w:noHBand="0" w:noVBand="1"/>
      </w:tblPr>
      <w:tblGrid>
        <w:gridCol w:w="1620"/>
        <w:gridCol w:w="900"/>
        <w:gridCol w:w="900"/>
        <w:gridCol w:w="900"/>
        <w:gridCol w:w="900"/>
      </w:tblGrid>
      <w:tr w:rsidR="008D699F" w:rsidRPr="009C774F" w:rsidTr="00CF5AA4">
        <w:trPr>
          <w:trHeight w:val="980"/>
        </w:trPr>
        <w:tc>
          <w:tcPr>
            <w:tcW w:w="5220" w:type="dxa"/>
            <w:gridSpan w:val="5"/>
            <w:vAlign w:val="center"/>
          </w:tcPr>
          <w:p w:rsidR="008D699F" w:rsidRDefault="008D699F" w:rsidP="00CF5AA4">
            <w:pPr>
              <w:jc w:val="center"/>
              <w:rPr>
                <w:b/>
                <w:sz w:val="20"/>
              </w:rPr>
            </w:pPr>
            <w:r>
              <w:rPr>
                <w:b/>
                <w:sz w:val="20"/>
              </w:rPr>
              <w:t xml:space="preserve">Table 8: Legal Consequences of Substance Use </w:t>
            </w:r>
            <w:r w:rsidRPr="000B6FF1">
              <w:rPr>
                <w:b/>
                <w:sz w:val="20"/>
              </w:rPr>
              <w:t xml:space="preserve"> </w:t>
            </w:r>
          </w:p>
          <w:p w:rsidR="008D699F" w:rsidRDefault="008D699F" w:rsidP="00CF5AA4">
            <w:pPr>
              <w:jc w:val="center"/>
              <w:rPr>
                <w:b/>
                <w:sz w:val="20"/>
              </w:rPr>
            </w:pPr>
            <w:r w:rsidRPr="000B6FF1">
              <w:rPr>
                <w:b/>
                <w:sz w:val="20"/>
              </w:rPr>
              <w:t xml:space="preserve">Among </w:t>
            </w:r>
            <w:r>
              <w:rPr>
                <w:b/>
                <w:sz w:val="20"/>
              </w:rPr>
              <w:t>10</w:t>
            </w:r>
            <w:r w:rsidRPr="000B6FF1">
              <w:rPr>
                <w:b/>
                <w:sz w:val="20"/>
                <w:vertAlign w:val="superscript"/>
              </w:rPr>
              <w:t>th</w:t>
            </w:r>
            <w:r w:rsidRPr="000B6FF1">
              <w:rPr>
                <w:b/>
                <w:sz w:val="20"/>
              </w:rPr>
              <w:t xml:space="preserve"> and 1</w:t>
            </w:r>
            <w:r>
              <w:rPr>
                <w:b/>
                <w:sz w:val="20"/>
              </w:rPr>
              <w:t>2</w:t>
            </w:r>
            <w:r w:rsidRPr="000B6FF1">
              <w:rPr>
                <w:b/>
                <w:sz w:val="20"/>
                <w:vertAlign w:val="superscript"/>
              </w:rPr>
              <w:t>th</w:t>
            </w:r>
            <w:r w:rsidRPr="000B6FF1">
              <w:rPr>
                <w:b/>
                <w:sz w:val="20"/>
              </w:rPr>
              <w:t xml:space="preserve"> grade </w:t>
            </w:r>
            <w:r>
              <w:rPr>
                <w:b/>
                <w:sz w:val="20"/>
              </w:rPr>
              <w:t>S</w:t>
            </w:r>
            <w:r w:rsidRPr="000B6FF1">
              <w:rPr>
                <w:b/>
                <w:sz w:val="20"/>
              </w:rPr>
              <w:t xml:space="preserve">tudents in </w:t>
            </w:r>
          </w:p>
          <w:p w:rsidR="008D699F" w:rsidRDefault="008D699F" w:rsidP="00CF5AA4">
            <w:pPr>
              <w:jc w:val="center"/>
              <w:rPr>
                <w:b/>
                <w:sz w:val="20"/>
              </w:rPr>
            </w:pPr>
            <w:r w:rsidRPr="000B6FF1">
              <w:rPr>
                <w:b/>
                <w:sz w:val="20"/>
              </w:rPr>
              <w:t>Greater New Orleans (GNO)* based on</w:t>
            </w:r>
            <w:r>
              <w:rPr>
                <w:b/>
                <w:sz w:val="20"/>
              </w:rPr>
              <w:t xml:space="preserve"> </w:t>
            </w:r>
          </w:p>
          <w:p w:rsidR="008D699F" w:rsidRPr="009C774F" w:rsidRDefault="008D699F" w:rsidP="00CF5AA4">
            <w:pPr>
              <w:jc w:val="center"/>
              <w:rPr>
                <w:sz w:val="20"/>
              </w:rPr>
            </w:pPr>
            <w:r>
              <w:rPr>
                <w:b/>
                <w:sz w:val="20"/>
              </w:rPr>
              <w:t>the Caring Communities Y</w:t>
            </w:r>
            <w:r w:rsidRPr="000B6FF1">
              <w:rPr>
                <w:b/>
                <w:sz w:val="20"/>
              </w:rPr>
              <w:t>outh Survey</w:t>
            </w:r>
          </w:p>
        </w:tc>
      </w:tr>
      <w:tr w:rsidR="008D699F" w:rsidRPr="009C774F" w:rsidTr="00CF5AA4">
        <w:trPr>
          <w:trHeight w:val="259"/>
        </w:trPr>
        <w:tc>
          <w:tcPr>
            <w:tcW w:w="1620" w:type="dxa"/>
            <w:vMerge w:val="restart"/>
            <w:vAlign w:val="center"/>
          </w:tcPr>
          <w:p w:rsidR="008D699F" w:rsidRPr="009C774F" w:rsidRDefault="008D699F" w:rsidP="00CF5AA4">
            <w:pPr>
              <w:jc w:val="center"/>
              <w:rPr>
                <w:sz w:val="20"/>
              </w:rPr>
            </w:pPr>
            <w:r>
              <w:rPr>
                <w:b/>
                <w:sz w:val="20"/>
              </w:rPr>
              <w:t>Legal Consequences</w:t>
            </w:r>
          </w:p>
        </w:tc>
        <w:tc>
          <w:tcPr>
            <w:tcW w:w="3600" w:type="dxa"/>
            <w:gridSpan w:val="4"/>
            <w:vAlign w:val="center"/>
          </w:tcPr>
          <w:p w:rsidR="008D699F" w:rsidRPr="009C774F" w:rsidRDefault="008D699F" w:rsidP="00CF5AA4">
            <w:pPr>
              <w:jc w:val="center"/>
              <w:rPr>
                <w:sz w:val="20"/>
              </w:rPr>
            </w:pPr>
            <w:r>
              <w:rPr>
                <w:sz w:val="20"/>
              </w:rPr>
              <w:t>2012 Estimates</w:t>
            </w:r>
          </w:p>
        </w:tc>
      </w:tr>
      <w:tr w:rsidR="008D699F" w:rsidRPr="009C774F" w:rsidTr="00CF5AA4">
        <w:trPr>
          <w:trHeight w:val="268"/>
        </w:trPr>
        <w:tc>
          <w:tcPr>
            <w:tcW w:w="1620" w:type="dxa"/>
            <w:vMerge/>
            <w:vAlign w:val="center"/>
          </w:tcPr>
          <w:p w:rsidR="008D699F" w:rsidRPr="009C774F" w:rsidRDefault="008D699F" w:rsidP="00CF5AA4">
            <w:pPr>
              <w:jc w:val="center"/>
              <w:rPr>
                <w:sz w:val="20"/>
              </w:rPr>
            </w:pPr>
          </w:p>
        </w:tc>
        <w:tc>
          <w:tcPr>
            <w:tcW w:w="1800" w:type="dxa"/>
            <w:gridSpan w:val="2"/>
            <w:tcMar>
              <w:left w:w="43" w:type="dxa"/>
              <w:right w:w="43" w:type="dxa"/>
            </w:tcMar>
            <w:vAlign w:val="center"/>
          </w:tcPr>
          <w:p w:rsidR="008D699F" w:rsidRPr="0051731B" w:rsidRDefault="008D699F" w:rsidP="00CF5AA4">
            <w:pPr>
              <w:jc w:val="center"/>
              <w:rPr>
                <w:b/>
                <w:sz w:val="20"/>
              </w:rPr>
            </w:pPr>
            <w:r w:rsidRPr="0051731B">
              <w:rPr>
                <w:b/>
                <w:sz w:val="20"/>
                <w:highlight w:val="yellow"/>
              </w:rPr>
              <w:t>10</w:t>
            </w:r>
            <w:r w:rsidRPr="0051731B">
              <w:rPr>
                <w:b/>
                <w:sz w:val="20"/>
                <w:highlight w:val="yellow"/>
                <w:vertAlign w:val="superscript"/>
              </w:rPr>
              <w:t>th</w:t>
            </w:r>
            <w:r w:rsidRPr="0051731B">
              <w:rPr>
                <w:b/>
                <w:sz w:val="20"/>
                <w:highlight w:val="yellow"/>
              </w:rPr>
              <w:t xml:space="preserve"> Grade</w:t>
            </w:r>
          </w:p>
        </w:tc>
        <w:tc>
          <w:tcPr>
            <w:tcW w:w="1800" w:type="dxa"/>
            <w:gridSpan w:val="2"/>
            <w:tcMar>
              <w:left w:w="43" w:type="dxa"/>
              <w:right w:w="43" w:type="dxa"/>
            </w:tcMar>
            <w:vAlign w:val="center"/>
          </w:tcPr>
          <w:p w:rsidR="008D699F" w:rsidRPr="000C23A6" w:rsidRDefault="008D699F" w:rsidP="00CF5AA4">
            <w:pPr>
              <w:jc w:val="center"/>
              <w:rPr>
                <w:b/>
                <w:sz w:val="20"/>
              </w:rPr>
            </w:pPr>
            <w:r w:rsidRPr="000C23A6">
              <w:rPr>
                <w:b/>
                <w:sz w:val="20"/>
                <w:highlight w:val="yellow"/>
              </w:rPr>
              <w:t>12</w:t>
            </w:r>
            <w:r w:rsidRPr="000C23A6">
              <w:rPr>
                <w:b/>
                <w:sz w:val="20"/>
                <w:highlight w:val="yellow"/>
                <w:vertAlign w:val="superscript"/>
              </w:rPr>
              <w:t>th</w:t>
            </w:r>
            <w:r w:rsidRPr="000C23A6">
              <w:rPr>
                <w:b/>
                <w:sz w:val="20"/>
                <w:highlight w:val="yellow"/>
              </w:rPr>
              <w:t xml:space="preserve"> Grade</w:t>
            </w:r>
          </w:p>
        </w:tc>
      </w:tr>
      <w:tr w:rsidR="008D699F" w:rsidRPr="009C774F" w:rsidTr="00CF5AA4">
        <w:trPr>
          <w:trHeight w:val="522"/>
        </w:trPr>
        <w:tc>
          <w:tcPr>
            <w:tcW w:w="1620" w:type="dxa"/>
            <w:vMerge/>
            <w:vAlign w:val="center"/>
          </w:tcPr>
          <w:p w:rsidR="008D699F" w:rsidRDefault="008D699F" w:rsidP="00CF5AA4">
            <w:pPr>
              <w:rPr>
                <w:sz w:val="20"/>
              </w:rPr>
            </w:pPr>
          </w:p>
        </w:tc>
        <w:tc>
          <w:tcPr>
            <w:tcW w:w="900" w:type="dxa"/>
            <w:tcMar>
              <w:left w:w="43" w:type="dxa"/>
              <w:right w:w="43" w:type="dxa"/>
            </w:tcMar>
            <w:vAlign w:val="center"/>
          </w:tcPr>
          <w:p w:rsidR="008D699F" w:rsidRPr="009C774F" w:rsidRDefault="008D699F" w:rsidP="00CF5AA4">
            <w:pPr>
              <w:jc w:val="center"/>
              <w:rPr>
                <w:sz w:val="20"/>
              </w:rPr>
            </w:pPr>
            <w:r>
              <w:rPr>
                <w:sz w:val="20"/>
              </w:rPr>
              <w:t>GNO Estimate</w:t>
            </w:r>
          </w:p>
        </w:tc>
        <w:tc>
          <w:tcPr>
            <w:tcW w:w="900" w:type="dxa"/>
            <w:tcMar>
              <w:left w:w="43" w:type="dxa"/>
              <w:right w:w="43" w:type="dxa"/>
            </w:tcMar>
            <w:vAlign w:val="center"/>
          </w:tcPr>
          <w:p w:rsidR="008D699F" w:rsidRDefault="008D699F" w:rsidP="00CF5AA4">
            <w:pPr>
              <w:jc w:val="center"/>
              <w:rPr>
                <w:sz w:val="20"/>
              </w:rPr>
            </w:pPr>
            <w:r>
              <w:rPr>
                <w:sz w:val="20"/>
              </w:rPr>
              <w:t>State</w:t>
            </w:r>
          </w:p>
          <w:p w:rsidR="008D699F" w:rsidRPr="009C774F" w:rsidRDefault="008D699F" w:rsidP="00CF5AA4">
            <w:pPr>
              <w:jc w:val="center"/>
              <w:rPr>
                <w:sz w:val="20"/>
              </w:rPr>
            </w:pPr>
            <w:r>
              <w:rPr>
                <w:sz w:val="20"/>
              </w:rPr>
              <w:t>wide</w:t>
            </w:r>
          </w:p>
        </w:tc>
        <w:tc>
          <w:tcPr>
            <w:tcW w:w="900" w:type="dxa"/>
            <w:tcMar>
              <w:left w:w="43" w:type="dxa"/>
              <w:right w:w="43" w:type="dxa"/>
            </w:tcMar>
            <w:vAlign w:val="center"/>
          </w:tcPr>
          <w:p w:rsidR="008D699F" w:rsidRPr="009C774F" w:rsidRDefault="008D699F" w:rsidP="00CF5AA4">
            <w:pPr>
              <w:jc w:val="center"/>
              <w:rPr>
                <w:sz w:val="20"/>
              </w:rPr>
            </w:pPr>
            <w:r>
              <w:rPr>
                <w:sz w:val="20"/>
              </w:rPr>
              <w:t>GNO Estimate</w:t>
            </w:r>
          </w:p>
        </w:tc>
        <w:tc>
          <w:tcPr>
            <w:tcW w:w="900" w:type="dxa"/>
            <w:tcMar>
              <w:left w:w="43" w:type="dxa"/>
              <w:right w:w="43" w:type="dxa"/>
            </w:tcMar>
            <w:vAlign w:val="center"/>
          </w:tcPr>
          <w:p w:rsidR="008D699F" w:rsidRDefault="008D699F" w:rsidP="00CF5AA4">
            <w:pPr>
              <w:jc w:val="center"/>
              <w:rPr>
                <w:sz w:val="20"/>
              </w:rPr>
            </w:pPr>
            <w:r>
              <w:rPr>
                <w:sz w:val="20"/>
              </w:rPr>
              <w:t>State</w:t>
            </w:r>
          </w:p>
          <w:p w:rsidR="008D699F" w:rsidRPr="009C774F" w:rsidRDefault="008D699F" w:rsidP="00CF5AA4">
            <w:pPr>
              <w:jc w:val="center"/>
              <w:rPr>
                <w:sz w:val="20"/>
              </w:rPr>
            </w:pPr>
            <w:r>
              <w:rPr>
                <w:sz w:val="20"/>
              </w:rPr>
              <w:t>wide</w:t>
            </w:r>
          </w:p>
        </w:tc>
      </w:tr>
      <w:tr w:rsidR="008D699F" w:rsidRPr="009C774F" w:rsidTr="00CF5AA4">
        <w:trPr>
          <w:trHeight w:val="744"/>
        </w:trPr>
        <w:tc>
          <w:tcPr>
            <w:tcW w:w="1620" w:type="dxa"/>
            <w:vAlign w:val="center"/>
          </w:tcPr>
          <w:p w:rsidR="008D699F" w:rsidRDefault="008D699F" w:rsidP="00CF5AA4">
            <w:pPr>
              <w:rPr>
                <w:sz w:val="20"/>
              </w:rPr>
            </w:pPr>
            <w:r>
              <w:rPr>
                <w:sz w:val="20"/>
              </w:rPr>
              <w:t xml:space="preserve">Drinking and Driving </w:t>
            </w:r>
          </w:p>
          <w:p w:rsidR="008D699F" w:rsidRPr="00881253" w:rsidRDefault="008D699F" w:rsidP="00CF5AA4">
            <w:pPr>
              <w:rPr>
                <w:b/>
                <w:sz w:val="20"/>
              </w:rPr>
            </w:pPr>
            <w:r w:rsidRPr="00881253">
              <w:rPr>
                <w:b/>
                <w:sz w:val="18"/>
                <w:szCs w:val="18"/>
              </w:rPr>
              <w:t>(past 30 days)</w:t>
            </w:r>
          </w:p>
        </w:tc>
        <w:tc>
          <w:tcPr>
            <w:tcW w:w="900" w:type="dxa"/>
            <w:vAlign w:val="center"/>
          </w:tcPr>
          <w:p w:rsidR="008D699F" w:rsidRPr="009C774F" w:rsidRDefault="008D699F" w:rsidP="00CF5AA4">
            <w:pPr>
              <w:jc w:val="center"/>
              <w:rPr>
                <w:sz w:val="20"/>
              </w:rPr>
            </w:pPr>
            <w:r>
              <w:rPr>
                <w:sz w:val="20"/>
              </w:rPr>
              <w:t>4%</w:t>
            </w:r>
          </w:p>
        </w:tc>
        <w:tc>
          <w:tcPr>
            <w:tcW w:w="900" w:type="dxa"/>
            <w:vAlign w:val="center"/>
          </w:tcPr>
          <w:p w:rsidR="008D699F" w:rsidRPr="009C774F" w:rsidRDefault="008D699F" w:rsidP="00CF5AA4">
            <w:pPr>
              <w:jc w:val="center"/>
              <w:rPr>
                <w:sz w:val="20"/>
              </w:rPr>
            </w:pPr>
            <w:r>
              <w:rPr>
                <w:sz w:val="20"/>
              </w:rPr>
              <w:t>5%</w:t>
            </w:r>
          </w:p>
        </w:tc>
        <w:tc>
          <w:tcPr>
            <w:tcW w:w="900" w:type="dxa"/>
            <w:vAlign w:val="center"/>
          </w:tcPr>
          <w:p w:rsidR="008D699F" w:rsidRPr="009C774F" w:rsidRDefault="008D699F" w:rsidP="00CF5AA4">
            <w:pPr>
              <w:jc w:val="center"/>
              <w:rPr>
                <w:sz w:val="20"/>
              </w:rPr>
            </w:pPr>
            <w:r>
              <w:rPr>
                <w:sz w:val="20"/>
              </w:rPr>
              <w:t>8%</w:t>
            </w:r>
          </w:p>
        </w:tc>
        <w:tc>
          <w:tcPr>
            <w:tcW w:w="900" w:type="dxa"/>
            <w:vAlign w:val="center"/>
          </w:tcPr>
          <w:p w:rsidR="008D699F" w:rsidRPr="009C774F" w:rsidRDefault="008D699F" w:rsidP="00CF5AA4">
            <w:pPr>
              <w:jc w:val="center"/>
              <w:rPr>
                <w:sz w:val="20"/>
              </w:rPr>
            </w:pPr>
            <w:r>
              <w:rPr>
                <w:sz w:val="20"/>
              </w:rPr>
              <w:t>12%</w:t>
            </w:r>
          </w:p>
        </w:tc>
      </w:tr>
      <w:tr w:rsidR="008D699F" w:rsidRPr="009C774F" w:rsidTr="00CF5AA4">
        <w:trPr>
          <w:trHeight w:val="744"/>
        </w:trPr>
        <w:tc>
          <w:tcPr>
            <w:tcW w:w="1620" w:type="dxa"/>
            <w:vAlign w:val="center"/>
          </w:tcPr>
          <w:p w:rsidR="008D699F" w:rsidRDefault="008D699F" w:rsidP="00CF5AA4">
            <w:pPr>
              <w:rPr>
                <w:sz w:val="20"/>
              </w:rPr>
            </w:pPr>
            <w:r>
              <w:rPr>
                <w:sz w:val="20"/>
              </w:rPr>
              <w:t xml:space="preserve">Riding with a Drinking Driver </w:t>
            </w:r>
          </w:p>
          <w:p w:rsidR="008D699F" w:rsidRPr="00881253" w:rsidRDefault="008D699F" w:rsidP="00CF5AA4">
            <w:pPr>
              <w:rPr>
                <w:b/>
                <w:sz w:val="20"/>
              </w:rPr>
            </w:pPr>
            <w:r w:rsidRPr="00881253">
              <w:rPr>
                <w:b/>
                <w:sz w:val="18"/>
                <w:szCs w:val="18"/>
              </w:rPr>
              <w:t>(past 30 days)</w:t>
            </w:r>
          </w:p>
        </w:tc>
        <w:tc>
          <w:tcPr>
            <w:tcW w:w="900" w:type="dxa"/>
            <w:vAlign w:val="center"/>
          </w:tcPr>
          <w:p w:rsidR="008D699F" w:rsidRPr="009C774F" w:rsidRDefault="008D699F" w:rsidP="00CF5AA4">
            <w:pPr>
              <w:jc w:val="center"/>
              <w:rPr>
                <w:sz w:val="20"/>
              </w:rPr>
            </w:pPr>
            <w:r>
              <w:rPr>
                <w:sz w:val="20"/>
              </w:rPr>
              <w:t>24%</w:t>
            </w:r>
          </w:p>
        </w:tc>
        <w:tc>
          <w:tcPr>
            <w:tcW w:w="900" w:type="dxa"/>
            <w:vAlign w:val="center"/>
          </w:tcPr>
          <w:p w:rsidR="008D699F" w:rsidRPr="009C774F" w:rsidRDefault="008D699F" w:rsidP="00CF5AA4">
            <w:pPr>
              <w:jc w:val="center"/>
              <w:rPr>
                <w:sz w:val="20"/>
              </w:rPr>
            </w:pPr>
            <w:r>
              <w:rPr>
                <w:sz w:val="20"/>
              </w:rPr>
              <w:t>29%</w:t>
            </w:r>
          </w:p>
        </w:tc>
        <w:tc>
          <w:tcPr>
            <w:tcW w:w="900" w:type="dxa"/>
            <w:vAlign w:val="center"/>
          </w:tcPr>
          <w:p w:rsidR="008D699F" w:rsidRPr="009C774F" w:rsidRDefault="008D699F" w:rsidP="00CF5AA4">
            <w:pPr>
              <w:jc w:val="center"/>
              <w:rPr>
                <w:sz w:val="20"/>
              </w:rPr>
            </w:pPr>
            <w:r>
              <w:rPr>
                <w:sz w:val="20"/>
              </w:rPr>
              <w:t>23%</w:t>
            </w:r>
          </w:p>
        </w:tc>
        <w:tc>
          <w:tcPr>
            <w:tcW w:w="900" w:type="dxa"/>
            <w:vAlign w:val="center"/>
          </w:tcPr>
          <w:p w:rsidR="008D699F" w:rsidRPr="009C774F" w:rsidRDefault="008D699F" w:rsidP="00CF5AA4">
            <w:pPr>
              <w:jc w:val="center"/>
              <w:rPr>
                <w:sz w:val="20"/>
              </w:rPr>
            </w:pPr>
            <w:r>
              <w:rPr>
                <w:sz w:val="20"/>
              </w:rPr>
              <w:t>28%</w:t>
            </w:r>
          </w:p>
        </w:tc>
      </w:tr>
      <w:tr w:rsidR="008D699F" w:rsidRPr="009C774F" w:rsidTr="00CF5AA4">
        <w:trPr>
          <w:trHeight w:val="744"/>
        </w:trPr>
        <w:tc>
          <w:tcPr>
            <w:tcW w:w="1620" w:type="dxa"/>
            <w:vAlign w:val="center"/>
          </w:tcPr>
          <w:p w:rsidR="008D699F" w:rsidRDefault="008D699F" w:rsidP="00CF5AA4">
            <w:pPr>
              <w:rPr>
                <w:sz w:val="20"/>
              </w:rPr>
            </w:pPr>
            <w:r>
              <w:rPr>
                <w:sz w:val="20"/>
              </w:rPr>
              <w:t xml:space="preserve">Sold Illegal Drugs </w:t>
            </w:r>
          </w:p>
          <w:p w:rsidR="008D699F" w:rsidRPr="00881253" w:rsidRDefault="008D699F" w:rsidP="00CF5AA4">
            <w:pPr>
              <w:rPr>
                <w:b/>
                <w:sz w:val="18"/>
                <w:szCs w:val="18"/>
              </w:rPr>
            </w:pPr>
            <w:r w:rsidRPr="00881253">
              <w:rPr>
                <w:b/>
                <w:sz w:val="18"/>
                <w:szCs w:val="18"/>
              </w:rPr>
              <w:t>(past year)</w:t>
            </w:r>
          </w:p>
        </w:tc>
        <w:tc>
          <w:tcPr>
            <w:tcW w:w="900" w:type="dxa"/>
            <w:vAlign w:val="center"/>
          </w:tcPr>
          <w:p w:rsidR="008D699F" w:rsidRPr="009C774F" w:rsidRDefault="008D699F" w:rsidP="00CF5AA4">
            <w:pPr>
              <w:jc w:val="center"/>
              <w:rPr>
                <w:sz w:val="20"/>
              </w:rPr>
            </w:pPr>
            <w:r>
              <w:rPr>
                <w:sz w:val="20"/>
              </w:rPr>
              <w:t>6%</w:t>
            </w:r>
          </w:p>
        </w:tc>
        <w:tc>
          <w:tcPr>
            <w:tcW w:w="900" w:type="dxa"/>
            <w:vAlign w:val="center"/>
          </w:tcPr>
          <w:p w:rsidR="008D699F" w:rsidRPr="009C774F" w:rsidRDefault="008D699F" w:rsidP="00CF5AA4">
            <w:pPr>
              <w:jc w:val="center"/>
              <w:rPr>
                <w:sz w:val="20"/>
              </w:rPr>
            </w:pPr>
            <w:r>
              <w:rPr>
                <w:sz w:val="20"/>
              </w:rPr>
              <w:t>5%</w:t>
            </w:r>
          </w:p>
        </w:tc>
        <w:tc>
          <w:tcPr>
            <w:tcW w:w="900" w:type="dxa"/>
            <w:vAlign w:val="center"/>
          </w:tcPr>
          <w:p w:rsidR="008D699F" w:rsidRPr="009C774F" w:rsidRDefault="008D699F" w:rsidP="00CF5AA4">
            <w:pPr>
              <w:jc w:val="center"/>
              <w:rPr>
                <w:sz w:val="20"/>
              </w:rPr>
            </w:pPr>
            <w:r>
              <w:rPr>
                <w:sz w:val="20"/>
              </w:rPr>
              <w:t>6%</w:t>
            </w:r>
          </w:p>
        </w:tc>
        <w:tc>
          <w:tcPr>
            <w:tcW w:w="900" w:type="dxa"/>
            <w:vAlign w:val="center"/>
          </w:tcPr>
          <w:p w:rsidR="008D699F" w:rsidRPr="009C774F" w:rsidRDefault="008D699F" w:rsidP="00CF5AA4">
            <w:pPr>
              <w:jc w:val="center"/>
              <w:rPr>
                <w:sz w:val="20"/>
              </w:rPr>
            </w:pPr>
            <w:r>
              <w:rPr>
                <w:sz w:val="20"/>
              </w:rPr>
              <w:t>6%</w:t>
            </w:r>
          </w:p>
        </w:tc>
      </w:tr>
      <w:tr w:rsidR="008D699F" w:rsidRPr="009C774F" w:rsidTr="00CF5AA4">
        <w:trPr>
          <w:trHeight w:val="971"/>
        </w:trPr>
        <w:tc>
          <w:tcPr>
            <w:tcW w:w="5220" w:type="dxa"/>
            <w:gridSpan w:val="5"/>
            <w:vAlign w:val="center"/>
          </w:tcPr>
          <w:p w:rsidR="008D699F" w:rsidRPr="004B313F" w:rsidRDefault="008D699F" w:rsidP="00CF5AA4">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B8754B" w:rsidRDefault="00B8754B" w:rsidP="004F4264"/>
    <w:p w:rsidR="00023F81" w:rsidRDefault="00DE2F3C" w:rsidP="004F4264">
      <w:r>
        <w:t>Tenth grade students generally attain their 15</w:t>
      </w:r>
      <w:r w:rsidRPr="00DE2F3C">
        <w:rPr>
          <w:vertAlign w:val="superscript"/>
        </w:rPr>
        <w:t>th</w:t>
      </w:r>
      <w:r>
        <w:t xml:space="preserve"> birthday during the school year. It is therefore remarkable that in Greater New Orleans about 4 percent of 10</w:t>
      </w:r>
      <w:r w:rsidRPr="00DE2F3C">
        <w:rPr>
          <w:vertAlign w:val="superscript"/>
        </w:rPr>
        <w:t>th</w:t>
      </w:r>
      <w:r>
        <w:t xml:space="preserve"> graders indicated</w:t>
      </w:r>
      <w:r w:rsidR="00C3496C">
        <w:t xml:space="preserve"> that in the past 30 days</w:t>
      </w:r>
      <w:r>
        <w:t xml:space="preserve"> they</w:t>
      </w:r>
      <w:r w:rsidR="00C3496C">
        <w:t xml:space="preserve"> </w:t>
      </w:r>
      <w:r w:rsidR="00C3496C">
        <w:rPr>
          <w:b/>
        </w:rPr>
        <w:t>drove</w:t>
      </w:r>
      <w:r w:rsidR="00EC4DFE" w:rsidRPr="00EC4DFE">
        <w:rPr>
          <w:b/>
        </w:rPr>
        <w:t xml:space="preserve"> a vehicle when they </w:t>
      </w:r>
      <w:r w:rsidRPr="00EC4DFE">
        <w:rPr>
          <w:b/>
        </w:rPr>
        <w:t xml:space="preserve">had </w:t>
      </w:r>
      <w:r w:rsidR="00EC4DFE" w:rsidRPr="00EC4DFE">
        <w:rPr>
          <w:b/>
        </w:rPr>
        <w:t>been drinking alcohol</w:t>
      </w:r>
      <w:r w:rsidR="00EC4DFE">
        <w:t>. Among 12</w:t>
      </w:r>
      <w:r w:rsidR="00EC4DFE" w:rsidRPr="00EC4DFE">
        <w:rPr>
          <w:vertAlign w:val="superscript"/>
        </w:rPr>
        <w:t>th</w:t>
      </w:r>
      <w:r w:rsidR="00EC4DFE">
        <w:t xml:space="preserve"> grade </w:t>
      </w:r>
    </w:p>
    <w:p w:rsidR="00DE2F3C" w:rsidRDefault="00EC4DFE" w:rsidP="004F4264">
      <w:proofErr w:type="gramStart"/>
      <w:r>
        <w:t>students</w:t>
      </w:r>
      <w:proofErr w:type="gramEnd"/>
      <w:r w:rsidR="00DE2F3C">
        <w:t>,</w:t>
      </w:r>
      <w:r>
        <w:t xml:space="preserve"> </w:t>
      </w:r>
      <w:r w:rsidR="00526DB0">
        <w:t xml:space="preserve">about </w:t>
      </w:r>
      <w:r w:rsidR="00AD7D91">
        <w:t>8</w:t>
      </w:r>
      <w:r>
        <w:t xml:space="preserve"> percent</w:t>
      </w:r>
      <w:r w:rsidR="00DE2F3C">
        <w:t xml:space="preserve"> </w:t>
      </w:r>
      <w:r w:rsidR="00AD7D91">
        <w:t>had driven after drinking. (Due to the density of the population and availability of public transportation, driving related indicators should be lower in Greater New Orleans than in the rest of the state.)</w:t>
      </w:r>
      <w:r w:rsidR="00C3496C">
        <w:t xml:space="preserve"> </w:t>
      </w:r>
    </w:p>
    <w:p w:rsidR="00C3496C" w:rsidRDefault="00C3496C" w:rsidP="004F4264"/>
    <w:p w:rsidR="00226FBE" w:rsidRDefault="00C3496C" w:rsidP="004F4264">
      <w:r>
        <w:t>Riding in a car with a driver, whether a peer or</w:t>
      </w:r>
      <w:r w:rsidR="00231136">
        <w:t xml:space="preserve"> an</w:t>
      </w:r>
      <w:r>
        <w:t xml:space="preserve"> adult, who has been drinking</w:t>
      </w:r>
      <w:r w:rsidR="00231136">
        <w:t xml:space="preserve"> puts the student at risk as well as promot</w:t>
      </w:r>
      <w:r w:rsidR="00543586">
        <w:t>ing</w:t>
      </w:r>
      <w:r w:rsidR="00231136">
        <w:t xml:space="preserve"> a </w:t>
      </w:r>
      <w:r w:rsidR="00526DB0">
        <w:t xml:space="preserve">harmful </w:t>
      </w:r>
      <w:r w:rsidR="00231136">
        <w:t xml:space="preserve">social norm. In </w:t>
      </w:r>
      <w:r w:rsidR="00231136">
        <w:lastRenderedPageBreak/>
        <w:t xml:space="preserve">Greater New Orleans, </w:t>
      </w:r>
      <w:r w:rsidR="00526DB0">
        <w:t xml:space="preserve">about </w:t>
      </w:r>
      <w:r w:rsidR="00231136">
        <w:t xml:space="preserve">24 percent of </w:t>
      </w:r>
      <w:r w:rsidR="000E28C2">
        <w:t>10</w:t>
      </w:r>
      <w:r w:rsidR="00231136" w:rsidRPr="00231136">
        <w:rPr>
          <w:vertAlign w:val="superscript"/>
        </w:rPr>
        <w:t>th</w:t>
      </w:r>
      <w:r w:rsidR="00231136">
        <w:t xml:space="preserve"> grade students </w:t>
      </w:r>
      <w:r w:rsidR="00111BB6" w:rsidRPr="00111BB6">
        <w:rPr>
          <w:b/>
        </w:rPr>
        <w:t>rode</w:t>
      </w:r>
      <w:r w:rsidR="00231136" w:rsidRPr="00111BB6">
        <w:rPr>
          <w:b/>
        </w:rPr>
        <w:t xml:space="preserve"> in a car with a drinking driver</w:t>
      </w:r>
      <w:r w:rsidR="00231136">
        <w:t xml:space="preserve"> in the past 30 days</w:t>
      </w:r>
      <w:r w:rsidR="00526DB0">
        <w:t xml:space="preserve">, while about 23 percent of </w:t>
      </w:r>
      <w:r w:rsidR="000322F9">
        <w:t>12</w:t>
      </w:r>
      <w:r w:rsidR="000322F9" w:rsidRPr="000322F9">
        <w:rPr>
          <w:vertAlign w:val="superscript"/>
        </w:rPr>
        <w:t>th</w:t>
      </w:r>
      <w:r w:rsidR="000322F9">
        <w:t xml:space="preserve"> grade</w:t>
      </w:r>
      <w:r w:rsidR="00B8754B">
        <w:rPr>
          <w:rStyle w:val="FootnoteReference"/>
        </w:rPr>
        <w:footnoteReference w:id="4"/>
      </w:r>
      <w:r w:rsidR="000322F9">
        <w:t xml:space="preserve"> students </w:t>
      </w:r>
      <w:r w:rsidR="00543586">
        <w:t>had</w:t>
      </w:r>
      <w:r w:rsidR="000322F9">
        <w:t xml:space="preserve"> done so</w:t>
      </w:r>
      <w:r w:rsidR="00231136">
        <w:t>.</w:t>
      </w:r>
    </w:p>
    <w:p w:rsidR="00111BB6" w:rsidRDefault="00111BB6" w:rsidP="004F4264"/>
    <w:p w:rsidR="00B003AF" w:rsidRPr="00023F81" w:rsidRDefault="00111BB6">
      <w:r>
        <w:t>Many students who use</w:t>
      </w:r>
      <w:r w:rsidR="00502AAF">
        <w:t xml:space="preserve"> illegal</w:t>
      </w:r>
      <w:r>
        <w:t xml:space="preserve"> drugs also sell them </w:t>
      </w:r>
      <w:r w:rsidR="00502AAF">
        <w:t xml:space="preserve">to </w:t>
      </w:r>
      <w:r>
        <w:t>other</w:t>
      </w:r>
      <w:r w:rsidR="00502AAF">
        <w:t>, often younger,</w:t>
      </w:r>
      <w:r>
        <w:t xml:space="preserve"> students</w:t>
      </w:r>
      <w:r w:rsidR="00502AAF">
        <w:t xml:space="preserve">. </w:t>
      </w:r>
      <w:r w:rsidR="00543586">
        <w:t>Even j</w:t>
      </w:r>
      <w:r w:rsidR="006349A9">
        <w:t xml:space="preserve">ust procuring drugs for close friends puts the student in </w:t>
      </w:r>
      <w:r w:rsidR="00B003AF">
        <w:t xml:space="preserve">jeopardy of felony prosecution. </w:t>
      </w:r>
      <w:r w:rsidR="00502AAF">
        <w:t>In Greater New Orleans, about 6 percent of 10</w:t>
      </w:r>
      <w:r w:rsidR="00502AAF" w:rsidRPr="00502AAF">
        <w:rPr>
          <w:vertAlign w:val="superscript"/>
        </w:rPr>
        <w:t>th</w:t>
      </w:r>
      <w:r w:rsidR="00502AAF">
        <w:t xml:space="preserve"> grade student</w:t>
      </w:r>
      <w:r w:rsidR="00B8754B">
        <w:t>s</w:t>
      </w:r>
      <w:r w:rsidR="00502AAF">
        <w:t xml:space="preserve"> have </w:t>
      </w:r>
      <w:r w:rsidR="00502AAF" w:rsidRPr="00B8754B">
        <w:rPr>
          <w:b/>
        </w:rPr>
        <w:t>sold illegal drug</w:t>
      </w:r>
      <w:r w:rsidR="00B8754B" w:rsidRPr="00B8754B">
        <w:rPr>
          <w:b/>
        </w:rPr>
        <w:t>s</w:t>
      </w:r>
      <w:r w:rsidR="00502AAF">
        <w:t xml:space="preserve"> in the past year</w:t>
      </w:r>
      <w:r w:rsidR="00B8754B">
        <w:t>.</w:t>
      </w:r>
      <w:r w:rsidR="006349A9">
        <w:t xml:space="preserve"> Among 12</w:t>
      </w:r>
      <w:r w:rsidR="006349A9" w:rsidRPr="006349A9">
        <w:rPr>
          <w:vertAlign w:val="superscript"/>
        </w:rPr>
        <w:t>th</w:t>
      </w:r>
      <w:r w:rsidR="006349A9">
        <w:t xml:space="preserve"> grade students</w:t>
      </w:r>
      <w:r w:rsidR="00B003AF">
        <w:t>, a similar proportion (about 6%) have sold illegal drugs</w:t>
      </w:r>
      <w:r w:rsidR="00881253">
        <w:t xml:space="preserve"> in the past year</w:t>
      </w:r>
      <w:r w:rsidR="00B003AF">
        <w:t>.</w:t>
      </w:r>
      <w:r w:rsidR="00543586" w:rsidRPr="00543586">
        <w:rPr>
          <w:vertAlign w:val="superscript"/>
        </w:rPr>
        <w:t>4</w:t>
      </w:r>
    </w:p>
    <w:tbl>
      <w:tblPr>
        <w:tblStyle w:val="TableGrid"/>
        <w:tblpPr w:leftFromText="180" w:rightFromText="180" w:vertAnchor="text" w:horzAnchor="margin" w:tblpXSpec="right" w:tblpY="-61"/>
        <w:tblOverlap w:val="never"/>
        <w:tblW w:w="0" w:type="auto"/>
        <w:tblLayout w:type="fixed"/>
        <w:tblLook w:val="04A0" w:firstRow="1" w:lastRow="0" w:firstColumn="1" w:lastColumn="0" w:noHBand="0" w:noVBand="1"/>
      </w:tblPr>
      <w:tblGrid>
        <w:gridCol w:w="1620"/>
        <w:gridCol w:w="900"/>
        <w:gridCol w:w="900"/>
        <w:gridCol w:w="900"/>
        <w:gridCol w:w="900"/>
      </w:tblGrid>
      <w:tr w:rsidR="00373396" w:rsidRPr="009C774F" w:rsidTr="00373396">
        <w:trPr>
          <w:trHeight w:val="978"/>
        </w:trPr>
        <w:tc>
          <w:tcPr>
            <w:tcW w:w="5220" w:type="dxa"/>
            <w:gridSpan w:val="5"/>
            <w:vAlign w:val="center"/>
          </w:tcPr>
          <w:p w:rsidR="00373396" w:rsidRDefault="00373396" w:rsidP="00373396">
            <w:pPr>
              <w:jc w:val="center"/>
              <w:rPr>
                <w:b/>
                <w:sz w:val="20"/>
              </w:rPr>
            </w:pPr>
            <w:r>
              <w:rPr>
                <w:b/>
                <w:sz w:val="20"/>
              </w:rPr>
              <w:t xml:space="preserve">Table 9: Educational Consequences of Substance Use </w:t>
            </w:r>
          </w:p>
          <w:p w:rsidR="00373396" w:rsidRDefault="00373396" w:rsidP="00373396">
            <w:pPr>
              <w:jc w:val="center"/>
              <w:rPr>
                <w:b/>
                <w:sz w:val="20"/>
              </w:rPr>
            </w:pPr>
            <w:r w:rsidRPr="000B6FF1">
              <w:rPr>
                <w:b/>
                <w:sz w:val="20"/>
              </w:rPr>
              <w:t>Among 8</w:t>
            </w:r>
            <w:r w:rsidRPr="000B6FF1">
              <w:rPr>
                <w:b/>
                <w:sz w:val="20"/>
                <w:vertAlign w:val="superscript"/>
              </w:rPr>
              <w:t>th</w:t>
            </w:r>
            <w:r w:rsidRPr="000B6FF1">
              <w:rPr>
                <w:b/>
                <w:sz w:val="20"/>
              </w:rPr>
              <w:t xml:space="preserve"> and 10</w:t>
            </w:r>
            <w:r w:rsidRPr="000B6FF1">
              <w:rPr>
                <w:b/>
                <w:sz w:val="20"/>
                <w:vertAlign w:val="superscript"/>
              </w:rPr>
              <w:t>th</w:t>
            </w:r>
            <w:r w:rsidRPr="000B6FF1">
              <w:rPr>
                <w:b/>
                <w:sz w:val="20"/>
              </w:rPr>
              <w:t xml:space="preserve"> grade </w:t>
            </w:r>
            <w:r>
              <w:rPr>
                <w:b/>
                <w:sz w:val="20"/>
              </w:rPr>
              <w:t>S</w:t>
            </w:r>
            <w:r w:rsidRPr="000B6FF1">
              <w:rPr>
                <w:b/>
                <w:sz w:val="20"/>
              </w:rPr>
              <w:t xml:space="preserve">tudents in </w:t>
            </w:r>
          </w:p>
          <w:p w:rsidR="00373396" w:rsidRDefault="00373396" w:rsidP="00373396">
            <w:pPr>
              <w:jc w:val="center"/>
              <w:rPr>
                <w:b/>
                <w:sz w:val="20"/>
              </w:rPr>
            </w:pPr>
            <w:r w:rsidRPr="000B6FF1">
              <w:rPr>
                <w:b/>
                <w:sz w:val="20"/>
              </w:rPr>
              <w:t>Greater New Orleans (GNO)* based on</w:t>
            </w:r>
            <w:r>
              <w:rPr>
                <w:b/>
                <w:sz w:val="20"/>
              </w:rPr>
              <w:t xml:space="preserve"> </w:t>
            </w:r>
          </w:p>
          <w:p w:rsidR="00373396" w:rsidRPr="004054D8" w:rsidRDefault="00373396" w:rsidP="00373396">
            <w:pPr>
              <w:jc w:val="center"/>
              <w:rPr>
                <w:b/>
                <w:sz w:val="20"/>
              </w:rPr>
            </w:pPr>
            <w:r>
              <w:rPr>
                <w:b/>
                <w:sz w:val="20"/>
              </w:rPr>
              <w:t>the Caring Communities Y</w:t>
            </w:r>
            <w:r w:rsidRPr="000B6FF1">
              <w:rPr>
                <w:b/>
                <w:sz w:val="20"/>
              </w:rPr>
              <w:t>outh Survey</w:t>
            </w:r>
          </w:p>
        </w:tc>
      </w:tr>
      <w:tr w:rsidR="00373396" w:rsidRPr="009C774F" w:rsidTr="00373396">
        <w:trPr>
          <w:trHeight w:val="264"/>
        </w:trPr>
        <w:tc>
          <w:tcPr>
            <w:tcW w:w="1620" w:type="dxa"/>
            <w:vMerge w:val="restart"/>
            <w:vAlign w:val="center"/>
          </w:tcPr>
          <w:p w:rsidR="00373396" w:rsidRPr="009C774F" w:rsidRDefault="00373396" w:rsidP="00373396">
            <w:pPr>
              <w:jc w:val="center"/>
              <w:rPr>
                <w:sz w:val="20"/>
              </w:rPr>
            </w:pPr>
            <w:r>
              <w:rPr>
                <w:b/>
                <w:sz w:val="20"/>
              </w:rPr>
              <w:t>Educational Consequences</w:t>
            </w:r>
          </w:p>
        </w:tc>
        <w:tc>
          <w:tcPr>
            <w:tcW w:w="3600" w:type="dxa"/>
            <w:gridSpan w:val="4"/>
            <w:vAlign w:val="center"/>
          </w:tcPr>
          <w:p w:rsidR="00373396" w:rsidRPr="009C774F" w:rsidRDefault="00373396" w:rsidP="00373396">
            <w:pPr>
              <w:jc w:val="center"/>
              <w:rPr>
                <w:sz w:val="20"/>
              </w:rPr>
            </w:pPr>
            <w:r>
              <w:rPr>
                <w:sz w:val="20"/>
              </w:rPr>
              <w:t>2012 Estimates</w:t>
            </w:r>
          </w:p>
        </w:tc>
      </w:tr>
      <w:tr w:rsidR="00373396" w:rsidRPr="009C774F" w:rsidTr="00373396">
        <w:trPr>
          <w:trHeight w:val="246"/>
        </w:trPr>
        <w:tc>
          <w:tcPr>
            <w:tcW w:w="1620" w:type="dxa"/>
            <w:vMerge/>
            <w:vAlign w:val="center"/>
          </w:tcPr>
          <w:p w:rsidR="00373396" w:rsidRPr="009C774F" w:rsidRDefault="00373396" w:rsidP="00373396">
            <w:pPr>
              <w:jc w:val="center"/>
              <w:rPr>
                <w:sz w:val="20"/>
              </w:rPr>
            </w:pPr>
          </w:p>
        </w:tc>
        <w:tc>
          <w:tcPr>
            <w:tcW w:w="1800" w:type="dxa"/>
            <w:gridSpan w:val="2"/>
            <w:tcMar>
              <w:left w:w="43" w:type="dxa"/>
              <w:right w:w="43" w:type="dxa"/>
            </w:tcMar>
            <w:vAlign w:val="center"/>
          </w:tcPr>
          <w:p w:rsidR="00373396" w:rsidRPr="000322F9" w:rsidRDefault="00373396" w:rsidP="00373396">
            <w:pPr>
              <w:jc w:val="center"/>
              <w:rPr>
                <w:b/>
                <w:sz w:val="20"/>
              </w:rPr>
            </w:pPr>
            <w:r w:rsidRPr="000322F9">
              <w:rPr>
                <w:b/>
                <w:sz w:val="20"/>
              </w:rPr>
              <w:t>8</w:t>
            </w:r>
            <w:r w:rsidRPr="000322F9">
              <w:rPr>
                <w:b/>
                <w:sz w:val="20"/>
                <w:vertAlign w:val="superscript"/>
              </w:rPr>
              <w:t>th</w:t>
            </w:r>
            <w:r w:rsidRPr="000322F9">
              <w:rPr>
                <w:b/>
                <w:sz w:val="20"/>
              </w:rPr>
              <w:t xml:space="preserve"> Grade</w:t>
            </w:r>
          </w:p>
        </w:tc>
        <w:tc>
          <w:tcPr>
            <w:tcW w:w="1800" w:type="dxa"/>
            <w:gridSpan w:val="2"/>
            <w:tcMar>
              <w:left w:w="43" w:type="dxa"/>
              <w:right w:w="43" w:type="dxa"/>
            </w:tcMar>
            <w:vAlign w:val="center"/>
          </w:tcPr>
          <w:p w:rsidR="00373396" w:rsidRPr="000322F9" w:rsidRDefault="00373396" w:rsidP="00373396">
            <w:pPr>
              <w:jc w:val="center"/>
              <w:rPr>
                <w:b/>
                <w:sz w:val="20"/>
              </w:rPr>
            </w:pPr>
            <w:r w:rsidRPr="000322F9">
              <w:rPr>
                <w:b/>
                <w:sz w:val="20"/>
              </w:rPr>
              <w:t>10</w:t>
            </w:r>
            <w:r w:rsidRPr="000322F9">
              <w:rPr>
                <w:b/>
                <w:sz w:val="20"/>
                <w:vertAlign w:val="superscript"/>
              </w:rPr>
              <w:t>th</w:t>
            </w:r>
            <w:r w:rsidRPr="000322F9">
              <w:rPr>
                <w:b/>
                <w:sz w:val="20"/>
              </w:rPr>
              <w:t xml:space="preserve"> Grade</w:t>
            </w:r>
          </w:p>
        </w:tc>
      </w:tr>
      <w:tr w:rsidR="00373396" w:rsidRPr="009C774F" w:rsidTr="00373396">
        <w:trPr>
          <w:trHeight w:val="522"/>
        </w:trPr>
        <w:tc>
          <w:tcPr>
            <w:tcW w:w="1620" w:type="dxa"/>
            <w:vMerge/>
            <w:vAlign w:val="center"/>
          </w:tcPr>
          <w:p w:rsidR="00373396" w:rsidRDefault="00373396" w:rsidP="00373396">
            <w:pPr>
              <w:rPr>
                <w:sz w:val="20"/>
              </w:rPr>
            </w:pPr>
          </w:p>
        </w:tc>
        <w:tc>
          <w:tcPr>
            <w:tcW w:w="900" w:type="dxa"/>
            <w:tcMar>
              <w:left w:w="43" w:type="dxa"/>
              <w:right w:w="43" w:type="dxa"/>
            </w:tcMar>
            <w:vAlign w:val="center"/>
          </w:tcPr>
          <w:p w:rsidR="00373396" w:rsidRPr="009C774F" w:rsidRDefault="00373396" w:rsidP="00373396">
            <w:pPr>
              <w:jc w:val="center"/>
              <w:rPr>
                <w:sz w:val="20"/>
              </w:rPr>
            </w:pPr>
            <w:r>
              <w:rPr>
                <w:sz w:val="20"/>
              </w:rPr>
              <w:t>GNO Estimate</w:t>
            </w:r>
          </w:p>
        </w:tc>
        <w:tc>
          <w:tcPr>
            <w:tcW w:w="900" w:type="dxa"/>
            <w:tcMar>
              <w:left w:w="43" w:type="dxa"/>
              <w:right w:w="43" w:type="dxa"/>
            </w:tcMar>
            <w:vAlign w:val="center"/>
          </w:tcPr>
          <w:p w:rsidR="00373396" w:rsidRDefault="00373396" w:rsidP="00373396">
            <w:pPr>
              <w:jc w:val="center"/>
              <w:rPr>
                <w:sz w:val="20"/>
              </w:rPr>
            </w:pPr>
            <w:r>
              <w:rPr>
                <w:sz w:val="20"/>
              </w:rPr>
              <w:t>State</w:t>
            </w:r>
          </w:p>
          <w:p w:rsidR="00373396" w:rsidRPr="009C774F" w:rsidRDefault="00373396" w:rsidP="00373396">
            <w:pPr>
              <w:jc w:val="center"/>
              <w:rPr>
                <w:sz w:val="20"/>
              </w:rPr>
            </w:pPr>
            <w:r>
              <w:rPr>
                <w:sz w:val="20"/>
              </w:rPr>
              <w:t>wide</w:t>
            </w:r>
          </w:p>
        </w:tc>
        <w:tc>
          <w:tcPr>
            <w:tcW w:w="900" w:type="dxa"/>
            <w:tcMar>
              <w:left w:w="43" w:type="dxa"/>
              <w:right w:w="43" w:type="dxa"/>
            </w:tcMar>
            <w:vAlign w:val="center"/>
          </w:tcPr>
          <w:p w:rsidR="00373396" w:rsidRPr="009C774F" w:rsidRDefault="00373396" w:rsidP="00373396">
            <w:pPr>
              <w:jc w:val="center"/>
              <w:rPr>
                <w:sz w:val="20"/>
              </w:rPr>
            </w:pPr>
            <w:r>
              <w:rPr>
                <w:sz w:val="20"/>
              </w:rPr>
              <w:t>GNO Estimate</w:t>
            </w:r>
          </w:p>
        </w:tc>
        <w:tc>
          <w:tcPr>
            <w:tcW w:w="900" w:type="dxa"/>
            <w:tcMar>
              <w:left w:w="43" w:type="dxa"/>
              <w:right w:w="43" w:type="dxa"/>
            </w:tcMar>
            <w:vAlign w:val="center"/>
          </w:tcPr>
          <w:p w:rsidR="00373396" w:rsidRDefault="00373396" w:rsidP="00373396">
            <w:pPr>
              <w:jc w:val="center"/>
              <w:rPr>
                <w:sz w:val="20"/>
              </w:rPr>
            </w:pPr>
            <w:r>
              <w:rPr>
                <w:sz w:val="20"/>
              </w:rPr>
              <w:t>State</w:t>
            </w:r>
          </w:p>
          <w:p w:rsidR="00373396" w:rsidRPr="009C774F" w:rsidRDefault="00373396" w:rsidP="00373396">
            <w:pPr>
              <w:jc w:val="center"/>
              <w:rPr>
                <w:sz w:val="20"/>
              </w:rPr>
            </w:pPr>
            <w:r>
              <w:rPr>
                <w:sz w:val="20"/>
              </w:rPr>
              <w:t>wide</w:t>
            </w:r>
          </w:p>
        </w:tc>
      </w:tr>
      <w:tr w:rsidR="00373396" w:rsidRPr="009C774F" w:rsidTr="00373396">
        <w:trPr>
          <w:trHeight w:val="906"/>
        </w:trPr>
        <w:tc>
          <w:tcPr>
            <w:tcW w:w="1620" w:type="dxa"/>
            <w:vAlign w:val="center"/>
          </w:tcPr>
          <w:p w:rsidR="00373396" w:rsidRPr="0040504B" w:rsidRDefault="00373396" w:rsidP="00373396">
            <w:pPr>
              <w:rPr>
                <w:sz w:val="20"/>
              </w:rPr>
            </w:pPr>
            <w:r>
              <w:rPr>
                <w:sz w:val="20"/>
              </w:rPr>
              <w:t>Drunk or high at school in past 12 months</w:t>
            </w:r>
          </w:p>
        </w:tc>
        <w:tc>
          <w:tcPr>
            <w:tcW w:w="900" w:type="dxa"/>
            <w:vAlign w:val="center"/>
          </w:tcPr>
          <w:p w:rsidR="00373396" w:rsidRPr="009C774F" w:rsidRDefault="00373396" w:rsidP="00373396">
            <w:pPr>
              <w:jc w:val="center"/>
              <w:rPr>
                <w:sz w:val="20"/>
              </w:rPr>
            </w:pPr>
            <w:r>
              <w:rPr>
                <w:sz w:val="20"/>
              </w:rPr>
              <w:t>9%</w:t>
            </w:r>
          </w:p>
        </w:tc>
        <w:tc>
          <w:tcPr>
            <w:tcW w:w="900" w:type="dxa"/>
            <w:vAlign w:val="center"/>
          </w:tcPr>
          <w:p w:rsidR="00373396" w:rsidRPr="009C774F" w:rsidRDefault="00373396" w:rsidP="00373396">
            <w:pPr>
              <w:jc w:val="center"/>
              <w:rPr>
                <w:sz w:val="20"/>
              </w:rPr>
            </w:pPr>
            <w:r>
              <w:rPr>
                <w:sz w:val="20"/>
              </w:rPr>
              <w:t>8%</w:t>
            </w:r>
          </w:p>
        </w:tc>
        <w:tc>
          <w:tcPr>
            <w:tcW w:w="900" w:type="dxa"/>
            <w:vAlign w:val="center"/>
          </w:tcPr>
          <w:p w:rsidR="00373396" w:rsidRPr="009C774F" w:rsidRDefault="00373396" w:rsidP="00373396">
            <w:pPr>
              <w:jc w:val="center"/>
              <w:rPr>
                <w:sz w:val="20"/>
              </w:rPr>
            </w:pPr>
            <w:r>
              <w:rPr>
                <w:sz w:val="20"/>
              </w:rPr>
              <w:t>13%</w:t>
            </w:r>
          </w:p>
        </w:tc>
        <w:tc>
          <w:tcPr>
            <w:tcW w:w="900" w:type="dxa"/>
            <w:vAlign w:val="center"/>
          </w:tcPr>
          <w:p w:rsidR="00373396" w:rsidRPr="009C774F" w:rsidRDefault="00373396" w:rsidP="00373396">
            <w:pPr>
              <w:jc w:val="center"/>
              <w:rPr>
                <w:sz w:val="20"/>
              </w:rPr>
            </w:pPr>
            <w:r>
              <w:rPr>
                <w:sz w:val="20"/>
              </w:rPr>
              <w:t>13%</w:t>
            </w:r>
          </w:p>
        </w:tc>
      </w:tr>
      <w:tr w:rsidR="00373396" w:rsidRPr="009C774F" w:rsidTr="00373396">
        <w:trPr>
          <w:trHeight w:val="892"/>
        </w:trPr>
        <w:tc>
          <w:tcPr>
            <w:tcW w:w="5220" w:type="dxa"/>
            <w:gridSpan w:val="5"/>
            <w:vAlign w:val="center"/>
          </w:tcPr>
          <w:p w:rsidR="00373396" w:rsidRPr="004B313F" w:rsidRDefault="00373396" w:rsidP="00373396">
            <w:pPr>
              <w:rPr>
                <w:sz w:val="18"/>
                <w:szCs w:val="18"/>
              </w:rPr>
            </w:pPr>
            <w:r w:rsidRPr="004B313F">
              <w:rPr>
                <w:sz w:val="18"/>
                <w:szCs w:val="18"/>
              </w:rPr>
              <w:t xml:space="preserve">*Representing Orleans, Jefferson, Plaquemines and St. Bernard parishes. </w:t>
            </w:r>
            <w:r w:rsidRPr="004B313F">
              <w:rPr>
                <w:i/>
                <w:sz w:val="18"/>
                <w:szCs w:val="18"/>
              </w:rPr>
              <w:t xml:space="preserve">Estimates provided for Greater New Orleans are approximations useful for planning purposes, but not adequate for tracking change </w:t>
            </w:r>
            <w:r w:rsidRPr="004B313F">
              <w:rPr>
                <w:sz w:val="18"/>
                <w:szCs w:val="18"/>
              </w:rPr>
              <w:t>and should be prefaced with the qualifier, “</w:t>
            </w:r>
            <w:r w:rsidRPr="004B313F">
              <w:rPr>
                <w:i/>
                <w:sz w:val="18"/>
                <w:szCs w:val="18"/>
              </w:rPr>
              <w:t>about</w:t>
            </w:r>
            <w:r w:rsidRPr="004B313F">
              <w:rPr>
                <w:sz w:val="18"/>
                <w:szCs w:val="18"/>
              </w:rPr>
              <w:t>.”</w:t>
            </w:r>
          </w:p>
        </w:tc>
      </w:tr>
    </w:tbl>
    <w:p w:rsidR="00226FBE" w:rsidRDefault="00226FBE" w:rsidP="004F4264">
      <w:pPr>
        <w:rPr>
          <w:b/>
        </w:rPr>
      </w:pPr>
    </w:p>
    <w:p w:rsidR="006349A9" w:rsidRPr="00881253" w:rsidRDefault="00881253" w:rsidP="004F4264">
      <w:pPr>
        <w:rPr>
          <w:u w:val="single"/>
        </w:rPr>
      </w:pPr>
      <w:r w:rsidRPr="00881253">
        <w:rPr>
          <w:u w:val="single"/>
        </w:rPr>
        <w:t>Educational Consequences</w:t>
      </w:r>
    </w:p>
    <w:p w:rsidR="006349A9" w:rsidRPr="00226FBE" w:rsidRDefault="006349A9" w:rsidP="004F4264">
      <w:pPr>
        <w:rPr>
          <w:b/>
        </w:rPr>
      </w:pPr>
    </w:p>
    <w:p w:rsidR="00226FBE" w:rsidRDefault="00881253" w:rsidP="004F4264">
      <w:r>
        <w:t xml:space="preserve">Intoxication during school is inconsistent with learning objectives and also poses a safety risk. </w:t>
      </w:r>
      <w:r w:rsidR="00DE3207">
        <w:t>In Greater New Orleans, about 9 percent of 8</w:t>
      </w:r>
      <w:r w:rsidR="00DE3207" w:rsidRPr="00DE3207">
        <w:rPr>
          <w:vertAlign w:val="superscript"/>
        </w:rPr>
        <w:t>th</w:t>
      </w:r>
      <w:r w:rsidR="00DE3207">
        <w:t xml:space="preserve"> grade students have been </w:t>
      </w:r>
      <w:r w:rsidR="00DE3207" w:rsidRPr="00DE3207">
        <w:rPr>
          <w:b/>
        </w:rPr>
        <w:t>drunk or high at school</w:t>
      </w:r>
      <w:r w:rsidR="00DE3207">
        <w:t xml:space="preserve"> during the past year. Among 10</w:t>
      </w:r>
      <w:r w:rsidR="00DE3207" w:rsidRPr="00DE3207">
        <w:rPr>
          <w:vertAlign w:val="superscript"/>
        </w:rPr>
        <w:t>th</w:t>
      </w:r>
      <w:r w:rsidR="00DE3207">
        <w:t xml:space="preserve"> grade students, about 13 percent have been drunk or high at school in the past year.</w:t>
      </w:r>
    </w:p>
    <w:p w:rsidR="00226FBE" w:rsidRDefault="00226FBE" w:rsidP="004F4264"/>
    <w:p w:rsidR="00226FBE" w:rsidRDefault="00226FBE" w:rsidP="004F4264"/>
    <w:p w:rsidR="004054D8" w:rsidRDefault="004054D8" w:rsidP="004F4264"/>
    <w:p w:rsidR="004054D8" w:rsidRDefault="004054D8" w:rsidP="004F4264"/>
    <w:p w:rsidR="004054D8" w:rsidRDefault="004054D8" w:rsidP="004F4264"/>
    <w:p w:rsidR="004F4264" w:rsidRPr="00952A15" w:rsidRDefault="004F4264" w:rsidP="004F4264">
      <w:pPr>
        <w:rPr>
          <w:sz w:val="20"/>
        </w:rPr>
      </w:pPr>
      <w:bookmarkStart w:id="0" w:name="_GoBack"/>
      <w:bookmarkEnd w:id="0"/>
    </w:p>
    <w:sectPr w:rsidR="004F4264" w:rsidRPr="00952A15" w:rsidSect="009E33E9">
      <w:footerReference w:type="defaul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CA" w:rsidRDefault="003A24CA" w:rsidP="001B31CC">
      <w:r>
        <w:separator/>
      </w:r>
    </w:p>
  </w:endnote>
  <w:endnote w:type="continuationSeparator" w:id="0">
    <w:p w:rsidR="003A24CA" w:rsidRDefault="003A24CA"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A8" w:rsidRDefault="00E363A8">
    <w:pPr>
      <w:pStyle w:val="Footer"/>
    </w:pPr>
    <w:fldSimple w:instr=" FILENAME   \* MERGEFORMAT ">
      <w:r w:rsidR="00B5643F" w:rsidRPr="00B5643F">
        <w:rPr>
          <w:noProof/>
          <w:sz w:val="18"/>
          <w:szCs w:val="18"/>
        </w:rPr>
        <w:t>Summary_CCYS_20140302.docx</w:t>
      </w:r>
    </w:fldSimple>
    <w:r>
      <w:tab/>
    </w:r>
  </w:p>
  <w:p w:rsidR="00E363A8" w:rsidRDefault="00E36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A8" w:rsidRDefault="00E363A8">
    <w:pPr>
      <w:pStyle w:val="Footer"/>
    </w:pPr>
    <w:fldSimple w:instr=" FILENAME   \* MERGEFORMAT ">
      <w:r w:rsidR="00B5643F" w:rsidRPr="00B5643F">
        <w:rPr>
          <w:noProof/>
          <w:sz w:val="18"/>
          <w:szCs w:val="18"/>
        </w:rPr>
        <w:t>Summary_CCYS_20140302.docx</w:t>
      </w:r>
    </w:fldSimple>
    <w:r>
      <w:tab/>
    </w:r>
    <w:r>
      <w:fldChar w:fldCharType="begin"/>
    </w:r>
    <w:r>
      <w:instrText xml:space="preserve"> PAGE   \* MERGEFORMAT </w:instrText>
    </w:r>
    <w:r>
      <w:fldChar w:fldCharType="separate"/>
    </w:r>
    <w:r w:rsidR="00B5643F">
      <w:rPr>
        <w:noProof/>
      </w:rPr>
      <w:t>10</w:t>
    </w:r>
    <w:r>
      <w:fldChar w:fldCharType="end"/>
    </w:r>
    <w:r>
      <w:t xml:space="preserve"> of </w:t>
    </w:r>
    <w:fldSimple w:instr=" SECTIONPAGES   \* MERGEFORMAT ">
      <w:r w:rsidR="00B5643F">
        <w:rPr>
          <w:noProof/>
        </w:rPr>
        <w:t>10</w:t>
      </w:r>
    </w:fldSimple>
  </w:p>
  <w:p w:rsidR="00E363A8" w:rsidRDefault="00E36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CA" w:rsidRDefault="003A24CA" w:rsidP="001B31CC">
      <w:r>
        <w:separator/>
      </w:r>
    </w:p>
  </w:footnote>
  <w:footnote w:type="continuationSeparator" w:id="0">
    <w:p w:rsidR="003A24CA" w:rsidRDefault="003A24CA" w:rsidP="001B31CC">
      <w:r>
        <w:continuationSeparator/>
      </w:r>
    </w:p>
  </w:footnote>
  <w:footnote w:id="1">
    <w:p w:rsidR="00E363A8" w:rsidRDefault="00E363A8" w:rsidP="002C7F96">
      <w:pPr>
        <w:pStyle w:val="FootnoteText"/>
      </w:pPr>
      <w:r>
        <w:rPr>
          <w:rStyle w:val="FootnoteReference"/>
        </w:rPr>
        <w:footnoteRef/>
      </w:r>
      <w:r>
        <w:t xml:space="preserve"> </w:t>
      </w:r>
      <w:r w:rsidRPr="00A9513A">
        <w:t>The CCYS uses a census survey method, attempting to survey all enrolled students.</w:t>
      </w:r>
      <w:r>
        <w:t xml:space="preserve"> Completion rate, as reported in CCYS state and parish profiles, is the percent of enrolled students who complete a valid CCYS survey. This rate </w:t>
      </w:r>
      <w:r w:rsidRPr="006E5B17">
        <w:t xml:space="preserve">is affected by </w:t>
      </w:r>
      <w:r>
        <w:t>lack of school participation, student absences and inability to schedule all students to take the survey. School participation has been especially poor in Orleans and St. Bernard parishes.</w:t>
      </w:r>
    </w:p>
  </w:footnote>
  <w:footnote w:id="2">
    <w:p w:rsidR="00E363A8" w:rsidRDefault="00E363A8">
      <w:pPr>
        <w:pStyle w:val="FootnoteText"/>
      </w:pPr>
      <w:r>
        <w:rPr>
          <w:rStyle w:val="FootnoteReference"/>
        </w:rPr>
        <w:footnoteRef/>
      </w:r>
      <w:r>
        <w:t xml:space="preserve"> Given the</w:t>
      </w:r>
      <w:r w:rsidRPr="001F7817">
        <w:t xml:space="preserv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w:t>
      </w:r>
      <w:r>
        <w:t xml:space="preserve"> More detailed analysis including parish-level statistics for 2008 and 2010 (as well as 2012) are available at: </w:t>
      </w:r>
    </w:p>
    <w:p w:rsidR="00E363A8" w:rsidRDefault="00E363A8">
      <w:pPr>
        <w:pStyle w:val="FootnoteText"/>
      </w:pPr>
      <w:hyperlink r:id="rId1" w:history="1">
        <w:r w:rsidRPr="001C2E29">
          <w:rPr>
            <w:rStyle w:val="Hyperlink"/>
          </w:rPr>
          <w:t>http://arc-associates.net/gno-profile</w:t>
        </w:r>
      </w:hyperlink>
      <w:r>
        <w:t xml:space="preserve">. </w:t>
      </w:r>
    </w:p>
    <w:p w:rsidR="00E363A8" w:rsidRDefault="00E363A8">
      <w:pPr>
        <w:pStyle w:val="FootnoteText"/>
      </w:pPr>
      <w:r>
        <w:t>Published CCYS reports are available at:</w:t>
      </w:r>
      <w:r w:rsidRPr="0047387B">
        <w:t xml:space="preserve"> </w:t>
      </w:r>
      <w:hyperlink r:id="rId2" w:history="1">
        <w:r w:rsidRPr="001C2E29">
          <w:rPr>
            <w:rStyle w:val="Hyperlink"/>
          </w:rPr>
          <w:t>http://www.picardcenter.org/ResearchAreas/QualityOfLife/CCYS</w:t>
        </w:r>
      </w:hyperlink>
      <w:r>
        <w:t xml:space="preserve"> . Indicators for 2006, 2008, 2010 and 2012 based on the CCYS are available at: </w:t>
      </w:r>
      <w:hyperlink r:id="rId3" w:history="1">
        <w:r w:rsidRPr="00AE4C4D">
          <w:rPr>
            <w:rStyle w:val="Hyperlink"/>
          </w:rPr>
          <w:t>http://www.bach-harrison.com/lasocialindicators</w:t>
        </w:r>
      </w:hyperlink>
      <w:r>
        <w:t xml:space="preserve"> .</w:t>
      </w:r>
    </w:p>
  </w:footnote>
  <w:footnote w:id="3">
    <w:p w:rsidR="00E363A8" w:rsidRDefault="00E363A8" w:rsidP="006B5994">
      <w:pPr>
        <w:pStyle w:val="FootnoteText"/>
      </w:pPr>
      <w:r>
        <w:rPr>
          <w:rStyle w:val="FootnoteReference"/>
        </w:rPr>
        <w:footnoteRef/>
      </w:r>
      <w:r>
        <w:t xml:space="preserve"> </w:t>
      </w:r>
      <w:proofErr w:type="gramStart"/>
      <w:r>
        <w:t>American Psychiatric Association.</w:t>
      </w:r>
      <w:proofErr w:type="gramEnd"/>
      <w:r>
        <w:t xml:space="preserve"> </w:t>
      </w:r>
      <w:proofErr w:type="gramStart"/>
      <w:r w:rsidRPr="007A1668">
        <w:rPr>
          <w:i/>
        </w:rPr>
        <w:t>Diagnostic and Statistical Manual of Mental Disorders, Fourth Edition</w:t>
      </w:r>
      <w:r>
        <w:t xml:space="preserve"> (DSM-IV).</w:t>
      </w:r>
      <w:proofErr w:type="gramEnd"/>
      <w:r>
        <w:t xml:space="preserve"> Washington DC, 1994, pp. 181-2. </w:t>
      </w:r>
      <w:r w:rsidRPr="001C2E89">
        <w:t xml:space="preserve">Separate criteria are provided for dependence and abuse. </w:t>
      </w:r>
      <w:r w:rsidRPr="00D2029D">
        <w:rPr>
          <w:i/>
        </w:rPr>
        <w:t>Dependence</w:t>
      </w:r>
      <w:r w:rsidRPr="001C2E89">
        <w:t xml:space="preserve"> criteria </w:t>
      </w:r>
      <w:r>
        <w:t>are the following (paraphrased)</w:t>
      </w:r>
      <w:r w:rsidRPr="001C2E89">
        <w:t>:</w:t>
      </w:r>
      <w:r>
        <w:t xml:space="preserve"> tolerance; withdrawal; loss of control; unsuccessful attempts to control use; preoccupation with obtaining or using; reduced social, occupational or recreational activities; continued use despite negative consequences. Presence of any 3 of these 7 criteria indicates dependence. (</w:t>
      </w:r>
      <w:r w:rsidRPr="00D2029D">
        <w:t>Phy</w:t>
      </w:r>
      <w:r>
        <w:t>siological dependence symptoms,</w:t>
      </w:r>
      <w:r w:rsidRPr="00D2029D">
        <w:t xml:space="preserve"> withdrawal and/or tolerance</w:t>
      </w:r>
      <w:r>
        <w:t>,</w:t>
      </w:r>
      <w:r w:rsidRPr="00D2029D">
        <w:t xml:space="preserve"> are neither necessary nor sufficient conditions for a dependence diagnosis since 3 of 7 criteria must be met.</w:t>
      </w:r>
      <w:r>
        <w:t xml:space="preserve">) </w:t>
      </w:r>
      <w:r w:rsidRPr="00D2029D">
        <w:rPr>
          <w:i/>
        </w:rPr>
        <w:t>Abuse</w:t>
      </w:r>
      <w:r w:rsidRPr="001C2E89">
        <w:t xml:space="preserve"> </w:t>
      </w:r>
      <w:r>
        <w:t>is the recurrent use despite: failure to fulfill important roles; hazardous situations; legal problems; social/interpersonal problems. Presence of any 1 of these 4 criteria is sufficient for an abuse diagnosis.</w:t>
      </w:r>
      <w:r w:rsidRPr="001C2E89">
        <w:t xml:space="preserve"> </w:t>
      </w:r>
      <w:r w:rsidRPr="00D2029D">
        <w:t>Thus dependence and abuse conditions have separate sets of criteria, although a diagnosis of dependence supersedes a diagnosis abuse.</w:t>
      </w:r>
      <w:r>
        <w:t xml:space="preserve"> Substance use disorders (</w:t>
      </w:r>
      <w:r w:rsidRPr="00C944DF">
        <w:t>SUDs</w:t>
      </w:r>
      <w:r>
        <w:t>)</w:t>
      </w:r>
      <w:r w:rsidRPr="00C944DF">
        <w:t xml:space="preserve"> are defined for different classes of substances </w:t>
      </w:r>
      <w:r>
        <w:t xml:space="preserve">using the same criteria. </w:t>
      </w:r>
    </w:p>
  </w:footnote>
  <w:footnote w:id="4">
    <w:p w:rsidR="00E363A8" w:rsidRDefault="00E363A8">
      <w:pPr>
        <w:pStyle w:val="FootnoteText"/>
      </w:pPr>
      <w:r>
        <w:rPr>
          <w:rStyle w:val="FootnoteReference"/>
        </w:rPr>
        <w:footnoteRef/>
      </w:r>
      <w:r>
        <w:t xml:space="preserve"> In some cases, statistics for the 12</w:t>
      </w:r>
      <w:r w:rsidRPr="00B8754B">
        <w:rPr>
          <w:vertAlign w:val="superscript"/>
        </w:rPr>
        <w:t>th</w:t>
      </w:r>
      <w:r>
        <w:t xml:space="preserve"> grade will be lower than those for the 10</w:t>
      </w:r>
      <w:r w:rsidRPr="003C1D3B">
        <w:rPr>
          <w:vertAlign w:val="superscript"/>
        </w:rPr>
        <w:t>th</w:t>
      </w:r>
      <w:r>
        <w:t xml:space="preserve"> grade because many 16 and 17 year-olds are not enrolled in school, are absent from school, or have cut the class in which the CCYS survey was administered. Studies have shown that these students are more likely to use substances and experience negative consequences. Unlike the national Monitoring </w:t>
      </w:r>
      <w:proofErr w:type="gramStart"/>
      <w:r>
        <w:t>The</w:t>
      </w:r>
      <w:proofErr w:type="gramEnd"/>
      <w:r>
        <w:t xml:space="preserve"> Future survey, the CCYS does not statistically adjust 12</w:t>
      </w:r>
      <w:r w:rsidRPr="00B003AF">
        <w:rPr>
          <w:vertAlign w:val="superscript"/>
        </w:rPr>
        <w:t>th</w:t>
      </w:r>
      <w:r>
        <w:t xml:space="preserve"> grade data to account for drop-out and absences of high school seniors.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A9B"/>
    <w:multiLevelType w:val="hybridMultilevel"/>
    <w:tmpl w:val="FB94E2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21125"/>
    <w:multiLevelType w:val="hybridMultilevel"/>
    <w:tmpl w:val="BD3C3C60"/>
    <w:lvl w:ilvl="0" w:tplc="C21C2B54">
      <w:start w:val="1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6"/>
  </w:num>
  <w:num w:numId="5">
    <w:abstractNumId w:val="11"/>
  </w:num>
  <w:num w:numId="6">
    <w:abstractNumId w:val="1"/>
  </w:num>
  <w:num w:numId="7">
    <w:abstractNumId w:val="12"/>
  </w:num>
  <w:num w:numId="8">
    <w:abstractNumId w:val="5"/>
  </w:num>
  <w:num w:numId="9">
    <w:abstractNumId w:val="7"/>
  </w:num>
  <w:num w:numId="10">
    <w:abstractNumId w:val="4"/>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0471F"/>
    <w:rsid w:val="000231AC"/>
    <w:rsid w:val="00023F81"/>
    <w:rsid w:val="0002709E"/>
    <w:rsid w:val="000322F9"/>
    <w:rsid w:val="00034184"/>
    <w:rsid w:val="000351BF"/>
    <w:rsid w:val="0004249E"/>
    <w:rsid w:val="00047859"/>
    <w:rsid w:val="0005363D"/>
    <w:rsid w:val="0005390A"/>
    <w:rsid w:val="000632F1"/>
    <w:rsid w:val="000726C0"/>
    <w:rsid w:val="00097DAC"/>
    <w:rsid w:val="000B17FE"/>
    <w:rsid w:val="000B6FF1"/>
    <w:rsid w:val="000B7344"/>
    <w:rsid w:val="000B7A25"/>
    <w:rsid w:val="000C092D"/>
    <w:rsid w:val="000C23A6"/>
    <w:rsid w:val="000D188F"/>
    <w:rsid w:val="000E28C2"/>
    <w:rsid w:val="000F3280"/>
    <w:rsid w:val="000F7581"/>
    <w:rsid w:val="00111BB6"/>
    <w:rsid w:val="001440D4"/>
    <w:rsid w:val="0015747A"/>
    <w:rsid w:val="00185E35"/>
    <w:rsid w:val="001A20C2"/>
    <w:rsid w:val="001A7379"/>
    <w:rsid w:val="001B31CC"/>
    <w:rsid w:val="001D70F0"/>
    <w:rsid w:val="001E7474"/>
    <w:rsid w:val="001F7817"/>
    <w:rsid w:val="00200467"/>
    <w:rsid w:val="00202AD8"/>
    <w:rsid w:val="002053AD"/>
    <w:rsid w:val="00213B5A"/>
    <w:rsid w:val="00213B77"/>
    <w:rsid w:val="00226FBE"/>
    <w:rsid w:val="00231136"/>
    <w:rsid w:val="002315F0"/>
    <w:rsid w:val="002318EB"/>
    <w:rsid w:val="002422D5"/>
    <w:rsid w:val="0024791A"/>
    <w:rsid w:val="002517AA"/>
    <w:rsid w:val="00265CD5"/>
    <w:rsid w:val="00276215"/>
    <w:rsid w:val="002838EF"/>
    <w:rsid w:val="0028675C"/>
    <w:rsid w:val="00292301"/>
    <w:rsid w:val="002B140C"/>
    <w:rsid w:val="002B4D2F"/>
    <w:rsid w:val="002C066C"/>
    <w:rsid w:val="002C5D2D"/>
    <w:rsid w:val="002C7F96"/>
    <w:rsid w:val="002D1432"/>
    <w:rsid w:val="002E743D"/>
    <w:rsid w:val="00300EF9"/>
    <w:rsid w:val="00302423"/>
    <w:rsid w:val="00313F1F"/>
    <w:rsid w:val="00316184"/>
    <w:rsid w:val="003348D2"/>
    <w:rsid w:val="0036519E"/>
    <w:rsid w:val="00373396"/>
    <w:rsid w:val="00381284"/>
    <w:rsid w:val="00385362"/>
    <w:rsid w:val="003872B8"/>
    <w:rsid w:val="00392126"/>
    <w:rsid w:val="0039218D"/>
    <w:rsid w:val="00396FDF"/>
    <w:rsid w:val="003A24CA"/>
    <w:rsid w:val="003C1D3B"/>
    <w:rsid w:val="003C3E6B"/>
    <w:rsid w:val="003D7190"/>
    <w:rsid w:val="003F2303"/>
    <w:rsid w:val="003F364B"/>
    <w:rsid w:val="0040052C"/>
    <w:rsid w:val="004054D8"/>
    <w:rsid w:val="00464259"/>
    <w:rsid w:val="004659FE"/>
    <w:rsid w:val="00467FD8"/>
    <w:rsid w:val="004715C2"/>
    <w:rsid w:val="0047387B"/>
    <w:rsid w:val="004774ED"/>
    <w:rsid w:val="00486160"/>
    <w:rsid w:val="00497FCF"/>
    <w:rsid w:val="004A474C"/>
    <w:rsid w:val="004B313F"/>
    <w:rsid w:val="004B67B2"/>
    <w:rsid w:val="004D57B2"/>
    <w:rsid w:val="004E7EF2"/>
    <w:rsid w:val="004F4264"/>
    <w:rsid w:val="004F490D"/>
    <w:rsid w:val="00502AAF"/>
    <w:rsid w:val="0050458C"/>
    <w:rsid w:val="00510609"/>
    <w:rsid w:val="00511A20"/>
    <w:rsid w:val="0051731B"/>
    <w:rsid w:val="005230A7"/>
    <w:rsid w:val="005235B8"/>
    <w:rsid w:val="00526DB0"/>
    <w:rsid w:val="005344A6"/>
    <w:rsid w:val="00543586"/>
    <w:rsid w:val="00546230"/>
    <w:rsid w:val="00550778"/>
    <w:rsid w:val="00563573"/>
    <w:rsid w:val="00570139"/>
    <w:rsid w:val="00585D37"/>
    <w:rsid w:val="005917EF"/>
    <w:rsid w:val="005A6483"/>
    <w:rsid w:val="0060239C"/>
    <w:rsid w:val="00611296"/>
    <w:rsid w:val="006234C4"/>
    <w:rsid w:val="00623DD2"/>
    <w:rsid w:val="006349A9"/>
    <w:rsid w:val="00647983"/>
    <w:rsid w:val="00650C16"/>
    <w:rsid w:val="00653608"/>
    <w:rsid w:val="00684CF0"/>
    <w:rsid w:val="00693BBB"/>
    <w:rsid w:val="00694BCF"/>
    <w:rsid w:val="0069748D"/>
    <w:rsid w:val="006A1485"/>
    <w:rsid w:val="006A65C8"/>
    <w:rsid w:val="006A760E"/>
    <w:rsid w:val="006B22A9"/>
    <w:rsid w:val="006B2887"/>
    <w:rsid w:val="006B5994"/>
    <w:rsid w:val="006E0221"/>
    <w:rsid w:val="006E4BC1"/>
    <w:rsid w:val="006E5B17"/>
    <w:rsid w:val="00700B20"/>
    <w:rsid w:val="00706BC9"/>
    <w:rsid w:val="007214C6"/>
    <w:rsid w:val="00721AA5"/>
    <w:rsid w:val="00722A7F"/>
    <w:rsid w:val="0072384A"/>
    <w:rsid w:val="007439F1"/>
    <w:rsid w:val="0075355D"/>
    <w:rsid w:val="0075378D"/>
    <w:rsid w:val="007619DF"/>
    <w:rsid w:val="00763C02"/>
    <w:rsid w:val="007A023C"/>
    <w:rsid w:val="007C47F2"/>
    <w:rsid w:val="007D02E3"/>
    <w:rsid w:val="007F7176"/>
    <w:rsid w:val="008020DA"/>
    <w:rsid w:val="008048A2"/>
    <w:rsid w:val="008048BC"/>
    <w:rsid w:val="00812E90"/>
    <w:rsid w:val="008302C3"/>
    <w:rsid w:val="008324A9"/>
    <w:rsid w:val="00834972"/>
    <w:rsid w:val="0083524A"/>
    <w:rsid w:val="00841603"/>
    <w:rsid w:val="00843D1D"/>
    <w:rsid w:val="00852ED9"/>
    <w:rsid w:val="00862080"/>
    <w:rsid w:val="00863480"/>
    <w:rsid w:val="00881253"/>
    <w:rsid w:val="008967A1"/>
    <w:rsid w:val="008A0526"/>
    <w:rsid w:val="008B3091"/>
    <w:rsid w:val="008C2670"/>
    <w:rsid w:val="008D5706"/>
    <w:rsid w:val="008D578E"/>
    <w:rsid w:val="008D65F1"/>
    <w:rsid w:val="008D699F"/>
    <w:rsid w:val="008E3CEA"/>
    <w:rsid w:val="008F74AA"/>
    <w:rsid w:val="00903C7E"/>
    <w:rsid w:val="0094555E"/>
    <w:rsid w:val="00952A15"/>
    <w:rsid w:val="00952A84"/>
    <w:rsid w:val="00956EBD"/>
    <w:rsid w:val="0096217B"/>
    <w:rsid w:val="00962F2E"/>
    <w:rsid w:val="00975E1E"/>
    <w:rsid w:val="00985016"/>
    <w:rsid w:val="00991DE8"/>
    <w:rsid w:val="009A0516"/>
    <w:rsid w:val="009A0930"/>
    <w:rsid w:val="009C039F"/>
    <w:rsid w:val="009C534C"/>
    <w:rsid w:val="009C774F"/>
    <w:rsid w:val="009D1DAB"/>
    <w:rsid w:val="009E292F"/>
    <w:rsid w:val="009E33E9"/>
    <w:rsid w:val="009E47FF"/>
    <w:rsid w:val="009E4F6A"/>
    <w:rsid w:val="009E7ABE"/>
    <w:rsid w:val="009F5C72"/>
    <w:rsid w:val="009F7E2B"/>
    <w:rsid w:val="00A02D06"/>
    <w:rsid w:val="00A06288"/>
    <w:rsid w:val="00A217F3"/>
    <w:rsid w:val="00A253CA"/>
    <w:rsid w:val="00A30BFF"/>
    <w:rsid w:val="00A37AD2"/>
    <w:rsid w:val="00A40751"/>
    <w:rsid w:val="00A4227B"/>
    <w:rsid w:val="00A530EB"/>
    <w:rsid w:val="00A84EAC"/>
    <w:rsid w:val="00A85D4E"/>
    <w:rsid w:val="00A8644E"/>
    <w:rsid w:val="00A974AC"/>
    <w:rsid w:val="00AA50F0"/>
    <w:rsid w:val="00AB44E8"/>
    <w:rsid w:val="00AB5655"/>
    <w:rsid w:val="00AC3FD1"/>
    <w:rsid w:val="00AD6173"/>
    <w:rsid w:val="00AD7D91"/>
    <w:rsid w:val="00AE4C4D"/>
    <w:rsid w:val="00AF2EF1"/>
    <w:rsid w:val="00AF5A02"/>
    <w:rsid w:val="00B003AF"/>
    <w:rsid w:val="00B03D3C"/>
    <w:rsid w:val="00B17616"/>
    <w:rsid w:val="00B27FC3"/>
    <w:rsid w:val="00B3464C"/>
    <w:rsid w:val="00B36752"/>
    <w:rsid w:val="00B55AFE"/>
    <w:rsid w:val="00B5643F"/>
    <w:rsid w:val="00B610DC"/>
    <w:rsid w:val="00B66E99"/>
    <w:rsid w:val="00B8754B"/>
    <w:rsid w:val="00B964DB"/>
    <w:rsid w:val="00BA1646"/>
    <w:rsid w:val="00BB36AD"/>
    <w:rsid w:val="00BC0572"/>
    <w:rsid w:val="00BD41FF"/>
    <w:rsid w:val="00BD55A5"/>
    <w:rsid w:val="00BE39EA"/>
    <w:rsid w:val="00BE40AA"/>
    <w:rsid w:val="00BE44FD"/>
    <w:rsid w:val="00BF3BFB"/>
    <w:rsid w:val="00C13A65"/>
    <w:rsid w:val="00C17E6A"/>
    <w:rsid w:val="00C26157"/>
    <w:rsid w:val="00C26DD8"/>
    <w:rsid w:val="00C33589"/>
    <w:rsid w:val="00C338CA"/>
    <w:rsid w:val="00C3496C"/>
    <w:rsid w:val="00C37B60"/>
    <w:rsid w:val="00C37BC0"/>
    <w:rsid w:val="00C42104"/>
    <w:rsid w:val="00C51071"/>
    <w:rsid w:val="00C57910"/>
    <w:rsid w:val="00C64A71"/>
    <w:rsid w:val="00C71677"/>
    <w:rsid w:val="00C74571"/>
    <w:rsid w:val="00C81ED2"/>
    <w:rsid w:val="00CA061B"/>
    <w:rsid w:val="00CA1B35"/>
    <w:rsid w:val="00CB19AA"/>
    <w:rsid w:val="00CC58D0"/>
    <w:rsid w:val="00CD0F6F"/>
    <w:rsid w:val="00CF28AC"/>
    <w:rsid w:val="00CF5AA4"/>
    <w:rsid w:val="00CF5D44"/>
    <w:rsid w:val="00D022D5"/>
    <w:rsid w:val="00D146B2"/>
    <w:rsid w:val="00D241E5"/>
    <w:rsid w:val="00D32C66"/>
    <w:rsid w:val="00D32C67"/>
    <w:rsid w:val="00D342CF"/>
    <w:rsid w:val="00D66870"/>
    <w:rsid w:val="00D766CA"/>
    <w:rsid w:val="00DA48BC"/>
    <w:rsid w:val="00DB192E"/>
    <w:rsid w:val="00DC0DE1"/>
    <w:rsid w:val="00DD1E24"/>
    <w:rsid w:val="00DE2F3C"/>
    <w:rsid w:val="00DE3207"/>
    <w:rsid w:val="00DF1139"/>
    <w:rsid w:val="00DF7594"/>
    <w:rsid w:val="00DF79E9"/>
    <w:rsid w:val="00E14B1C"/>
    <w:rsid w:val="00E363A8"/>
    <w:rsid w:val="00E43CEA"/>
    <w:rsid w:val="00E515E0"/>
    <w:rsid w:val="00E60081"/>
    <w:rsid w:val="00E6708D"/>
    <w:rsid w:val="00E734E4"/>
    <w:rsid w:val="00E77285"/>
    <w:rsid w:val="00E81BD9"/>
    <w:rsid w:val="00E82620"/>
    <w:rsid w:val="00E8405F"/>
    <w:rsid w:val="00E93BE6"/>
    <w:rsid w:val="00E95D8C"/>
    <w:rsid w:val="00EA1D6F"/>
    <w:rsid w:val="00EA430E"/>
    <w:rsid w:val="00EB2A9A"/>
    <w:rsid w:val="00EB71B1"/>
    <w:rsid w:val="00EC04F1"/>
    <w:rsid w:val="00EC1935"/>
    <w:rsid w:val="00EC4DFE"/>
    <w:rsid w:val="00EC5CFD"/>
    <w:rsid w:val="00EC60D6"/>
    <w:rsid w:val="00EE6935"/>
    <w:rsid w:val="00EF0510"/>
    <w:rsid w:val="00F0327E"/>
    <w:rsid w:val="00F20286"/>
    <w:rsid w:val="00F34E10"/>
    <w:rsid w:val="00F41603"/>
    <w:rsid w:val="00F529D6"/>
    <w:rsid w:val="00F6309C"/>
    <w:rsid w:val="00F7602E"/>
    <w:rsid w:val="00F77D5B"/>
    <w:rsid w:val="00F90C20"/>
    <w:rsid w:val="00F91210"/>
    <w:rsid w:val="00F94B0C"/>
    <w:rsid w:val="00FA08C5"/>
    <w:rsid w:val="00FA1B45"/>
    <w:rsid w:val="00FA1C4F"/>
    <w:rsid w:val="00FB20B9"/>
    <w:rsid w:val="00FB48D1"/>
    <w:rsid w:val="00FB615F"/>
    <w:rsid w:val="00FC3C21"/>
    <w:rsid w:val="00FD4223"/>
    <w:rsid w:val="00FD4738"/>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D5"/>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D5"/>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associates.net/gno-profi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ach-harrison.com/lasocialindicators" TargetMode="External"/><Relationship Id="rId2" Type="http://schemas.openxmlformats.org/officeDocument/2006/relationships/hyperlink" Target="http://www.picardcenter.org/ResearchAreas/QualityOfLife/CCYS/Pages/CCYS_default.aspx" TargetMode="External"/><Relationship Id="rId1" Type="http://schemas.openxmlformats.org/officeDocument/2006/relationships/hyperlink" Target="http://arc-associates.net/gno-pro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25</TotalTime>
  <Pages>1</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5</cp:revision>
  <cp:lastPrinted>2014-03-17T14:36:00Z</cp:lastPrinted>
  <dcterms:created xsi:type="dcterms:W3CDTF">2014-03-17T14:07:00Z</dcterms:created>
  <dcterms:modified xsi:type="dcterms:W3CDTF">2014-03-17T14:38:00Z</dcterms:modified>
</cp:coreProperties>
</file>