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7C" w:rsidRDefault="006F127C" w:rsidP="006F127C">
      <w:pPr>
        <w:jc w:val="right"/>
        <w:rPr>
          <w:b/>
          <w:sz w:val="28"/>
          <w:szCs w:val="28"/>
        </w:rPr>
      </w:pPr>
      <w:r>
        <w:rPr>
          <w:noProof/>
        </w:rPr>
        <w:drawing>
          <wp:anchor distT="0" distB="0" distL="114300" distR="114300" simplePos="0" relativeHeight="251659264" behindDoc="0" locked="0" layoutInCell="1" allowOverlap="1" wp14:anchorId="41E03B38" wp14:editId="524C9E1F">
            <wp:simplePos x="0" y="0"/>
            <wp:positionH relativeFrom="column">
              <wp:posOffset>-16510</wp:posOffset>
            </wp:positionH>
            <wp:positionV relativeFrom="paragraph">
              <wp:posOffset>-16510</wp:posOffset>
            </wp:positionV>
            <wp:extent cx="1627505" cy="1682115"/>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505" cy="1682115"/>
                    </a:xfrm>
                    <a:prstGeom prst="rect">
                      <a:avLst/>
                    </a:prstGeom>
                    <a:noFill/>
                  </pic:spPr>
                </pic:pic>
              </a:graphicData>
            </a:graphic>
            <wp14:sizeRelH relativeFrom="margin">
              <wp14:pctWidth>0</wp14:pctWidth>
            </wp14:sizeRelH>
            <wp14:sizeRelV relativeFrom="margin">
              <wp14:pctHeight>0</wp14:pctHeight>
            </wp14:sizeRelV>
          </wp:anchor>
        </w:drawing>
      </w: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Pr>
        <w:jc w:val="right"/>
        <w:rPr>
          <w:b/>
          <w:sz w:val="28"/>
          <w:szCs w:val="28"/>
        </w:rPr>
      </w:pPr>
    </w:p>
    <w:p w:rsidR="006F127C" w:rsidRDefault="006F127C" w:rsidP="006F127C"/>
    <w:p w:rsidR="006F127C" w:rsidRPr="006F127C" w:rsidRDefault="006F127C" w:rsidP="006F127C">
      <w:pPr>
        <w:jc w:val="center"/>
        <w:rPr>
          <w:b/>
          <w:sz w:val="44"/>
          <w:szCs w:val="44"/>
        </w:rPr>
      </w:pPr>
      <w:r w:rsidRPr="006F127C">
        <w:rPr>
          <w:b/>
          <w:sz w:val="44"/>
          <w:szCs w:val="44"/>
        </w:rPr>
        <w:t>Summary of 2013</w:t>
      </w:r>
    </w:p>
    <w:p w:rsidR="006F127C" w:rsidRPr="006F127C" w:rsidRDefault="006F127C" w:rsidP="006F127C">
      <w:pPr>
        <w:jc w:val="center"/>
        <w:rPr>
          <w:b/>
          <w:sz w:val="44"/>
          <w:szCs w:val="44"/>
        </w:rPr>
      </w:pPr>
      <w:r w:rsidRPr="006F127C">
        <w:rPr>
          <w:b/>
          <w:sz w:val="44"/>
          <w:szCs w:val="44"/>
        </w:rPr>
        <w:t>Core Institute College Student Survey Findings</w:t>
      </w:r>
    </w:p>
    <w:p w:rsidR="006F127C" w:rsidRPr="002422D5" w:rsidRDefault="006F127C" w:rsidP="006F127C">
      <w:pPr>
        <w:jc w:val="center"/>
        <w:rPr>
          <w:b/>
          <w:sz w:val="44"/>
          <w:szCs w:val="44"/>
        </w:rPr>
      </w:pPr>
      <w:proofErr w:type="gramStart"/>
      <w:r w:rsidRPr="006F127C">
        <w:rPr>
          <w:b/>
          <w:sz w:val="44"/>
          <w:szCs w:val="44"/>
        </w:rPr>
        <w:t>for</w:t>
      </w:r>
      <w:proofErr w:type="gramEnd"/>
      <w:r w:rsidRPr="006F127C">
        <w:rPr>
          <w:b/>
          <w:sz w:val="44"/>
          <w:szCs w:val="44"/>
        </w:rPr>
        <w:t xml:space="preserve"> Greater New Orleans</w:t>
      </w:r>
    </w:p>
    <w:p w:rsidR="006F127C" w:rsidRDefault="006F127C" w:rsidP="006F127C">
      <w:pPr>
        <w:rPr>
          <w:b/>
          <w:szCs w:val="24"/>
        </w:rPr>
      </w:pPr>
    </w:p>
    <w:p w:rsidR="006F127C" w:rsidRDefault="006F127C" w:rsidP="006F127C">
      <w:pPr>
        <w:rPr>
          <w:b/>
          <w:szCs w:val="24"/>
        </w:rPr>
      </w:pPr>
    </w:p>
    <w:p w:rsidR="006F127C" w:rsidRDefault="006F127C" w:rsidP="006F127C">
      <w:pPr>
        <w:rPr>
          <w:b/>
          <w:szCs w:val="24"/>
        </w:rPr>
      </w:pPr>
    </w:p>
    <w:p w:rsidR="006F127C" w:rsidRDefault="006F127C" w:rsidP="006F127C">
      <w:pPr>
        <w:rPr>
          <w:b/>
          <w:szCs w:val="24"/>
        </w:rPr>
      </w:pPr>
    </w:p>
    <w:p w:rsidR="006F127C" w:rsidRDefault="006F127C" w:rsidP="006F127C">
      <w:pPr>
        <w:jc w:val="center"/>
        <w:rPr>
          <w:b/>
          <w:szCs w:val="24"/>
        </w:rPr>
      </w:pPr>
      <w:r>
        <w:rPr>
          <w:b/>
          <w:szCs w:val="24"/>
        </w:rPr>
        <w:t xml:space="preserve">Prepared for </w:t>
      </w:r>
    </w:p>
    <w:p w:rsidR="006F127C" w:rsidRDefault="006F127C" w:rsidP="006F127C">
      <w:pPr>
        <w:jc w:val="center"/>
        <w:rPr>
          <w:b/>
          <w:szCs w:val="24"/>
        </w:rPr>
      </w:pPr>
    </w:p>
    <w:p w:rsidR="006F127C" w:rsidRPr="00573027" w:rsidRDefault="006F127C" w:rsidP="006F127C">
      <w:pPr>
        <w:jc w:val="center"/>
        <w:rPr>
          <w:b/>
          <w:sz w:val="28"/>
          <w:szCs w:val="28"/>
        </w:rPr>
      </w:pPr>
      <w:r w:rsidRPr="00573027">
        <w:rPr>
          <w:b/>
          <w:sz w:val="28"/>
          <w:szCs w:val="28"/>
        </w:rPr>
        <w:t>Greater New Orleans</w:t>
      </w:r>
    </w:p>
    <w:p w:rsidR="006F127C" w:rsidRPr="00573027" w:rsidRDefault="006F127C" w:rsidP="006F127C">
      <w:pPr>
        <w:jc w:val="center"/>
        <w:rPr>
          <w:b/>
          <w:sz w:val="28"/>
          <w:szCs w:val="28"/>
        </w:rPr>
      </w:pPr>
      <w:r w:rsidRPr="00573027">
        <w:rPr>
          <w:b/>
          <w:sz w:val="28"/>
          <w:szCs w:val="28"/>
        </w:rPr>
        <w:t>Drug Demand Reduction Coalition</w:t>
      </w:r>
    </w:p>
    <w:p w:rsidR="006F127C" w:rsidRDefault="006F127C" w:rsidP="006F127C">
      <w:pPr>
        <w:jc w:val="center"/>
        <w:rPr>
          <w:b/>
          <w:szCs w:val="24"/>
        </w:rPr>
      </w:pPr>
    </w:p>
    <w:p w:rsidR="006F127C" w:rsidRDefault="006F127C" w:rsidP="006F127C">
      <w:pPr>
        <w:jc w:val="center"/>
        <w:rPr>
          <w:b/>
          <w:szCs w:val="24"/>
        </w:rPr>
      </w:pPr>
    </w:p>
    <w:p w:rsidR="006F127C" w:rsidRDefault="006F127C" w:rsidP="006F127C">
      <w:pPr>
        <w:jc w:val="center"/>
        <w:rPr>
          <w:b/>
          <w:szCs w:val="24"/>
        </w:rPr>
      </w:pPr>
      <w:r>
        <w:rPr>
          <w:b/>
          <w:szCs w:val="24"/>
        </w:rPr>
        <w:t>Supported by</w:t>
      </w:r>
    </w:p>
    <w:p w:rsidR="006F127C" w:rsidRDefault="006F127C" w:rsidP="006F127C">
      <w:pPr>
        <w:jc w:val="center"/>
        <w:rPr>
          <w:b/>
          <w:szCs w:val="24"/>
        </w:rPr>
      </w:pPr>
    </w:p>
    <w:p w:rsidR="006F127C" w:rsidRPr="00573027" w:rsidRDefault="006F127C" w:rsidP="006F127C">
      <w:pPr>
        <w:jc w:val="center"/>
        <w:rPr>
          <w:b/>
          <w:sz w:val="28"/>
          <w:szCs w:val="24"/>
        </w:rPr>
      </w:pPr>
      <w:r w:rsidRPr="00573027">
        <w:rPr>
          <w:b/>
          <w:sz w:val="28"/>
          <w:szCs w:val="24"/>
        </w:rPr>
        <w:t>Metropolitan Human Services District</w:t>
      </w:r>
    </w:p>
    <w:p w:rsidR="006F127C" w:rsidRDefault="006F127C" w:rsidP="006F127C">
      <w:pPr>
        <w:rPr>
          <w:b/>
          <w:szCs w:val="24"/>
        </w:rPr>
      </w:pPr>
    </w:p>
    <w:p w:rsidR="006F127C" w:rsidRDefault="006F127C" w:rsidP="006F127C">
      <w:pPr>
        <w:rPr>
          <w:b/>
          <w:szCs w:val="24"/>
        </w:rPr>
      </w:pPr>
    </w:p>
    <w:p w:rsidR="006F127C" w:rsidRDefault="006F127C" w:rsidP="006F127C">
      <w:pPr>
        <w:rPr>
          <w:b/>
          <w:szCs w:val="24"/>
        </w:rPr>
      </w:pPr>
    </w:p>
    <w:p w:rsidR="006F127C" w:rsidRPr="00D766CA" w:rsidRDefault="00D7605B" w:rsidP="006F127C">
      <w:pPr>
        <w:jc w:val="center"/>
        <w:rPr>
          <w:b/>
          <w:sz w:val="28"/>
          <w:szCs w:val="28"/>
        </w:rPr>
      </w:pPr>
      <w:r>
        <w:rPr>
          <w:b/>
          <w:sz w:val="28"/>
          <w:szCs w:val="28"/>
        </w:rPr>
        <w:t>June</w:t>
      </w:r>
      <w:bookmarkStart w:id="0" w:name="_GoBack"/>
      <w:bookmarkEnd w:id="0"/>
      <w:r w:rsidR="006F127C">
        <w:rPr>
          <w:b/>
          <w:sz w:val="28"/>
          <w:szCs w:val="28"/>
        </w:rPr>
        <w:t xml:space="preserve"> 30</w:t>
      </w:r>
      <w:r w:rsidR="006F127C" w:rsidRPr="00D766CA">
        <w:rPr>
          <w:b/>
          <w:sz w:val="28"/>
          <w:szCs w:val="28"/>
        </w:rPr>
        <w:t>, 2014</w:t>
      </w:r>
    </w:p>
    <w:p w:rsidR="006F127C" w:rsidRDefault="006F127C" w:rsidP="006F127C">
      <w:pPr>
        <w:rPr>
          <w:b/>
          <w:szCs w:val="24"/>
        </w:rPr>
      </w:pPr>
    </w:p>
    <w:p w:rsidR="006F127C" w:rsidRDefault="006F127C" w:rsidP="006F127C">
      <w:pPr>
        <w:rPr>
          <w:b/>
          <w:szCs w:val="24"/>
        </w:rPr>
      </w:pPr>
    </w:p>
    <w:p w:rsidR="006F127C" w:rsidRDefault="006F127C" w:rsidP="006F127C">
      <w:pPr>
        <w:rPr>
          <w:b/>
          <w:szCs w:val="24"/>
        </w:rPr>
      </w:pPr>
    </w:p>
    <w:tbl>
      <w:tblPr>
        <w:tblW w:w="4643" w:type="dxa"/>
        <w:jc w:val="center"/>
        <w:tblCellMar>
          <w:left w:w="0" w:type="dxa"/>
          <w:right w:w="0" w:type="dxa"/>
        </w:tblCellMar>
        <w:tblLook w:val="04A0" w:firstRow="1" w:lastRow="0" w:firstColumn="1" w:lastColumn="0" w:noHBand="0" w:noVBand="1"/>
      </w:tblPr>
      <w:tblGrid>
        <w:gridCol w:w="4643"/>
      </w:tblGrid>
      <w:tr w:rsidR="006F127C" w:rsidRPr="000B7A25" w:rsidTr="00773B3D">
        <w:trPr>
          <w:trHeight w:val="1429"/>
          <w:jc w:val="center"/>
        </w:trPr>
        <w:tc>
          <w:tcPr>
            <w:tcW w:w="4643" w:type="dxa"/>
            <w:vAlign w:val="bottom"/>
            <w:hideMark/>
          </w:tcPr>
          <w:p w:rsidR="006F127C" w:rsidRPr="000B7A25" w:rsidRDefault="006F127C" w:rsidP="00773B3D">
            <w:pPr>
              <w:jc w:val="center"/>
              <w:rPr>
                <w:rFonts w:ascii="Garamond" w:hAnsi="Garamond" w:cs="Aharoni"/>
                <w:b/>
                <w:color w:val="600000"/>
                <w:sz w:val="52"/>
                <w:szCs w:val="72"/>
              </w:rPr>
            </w:pPr>
            <w:r w:rsidRPr="000B7A25">
              <w:rPr>
                <w:rFonts w:ascii="Garamond" w:hAnsi="Garamond" w:cs="Aharoni"/>
                <w:b/>
                <w:color w:val="600000"/>
                <w:sz w:val="52"/>
                <w:szCs w:val="72"/>
              </w:rPr>
              <w:t xml:space="preserve">ARC </w:t>
            </w:r>
            <w:r w:rsidRPr="000B7A25">
              <w:rPr>
                <w:rFonts w:ascii="Garamond" w:hAnsi="Garamond" w:cs="Aharoni"/>
                <w:b/>
                <w:color w:val="600000"/>
                <w:sz w:val="52"/>
                <w:szCs w:val="64"/>
              </w:rPr>
              <w:t>Associates</w:t>
            </w:r>
          </w:p>
          <w:p w:rsidR="006F127C" w:rsidRDefault="006F127C" w:rsidP="00773B3D">
            <w:pPr>
              <w:jc w:val="center"/>
              <w:rPr>
                <w:rFonts w:ascii="Garamond" w:hAnsi="Garamond"/>
                <w:b/>
                <w:color w:val="600000"/>
                <w:sz w:val="28"/>
                <w:szCs w:val="36"/>
              </w:rPr>
            </w:pPr>
            <w:r w:rsidRPr="000B7A25">
              <w:rPr>
                <w:rFonts w:ascii="Garamond" w:hAnsi="Garamond"/>
                <w:b/>
                <w:color w:val="600000"/>
                <w:sz w:val="28"/>
                <w:szCs w:val="36"/>
              </w:rPr>
              <w:t>Applied Research Consulting</w:t>
            </w:r>
          </w:p>
          <w:p w:rsidR="006F127C" w:rsidRPr="000B7A25" w:rsidRDefault="006F127C" w:rsidP="00773B3D">
            <w:pPr>
              <w:jc w:val="center"/>
              <w:rPr>
                <w:rFonts w:ascii="Garamond" w:hAnsi="Garamond"/>
                <w:b/>
                <w:color w:val="600000"/>
                <w:szCs w:val="24"/>
              </w:rPr>
            </w:pPr>
            <w:r w:rsidRPr="00D766CA">
              <w:rPr>
                <w:rFonts w:ascii="Garamond" w:hAnsi="Garamond"/>
                <w:b/>
                <w:color w:val="600000"/>
                <w:szCs w:val="24"/>
              </w:rPr>
              <w:t>www.ARC-Associates.net</w:t>
            </w:r>
          </w:p>
        </w:tc>
      </w:tr>
    </w:tbl>
    <w:p w:rsidR="006F127C" w:rsidRDefault="006F127C" w:rsidP="006F127C">
      <w:pPr>
        <w:jc w:val="both"/>
        <w:rPr>
          <w:szCs w:val="24"/>
          <w:u w:val="single"/>
        </w:rPr>
      </w:pPr>
      <w:r w:rsidRPr="00771E88">
        <w:rPr>
          <w:b/>
          <w:szCs w:val="24"/>
        </w:rPr>
        <w:br w:type="page"/>
      </w: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Pr="009E33E9" w:rsidRDefault="006F127C" w:rsidP="006F127C">
      <w:pPr>
        <w:jc w:val="center"/>
        <w:rPr>
          <w:b/>
          <w:sz w:val="28"/>
          <w:szCs w:val="28"/>
        </w:rPr>
      </w:pPr>
      <w:r w:rsidRPr="009E33E9">
        <w:rPr>
          <w:b/>
          <w:sz w:val="28"/>
          <w:szCs w:val="28"/>
        </w:rPr>
        <w:t>ARC Associates</w:t>
      </w:r>
    </w:p>
    <w:p w:rsidR="006F127C" w:rsidRDefault="006F127C" w:rsidP="006F127C">
      <w:pPr>
        <w:jc w:val="center"/>
        <w:rPr>
          <w:b/>
          <w:szCs w:val="24"/>
        </w:rPr>
      </w:pPr>
      <w:r w:rsidRPr="009E33E9">
        <w:rPr>
          <w:b/>
          <w:szCs w:val="24"/>
        </w:rPr>
        <w:t>Applied Research Consulting</w:t>
      </w:r>
    </w:p>
    <w:p w:rsidR="006F127C" w:rsidRDefault="006F127C" w:rsidP="006F127C">
      <w:pPr>
        <w:jc w:val="center"/>
        <w:rPr>
          <w:b/>
          <w:szCs w:val="24"/>
        </w:rPr>
      </w:pPr>
      <w:r>
        <w:rPr>
          <w:b/>
          <w:szCs w:val="24"/>
        </w:rPr>
        <w:t>22 Pine Avenue</w:t>
      </w:r>
    </w:p>
    <w:p w:rsidR="006F127C" w:rsidRDefault="006F127C" w:rsidP="006F127C">
      <w:pPr>
        <w:jc w:val="center"/>
        <w:rPr>
          <w:b/>
          <w:szCs w:val="24"/>
        </w:rPr>
      </w:pPr>
      <w:r>
        <w:rPr>
          <w:b/>
          <w:szCs w:val="24"/>
        </w:rPr>
        <w:t>Albany NY</w:t>
      </w:r>
    </w:p>
    <w:p w:rsidR="006F127C" w:rsidRDefault="006F127C" w:rsidP="006F127C">
      <w:pPr>
        <w:jc w:val="center"/>
        <w:rPr>
          <w:b/>
          <w:szCs w:val="24"/>
        </w:rPr>
      </w:pPr>
      <w:r>
        <w:rPr>
          <w:b/>
          <w:szCs w:val="24"/>
        </w:rPr>
        <w:t>12205-4304</w:t>
      </w:r>
    </w:p>
    <w:p w:rsidR="006F127C" w:rsidRPr="009E33E9" w:rsidRDefault="006F127C" w:rsidP="006F127C">
      <w:pPr>
        <w:jc w:val="center"/>
        <w:rPr>
          <w:b/>
          <w:szCs w:val="24"/>
        </w:rPr>
      </w:pPr>
    </w:p>
    <w:p w:rsidR="006F127C" w:rsidRPr="009E33E9" w:rsidRDefault="006F127C" w:rsidP="006F127C">
      <w:pPr>
        <w:jc w:val="center"/>
        <w:rPr>
          <w:szCs w:val="24"/>
        </w:rPr>
      </w:pPr>
      <w:r w:rsidRPr="009E33E9">
        <w:rPr>
          <w:b/>
          <w:szCs w:val="24"/>
        </w:rPr>
        <w:t>www.ARC-Associates.net</w:t>
      </w: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jc w:val="center"/>
        <w:rPr>
          <w:szCs w:val="24"/>
          <w:u w:val="single"/>
        </w:rPr>
      </w:pPr>
    </w:p>
    <w:p w:rsidR="006F127C" w:rsidRDefault="006F127C" w:rsidP="006F127C">
      <w:pPr>
        <w:ind w:left="720"/>
        <w:rPr>
          <w:szCs w:val="24"/>
        </w:rPr>
      </w:pPr>
      <w:r w:rsidRPr="00A40751">
        <w:rPr>
          <w:szCs w:val="24"/>
        </w:rPr>
        <w:t>Suggested citation:</w:t>
      </w:r>
    </w:p>
    <w:p w:rsidR="0064758C" w:rsidRPr="0064758C" w:rsidRDefault="006F127C" w:rsidP="0064758C">
      <w:pPr>
        <w:ind w:left="720"/>
        <w:rPr>
          <w:i/>
          <w:szCs w:val="24"/>
        </w:rPr>
      </w:pPr>
      <w:proofErr w:type="gramStart"/>
      <w:r>
        <w:rPr>
          <w:szCs w:val="24"/>
        </w:rPr>
        <w:t>R J Gallati.</w:t>
      </w:r>
      <w:proofErr w:type="gramEnd"/>
      <w:r>
        <w:rPr>
          <w:szCs w:val="24"/>
        </w:rPr>
        <w:t xml:space="preserve"> (2014) </w:t>
      </w:r>
      <w:r w:rsidRPr="00A40751">
        <w:rPr>
          <w:i/>
          <w:szCs w:val="24"/>
        </w:rPr>
        <w:t xml:space="preserve">Summary </w:t>
      </w:r>
      <w:r w:rsidRPr="0064758C">
        <w:rPr>
          <w:i/>
          <w:szCs w:val="24"/>
        </w:rPr>
        <w:t xml:space="preserve">of </w:t>
      </w:r>
      <w:r w:rsidR="0064758C" w:rsidRPr="0064758C">
        <w:rPr>
          <w:i/>
          <w:szCs w:val="24"/>
        </w:rPr>
        <w:t>2013Core Institute College Student Survey Findings</w:t>
      </w:r>
    </w:p>
    <w:p w:rsidR="006F127C" w:rsidRPr="00A40751" w:rsidRDefault="0064758C" w:rsidP="0064758C">
      <w:pPr>
        <w:ind w:left="720"/>
        <w:rPr>
          <w:szCs w:val="24"/>
        </w:rPr>
      </w:pPr>
      <w:proofErr w:type="gramStart"/>
      <w:r w:rsidRPr="0064758C">
        <w:rPr>
          <w:i/>
          <w:szCs w:val="24"/>
        </w:rPr>
        <w:t>for</w:t>
      </w:r>
      <w:proofErr w:type="gramEnd"/>
      <w:r w:rsidRPr="0064758C">
        <w:rPr>
          <w:i/>
          <w:szCs w:val="24"/>
        </w:rPr>
        <w:t xml:space="preserve"> Greater New Orleans</w:t>
      </w:r>
      <w:r w:rsidR="006F127C" w:rsidRPr="0064758C">
        <w:rPr>
          <w:szCs w:val="24"/>
        </w:rPr>
        <w:t>.</w:t>
      </w:r>
      <w:r w:rsidR="006F127C">
        <w:rPr>
          <w:szCs w:val="24"/>
        </w:rPr>
        <w:t xml:space="preserve"> ARC Associates, Albany NY, April 2014. Available at: </w:t>
      </w:r>
      <w:hyperlink r:id="rId9" w:history="1">
        <w:r w:rsidR="006F127C" w:rsidRPr="001C2E29">
          <w:rPr>
            <w:rStyle w:val="Hyperlink"/>
            <w:szCs w:val="24"/>
          </w:rPr>
          <w:t>http://arc-associates.net/gno-profile</w:t>
        </w:r>
      </w:hyperlink>
      <w:r w:rsidR="006F127C">
        <w:rPr>
          <w:szCs w:val="24"/>
        </w:rPr>
        <w:t xml:space="preserve"> .</w:t>
      </w:r>
    </w:p>
    <w:p w:rsidR="006F127C" w:rsidRDefault="006F127C" w:rsidP="006F127C"/>
    <w:p w:rsidR="0064758C" w:rsidRDefault="0064758C" w:rsidP="006F127C">
      <w:pPr>
        <w:jc w:val="right"/>
        <w:rPr>
          <w:b/>
          <w:sz w:val="28"/>
          <w:szCs w:val="28"/>
        </w:rPr>
        <w:sectPr w:rsidR="0064758C" w:rsidSect="007214C6">
          <w:footerReference w:type="default" r:id="rId10"/>
          <w:pgSz w:w="12240" w:h="15840" w:code="1"/>
          <w:pgMar w:top="1440" w:right="1440" w:bottom="1440" w:left="1440" w:header="720" w:footer="720" w:gutter="0"/>
          <w:cols w:space="720"/>
        </w:sectPr>
      </w:pPr>
    </w:p>
    <w:p w:rsidR="005C5BA1" w:rsidRDefault="005C5BA1" w:rsidP="003961C1">
      <w:pPr>
        <w:jc w:val="center"/>
        <w:rPr>
          <w:b/>
        </w:rPr>
      </w:pPr>
    </w:p>
    <w:p w:rsidR="005C5BA1" w:rsidRDefault="005C5BA1" w:rsidP="003961C1">
      <w:pPr>
        <w:jc w:val="center"/>
        <w:rPr>
          <w:b/>
        </w:rPr>
      </w:pPr>
    </w:p>
    <w:p w:rsidR="004B17A9" w:rsidRPr="003961C1" w:rsidRDefault="004B17A9" w:rsidP="003961C1">
      <w:pPr>
        <w:jc w:val="center"/>
        <w:rPr>
          <w:b/>
        </w:rPr>
      </w:pPr>
      <w:r w:rsidRPr="003961C1">
        <w:rPr>
          <w:b/>
        </w:rPr>
        <w:t>Summary of 201</w:t>
      </w:r>
      <w:r w:rsidR="003961C1" w:rsidRPr="003961C1">
        <w:rPr>
          <w:b/>
        </w:rPr>
        <w:t>3</w:t>
      </w:r>
    </w:p>
    <w:p w:rsidR="004B17A9" w:rsidRPr="003961C1" w:rsidRDefault="003961C1" w:rsidP="003961C1">
      <w:pPr>
        <w:jc w:val="center"/>
        <w:rPr>
          <w:b/>
        </w:rPr>
      </w:pPr>
      <w:r w:rsidRPr="003961C1">
        <w:rPr>
          <w:b/>
        </w:rPr>
        <w:t>Core Institute College Student Survey</w:t>
      </w:r>
      <w:r w:rsidR="004B17A9" w:rsidRPr="003961C1">
        <w:rPr>
          <w:b/>
        </w:rPr>
        <w:t xml:space="preserve"> Findings</w:t>
      </w:r>
    </w:p>
    <w:p w:rsidR="004B17A9" w:rsidRPr="003961C1" w:rsidRDefault="004B17A9" w:rsidP="003961C1">
      <w:pPr>
        <w:jc w:val="center"/>
        <w:rPr>
          <w:b/>
        </w:rPr>
      </w:pPr>
      <w:proofErr w:type="gramStart"/>
      <w:r w:rsidRPr="003961C1">
        <w:rPr>
          <w:b/>
        </w:rPr>
        <w:t>for</w:t>
      </w:r>
      <w:proofErr w:type="gramEnd"/>
      <w:r w:rsidRPr="003961C1">
        <w:rPr>
          <w:b/>
        </w:rPr>
        <w:t xml:space="preserve"> Greater New Orleans</w:t>
      </w:r>
    </w:p>
    <w:p w:rsidR="004B17A9" w:rsidRDefault="004B17A9" w:rsidP="004B17A9">
      <w:pPr>
        <w:rPr>
          <w:u w:val="single"/>
        </w:rPr>
      </w:pPr>
    </w:p>
    <w:p w:rsidR="005C5BA1" w:rsidRPr="004B17A9" w:rsidRDefault="005C5BA1" w:rsidP="004B17A9">
      <w:pPr>
        <w:rPr>
          <w:u w:val="single"/>
        </w:rPr>
      </w:pPr>
    </w:p>
    <w:p w:rsidR="004B17A9" w:rsidRPr="004B17A9" w:rsidRDefault="004B17A9" w:rsidP="004B17A9">
      <w:pPr>
        <w:rPr>
          <w:u w:val="single"/>
        </w:rPr>
      </w:pPr>
    </w:p>
    <w:p w:rsidR="004B17A9" w:rsidRPr="007E5AC6" w:rsidRDefault="003961C1" w:rsidP="004B17A9">
      <w:pPr>
        <w:numPr>
          <w:ilvl w:val="0"/>
          <w:numId w:val="23"/>
        </w:numPr>
      </w:pPr>
      <w:r w:rsidRPr="007E5AC6">
        <w:t xml:space="preserve">Survey Description </w:t>
      </w:r>
    </w:p>
    <w:p w:rsidR="004B17A9" w:rsidRPr="007E5AC6" w:rsidRDefault="003961C1" w:rsidP="004B17A9">
      <w:pPr>
        <w:numPr>
          <w:ilvl w:val="0"/>
          <w:numId w:val="23"/>
        </w:numPr>
      </w:pPr>
      <w:r w:rsidRPr="007E5AC6">
        <w:t>Current Use of Substances</w:t>
      </w:r>
    </w:p>
    <w:p w:rsidR="004B17A9" w:rsidRPr="007E5AC6" w:rsidRDefault="003961C1" w:rsidP="004B17A9">
      <w:pPr>
        <w:numPr>
          <w:ilvl w:val="0"/>
          <w:numId w:val="23"/>
        </w:numPr>
      </w:pPr>
      <w:r w:rsidRPr="007E5AC6">
        <w:t>Negative Consequences of Substance Use</w:t>
      </w:r>
    </w:p>
    <w:p w:rsidR="004B17A9" w:rsidRPr="007E5AC6" w:rsidRDefault="003961C1" w:rsidP="004B17A9">
      <w:pPr>
        <w:numPr>
          <w:ilvl w:val="0"/>
          <w:numId w:val="23"/>
        </w:numPr>
      </w:pPr>
      <w:r w:rsidRPr="007E5AC6">
        <w:t>Risk and Protective Factors (2011 Survey)</w:t>
      </w:r>
    </w:p>
    <w:p w:rsidR="00A03E1E" w:rsidRDefault="00A03E1E" w:rsidP="00A03E1E">
      <w:pPr>
        <w:rPr>
          <w:u w:val="single"/>
        </w:rPr>
      </w:pPr>
    </w:p>
    <w:p w:rsidR="005C5BA1" w:rsidRDefault="005C5BA1" w:rsidP="00A03E1E">
      <w:pPr>
        <w:rPr>
          <w:u w:val="single"/>
        </w:rPr>
      </w:pPr>
    </w:p>
    <w:p w:rsidR="00A03E1E" w:rsidRPr="0031239F" w:rsidRDefault="00F14CE1" w:rsidP="00A03E1E">
      <w:pPr>
        <w:rPr>
          <w:b/>
        </w:rPr>
      </w:pPr>
      <w:r>
        <w:rPr>
          <w:b/>
        </w:rPr>
        <w:t>Survey Description</w:t>
      </w:r>
    </w:p>
    <w:p w:rsidR="00A03E1E" w:rsidRDefault="00A03E1E" w:rsidP="00A03E1E">
      <w:pPr>
        <w:rPr>
          <w:u w:val="single"/>
        </w:rPr>
      </w:pPr>
    </w:p>
    <w:p w:rsidR="008B13B3" w:rsidRPr="00E552B8" w:rsidRDefault="00E552B8" w:rsidP="00F66281">
      <w:r>
        <w:t>The Core I</w:t>
      </w:r>
      <w:r w:rsidR="008B13B3" w:rsidRPr="00E552B8">
        <w:t>nstitute</w:t>
      </w:r>
      <w:r w:rsidR="005C687B">
        <w:t>,</w:t>
      </w:r>
      <w:r w:rsidR="00856F6A">
        <w:t xml:space="preserve"> </w:t>
      </w:r>
      <w:r w:rsidR="005C687B">
        <w:t>based at</w:t>
      </w:r>
      <w:r w:rsidR="00856F6A">
        <w:t xml:space="preserve"> the</w:t>
      </w:r>
      <w:r w:rsidR="008B13B3" w:rsidRPr="00E552B8">
        <w:t xml:space="preserve"> Southern</w:t>
      </w:r>
      <w:r>
        <w:t xml:space="preserve"> Illinois University Carbondale </w:t>
      </w:r>
      <w:r w:rsidR="008B13B3" w:rsidRPr="00E552B8">
        <w:t>Student Health Center</w:t>
      </w:r>
      <w:r w:rsidR="005C687B">
        <w:t xml:space="preserve">, has developed </w:t>
      </w:r>
      <w:r w:rsidR="006E7A98">
        <w:t>a</w:t>
      </w:r>
      <w:r w:rsidR="005C687B">
        <w:t xml:space="preserve"> number of surveys that</w:t>
      </w:r>
      <w:r w:rsidR="000B6D8A">
        <w:t xml:space="preserve"> </w:t>
      </w:r>
      <w:r w:rsidR="00F66281" w:rsidRPr="00F66281">
        <w:t xml:space="preserve">quantify and document </w:t>
      </w:r>
      <w:r w:rsidR="00B232E4">
        <w:t xml:space="preserve">the </w:t>
      </w:r>
      <w:r w:rsidR="00F66281" w:rsidRPr="00F66281">
        <w:t xml:space="preserve">attitudes, perceptions, and opinions </w:t>
      </w:r>
      <w:r w:rsidR="00B232E4">
        <w:t>of college students, faculty and administrators regarding</w:t>
      </w:r>
      <w:r w:rsidR="00F66281" w:rsidRPr="00F66281">
        <w:t xml:space="preserve"> alcohol and drugs. The surveys also measure </w:t>
      </w:r>
      <w:r w:rsidR="00B232E4">
        <w:t xml:space="preserve">students’ </w:t>
      </w:r>
      <w:r w:rsidR="003F565C">
        <w:t>alcohol and other drug</w:t>
      </w:r>
      <w:r w:rsidR="00F66281" w:rsidRPr="00F66281">
        <w:t xml:space="preserve"> use </w:t>
      </w:r>
      <w:r w:rsidR="006F3070">
        <w:t xml:space="preserve">behaviors </w:t>
      </w:r>
      <w:r w:rsidR="00F66281" w:rsidRPr="00F66281">
        <w:t>and consequences of use.</w:t>
      </w:r>
      <w:r w:rsidR="008B13B3" w:rsidRPr="00E552B8">
        <w:t xml:space="preserve"> </w:t>
      </w:r>
      <w:r w:rsidR="000B6D8A">
        <w:t xml:space="preserve">The principal survey offered by the Core Institute </w:t>
      </w:r>
      <w:r w:rsidR="00B232E4">
        <w:t>is the Core Alcohol and Drug Survey which is available in</w:t>
      </w:r>
      <w:r w:rsidR="000B6D8A">
        <w:t xml:space="preserve"> the </w:t>
      </w:r>
      <w:r w:rsidR="003961C1">
        <w:t xml:space="preserve">Short Form </w:t>
      </w:r>
      <w:r w:rsidR="000B6D8A">
        <w:t xml:space="preserve">(2 pages) and </w:t>
      </w:r>
      <w:r w:rsidR="003961C1">
        <w:t xml:space="preserve">Long Form </w:t>
      </w:r>
      <w:r w:rsidR="000B6D8A">
        <w:t>(4 pages</w:t>
      </w:r>
      <w:r w:rsidR="00B232E4">
        <w:t>)</w:t>
      </w:r>
      <w:r w:rsidR="000B6D8A">
        <w:t xml:space="preserve">. </w:t>
      </w:r>
      <w:r w:rsidR="003F565C">
        <w:t>These can be administered as paper and pencil questionnaires or as online Web-based surveys.</w:t>
      </w:r>
      <w:r w:rsidR="008A1418">
        <w:t xml:space="preserve"> The Core Institute provides a standard statistical report to particip</w:t>
      </w:r>
      <w:r w:rsidR="0076079D">
        <w:t>ating institutions and publishes</w:t>
      </w:r>
      <w:r w:rsidR="008A1418">
        <w:t xml:space="preserve"> statistical report</w:t>
      </w:r>
      <w:r w:rsidR="0076079D">
        <w:t>s based on its national sample</w:t>
      </w:r>
      <w:r w:rsidR="008A1418">
        <w:t xml:space="preserve">. </w:t>
      </w:r>
      <w:r w:rsidR="003F565C" w:rsidRPr="003F565C">
        <w:t>(</w:t>
      </w:r>
      <w:hyperlink r:id="rId11" w:history="1">
        <w:r w:rsidR="003F565C" w:rsidRPr="003F565C">
          <w:rPr>
            <w:rStyle w:val="Hyperlink"/>
          </w:rPr>
          <w:t>http://core.siu.edu</w:t>
        </w:r>
      </w:hyperlink>
      <w:r w:rsidR="003F565C" w:rsidRPr="003F565C">
        <w:t>)</w:t>
      </w:r>
    </w:p>
    <w:p w:rsidR="00E552B8" w:rsidRPr="007C321D" w:rsidRDefault="00E552B8" w:rsidP="00A03E1E"/>
    <w:p w:rsidR="00A03E1E" w:rsidRDefault="0046162A" w:rsidP="00A03E1E">
      <w:r>
        <w:t xml:space="preserve">The Louisiana Department of Health and Hospitals Office of Behavioral Health </w:t>
      </w:r>
      <w:proofErr w:type="gramStart"/>
      <w:r>
        <w:t>provides</w:t>
      </w:r>
      <w:proofErr w:type="gramEnd"/>
      <w:r>
        <w:t xml:space="preserve"> funding supporting the biennial administration of the Core Institute Survey. </w:t>
      </w:r>
      <w:r w:rsidR="00EA3749">
        <w:t>The</w:t>
      </w:r>
      <w:r w:rsidR="00EA3749" w:rsidRPr="00EA3749">
        <w:rPr>
          <w:rFonts w:ascii="Helvetica" w:hAnsi="Helvetica" w:cs="Helvetica"/>
          <w:color w:val="000000"/>
          <w:sz w:val="18"/>
          <w:szCs w:val="18"/>
          <w:lang w:val="en"/>
        </w:rPr>
        <w:t xml:space="preserve"> </w:t>
      </w:r>
      <w:r w:rsidR="00EA3749" w:rsidRPr="00EA3749">
        <w:rPr>
          <w:lang w:val="en"/>
        </w:rPr>
        <w:t>Louisiana Center Addressing Substance Use (</w:t>
      </w:r>
      <w:proofErr w:type="spellStart"/>
      <w:r w:rsidR="00EA3749" w:rsidRPr="00EA3749">
        <w:rPr>
          <w:lang w:val="en"/>
        </w:rPr>
        <w:t>LaCASU</w:t>
      </w:r>
      <w:proofErr w:type="spellEnd"/>
      <w:r w:rsidR="00EA3749" w:rsidRPr="00EA3749">
        <w:rPr>
          <w:lang w:val="en"/>
        </w:rPr>
        <w:t>)</w:t>
      </w:r>
      <w:r w:rsidR="00EA3749">
        <w:rPr>
          <w:lang w:val="en"/>
        </w:rPr>
        <w:t xml:space="preserve"> </w:t>
      </w:r>
      <w:r w:rsidR="008924E4">
        <w:rPr>
          <w:lang w:val="en"/>
        </w:rPr>
        <w:t>of</w:t>
      </w:r>
      <w:r w:rsidR="00EA3749">
        <w:rPr>
          <w:lang w:val="en"/>
        </w:rPr>
        <w:t xml:space="preserve"> Louisiana State University</w:t>
      </w:r>
      <w:r w:rsidR="008924E4">
        <w:rPr>
          <w:lang w:val="en"/>
        </w:rPr>
        <w:t xml:space="preserve"> at</w:t>
      </w:r>
      <w:r w:rsidR="00EA3749">
        <w:rPr>
          <w:lang w:val="en"/>
        </w:rPr>
        <w:t xml:space="preserve"> </w:t>
      </w:r>
      <w:r w:rsidR="008924E4">
        <w:rPr>
          <w:lang w:val="en"/>
        </w:rPr>
        <w:t>Baton Rouge</w:t>
      </w:r>
      <w:r w:rsidR="00EA3749">
        <w:rPr>
          <w:lang w:val="en"/>
        </w:rPr>
        <w:t xml:space="preserve"> coordinates </w:t>
      </w:r>
      <w:r w:rsidR="00B95A08">
        <w:rPr>
          <w:lang w:val="en"/>
        </w:rPr>
        <w:t>survey administration conducted by institutions of higher education (IHEs) throughout the state.</w:t>
      </w:r>
      <w:r w:rsidR="00A03E1E">
        <w:t xml:space="preserve"> The most recent </w:t>
      </w:r>
      <w:r w:rsidR="008A1418">
        <w:t>survey was completed in</w:t>
      </w:r>
      <w:r w:rsidR="00A03E1E">
        <w:t xml:space="preserve"> the </w:t>
      </w:r>
      <w:r>
        <w:t>March</w:t>
      </w:r>
      <w:r w:rsidR="00A03E1E">
        <w:t xml:space="preserve"> 201</w:t>
      </w:r>
      <w:r w:rsidR="008661DA">
        <w:t>3</w:t>
      </w:r>
      <w:r w:rsidR="00A03E1E" w:rsidRPr="006303FF">
        <w:t>.</w:t>
      </w:r>
      <w:r w:rsidR="008A1418">
        <w:t xml:space="preserve"> </w:t>
      </w:r>
      <w:r w:rsidR="009A3576">
        <w:t>Greater New Orleans</w:t>
      </w:r>
      <w:r w:rsidR="00A03E1E" w:rsidRPr="00F04FE2">
        <w:t xml:space="preserve"> </w:t>
      </w:r>
      <w:r w:rsidR="00A03E1E">
        <w:t xml:space="preserve">institutions of higher education (IHEs) participating in the </w:t>
      </w:r>
      <w:r w:rsidR="008A1418">
        <w:t xml:space="preserve">2013 </w:t>
      </w:r>
      <w:r w:rsidR="00A03E1E">
        <w:t xml:space="preserve">survey included: </w:t>
      </w:r>
      <w:r w:rsidR="00A03E1E" w:rsidRPr="00F04FE2">
        <w:t>Tulane University</w:t>
      </w:r>
      <w:r w:rsidR="00A03E1E">
        <w:t xml:space="preserve">; </w:t>
      </w:r>
      <w:r w:rsidR="00A03E1E" w:rsidRPr="00F04FE2">
        <w:t>Southern University of New Orleans</w:t>
      </w:r>
      <w:r w:rsidR="00A03E1E">
        <w:t xml:space="preserve">; </w:t>
      </w:r>
      <w:r w:rsidR="00A03E1E" w:rsidRPr="00F04FE2">
        <w:t>Loyola University of New Orleans</w:t>
      </w:r>
      <w:r w:rsidR="00A03E1E">
        <w:t xml:space="preserve">; </w:t>
      </w:r>
      <w:r w:rsidR="00A03E1E" w:rsidRPr="00F04FE2">
        <w:t>Dillard University</w:t>
      </w:r>
      <w:r w:rsidR="00A03E1E">
        <w:t xml:space="preserve">; </w:t>
      </w:r>
      <w:r w:rsidR="00A03E1E" w:rsidRPr="00F04FE2">
        <w:t>Delgado Community College</w:t>
      </w:r>
      <w:r w:rsidR="00A03E1E">
        <w:t xml:space="preserve">; and </w:t>
      </w:r>
      <w:r w:rsidR="00A03E1E" w:rsidRPr="00F04FE2">
        <w:t>University of New Orleans</w:t>
      </w:r>
      <w:r w:rsidR="00A03E1E">
        <w:t>.</w:t>
      </w:r>
    </w:p>
    <w:p w:rsidR="00116E70" w:rsidRDefault="00116E70" w:rsidP="00A03E1E"/>
    <w:p w:rsidR="00116E70" w:rsidRPr="00F04FE2" w:rsidRDefault="00116E70" w:rsidP="00A03E1E">
      <w:r>
        <w:t xml:space="preserve">Results of the 2013 Core Institute </w:t>
      </w:r>
      <w:r w:rsidR="003961C1">
        <w:t xml:space="preserve">Alcohol and Drug Use </w:t>
      </w:r>
      <w:r>
        <w:t xml:space="preserve">Survey are available on the </w:t>
      </w:r>
      <w:proofErr w:type="spellStart"/>
      <w:r>
        <w:t>LaCASU</w:t>
      </w:r>
      <w:proofErr w:type="spellEnd"/>
      <w:r>
        <w:t xml:space="preserve"> Web site </w:t>
      </w:r>
      <w:r w:rsidRPr="00116E70">
        <w:t>(</w:t>
      </w:r>
      <w:hyperlink r:id="rId12" w:history="1">
        <w:r w:rsidRPr="00116E70">
          <w:rPr>
            <w:rStyle w:val="Hyperlink"/>
          </w:rPr>
          <w:t>http://uiswcmsweb.prod.lsu.edu/edco/lacasu/</w:t>
        </w:r>
      </w:hyperlink>
      <w:r w:rsidRPr="00116E70">
        <w:t>)</w:t>
      </w:r>
      <w:r>
        <w:t>. Selected indicators have also been</w:t>
      </w:r>
      <w:r w:rsidR="00D33FFE">
        <w:t xml:space="preserve"> entered into the</w:t>
      </w:r>
      <w:r>
        <w:t xml:space="preserve"> </w:t>
      </w:r>
      <w:r w:rsidR="00D33FFE">
        <w:t>Louisiana</w:t>
      </w:r>
      <w:r>
        <w:t xml:space="preserve"> Social Indicators data base </w:t>
      </w:r>
      <w:r w:rsidR="00D33FFE">
        <w:t>(</w:t>
      </w:r>
      <w:hyperlink r:id="rId13" w:history="1">
        <w:r w:rsidR="00D33FFE" w:rsidRPr="009C6D68">
          <w:rPr>
            <w:rStyle w:val="Hyperlink"/>
          </w:rPr>
          <w:t>http://www.bach-harrison.com/lasocialindicators/</w:t>
        </w:r>
      </w:hyperlink>
      <w:r w:rsidR="00D33FFE">
        <w:t>) which include</w:t>
      </w:r>
      <w:r w:rsidR="00112A98">
        <w:t>s</w:t>
      </w:r>
      <w:r w:rsidR="00D33FFE">
        <w:t xml:space="preserve"> regional results from 2009, 2011 and 2013.</w:t>
      </w:r>
      <w:r w:rsidR="009E2E42">
        <w:t xml:space="preserve"> For 2013, Louisiana statewide and regional reports are based on the Short Form (2-page) version of the Core Institute Survey. The </w:t>
      </w:r>
      <w:hyperlink r:id="rId14" w:history="1">
        <w:r w:rsidR="009E2E42" w:rsidRPr="00670606">
          <w:rPr>
            <w:rStyle w:val="Hyperlink"/>
          </w:rPr>
          <w:t>Short Form</w:t>
        </w:r>
      </w:hyperlink>
      <w:r w:rsidR="009E2E42">
        <w:t xml:space="preserve"> does </w:t>
      </w:r>
      <w:r w:rsidR="009E2E42" w:rsidRPr="009E2E42">
        <w:rPr>
          <w:u w:val="single"/>
        </w:rPr>
        <w:t>not</w:t>
      </w:r>
      <w:r w:rsidR="009E2E42">
        <w:t xml:space="preserve"> include most of</w:t>
      </w:r>
      <w:r w:rsidR="00AE4172">
        <w:t xml:space="preserve"> the</w:t>
      </w:r>
      <w:r w:rsidR="009E2E42">
        <w:t xml:space="preserve"> risk and protective factor content and some of the consequences content available in the </w:t>
      </w:r>
      <w:hyperlink r:id="rId15" w:history="1">
        <w:r w:rsidR="009E2E42" w:rsidRPr="00670606">
          <w:rPr>
            <w:rStyle w:val="Hyperlink"/>
          </w:rPr>
          <w:t>Long Form</w:t>
        </w:r>
      </w:hyperlink>
      <w:r w:rsidR="009E2E42">
        <w:t>.</w:t>
      </w:r>
      <w:r w:rsidR="00D8377A">
        <w:t xml:space="preserve"> Further description of the survey and methodology relevant to Greater New Orleans is </w:t>
      </w:r>
      <w:r w:rsidR="00D858E5">
        <w:t xml:space="preserve">available at: </w:t>
      </w:r>
      <w:hyperlink r:id="rId16" w:history="1">
        <w:r w:rsidR="00D858E5" w:rsidRPr="008623A7">
          <w:rPr>
            <w:rStyle w:val="Hyperlink"/>
          </w:rPr>
          <w:t>http://arc-associates.net/gno-profile</w:t>
        </w:r>
      </w:hyperlink>
      <w:r w:rsidR="00D858E5">
        <w:t xml:space="preserve">. </w:t>
      </w:r>
    </w:p>
    <w:p w:rsidR="00CF0353" w:rsidRDefault="00CF0353"/>
    <w:p w:rsidR="006E7A98" w:rsidRDefault="006E7A98"/>
    <w:p w:rsidR="00A03E1E" w:rsidRPr="00A6515B" w:rsidRDefault="004E09F0" w:rsidP="00A03E1E">
      <w:pPr>
        <w:rPr>
          <w:b/>
        </w:rPr>
      </w:pPr>
      <w:r w:rsidRPr="00A6515B">
        <w:rPr>
          <w:b/>
        </w:rPr>
        <w:lastRenderedPageBreak/>
        <w:t xml:space="preserve">Current Use </w:t>
      </w:r>
    </w:p>
    <w:p w:rsidR="004E09F0" w:rsidRDefault="004E09F0" w:rsidP="00A03E1E"/>
    <w:p w:rsidR="00A6515B" w:rsidRDefault="00A6515B" w:rsidP="00A03E1E">
      <w:r>
        <w:t xml:space="preserve">Over two-thirds of college students </w:t>
      </w:r>
      <w:r w:rsidR="0071355A" w:rsidRPr="0071355A">
        <w:t xml:space="preserve">(70%) </w:t>
      </w:r>
      <w:r>
        <w:t xml:space="preserve">in Greater New Orleans used </w:t>
      </w:r>
      <w:r w:rsidRPr="00201801">
        <w:rPr>
          <w:u w:val="single"/>
        </w:rPr>
        <w:t>alcohol</w:t>
      </w:r>
      <w:r>
        <w:t xml:space="preserve"> in the </w:t>
      </w:r>
      <w:r w:rsidR="00201801">
        <w:t>past</w:t>
      </w:r>
      <w:r>
        <w:t xml:space="preserve"> 30 days</w:t>
      </w:r>
      <w:r w:rsidR="0098701E">
        <w:t>,</w:t>
      </w:r>
      <w:r>
        <w:t xml:space="preserve"> based on the 2013 Core Institute Survey. Statewide, </w:t>
      </w:r>
      <w:r w:rsidR="00201801">
        <w:t xml:space="preserve">about two-thirds of college students </w:t>
      </w:r>
      <w:r w:rsidR="0071355A" w:rsidRPr="0071355A">
        <w:t xml:space="preserve">(65%) </w:t>
      </w:r>
      <w:r w:rsidR="00201801">
        <w:t xml:space="preserve">used alcohol in the past 30days. Among </w:t>
      </w:r>
      <w:r w:rsidR="00201801" w:rsidRPr="00201801">
        <w:rPr>
          <w:u w:val="single"/>
        </w:rPr>
        <w:t>underage</w:t>
      </w:r>
      <w:r w:rsidR="00201801">
        <w:t xml:space="preserve"> college students</w:t>
      </w:r>
      <w:r w:rsidR="0098701E">
        <w:t xml:space="preserve"> (those less than age 21)</w:t>
      </w:r>
      <w:r w:rsidR="00201801">
        <w:t>, two-thirds (65%)</w:t>
      </w:r>
      <w:r w:rsidR="00201801" w:rsidRPr="00201801">
        <w:t xml:space="preserve"> </w:t>
      </w:r>
      <w:r w:rsidR="00201801">
        <w:t xml:space="preserve">in Greater New Orleans used </w:t>
      </w:r>
      <w:r w:rsidR="00201801" w:rsidRPr="00201801">
        <w:t>alcohol</w:t>
      </w:r>
      <w:r w:rsidR="00201801">
        <w:t xml:space="preserve"> in the past 30 days</w:t>
      </w:r>
      <w:r w:rsidR="0098701E">
        <w:t>,</w:t>
      </w:r>
      <w:r w:rsidR="00201801">
        <w:t xml:space="preserve"> based on the 2013 Core Institute Survey</w:t>
      </w:r>
      <w:r w:rsidR="0098701E">
        <w:t>,</w:t>
      </w:r>
      <w:r w:rsidR="00921CA7">
        <w:t xml:space="preserve"> </w:t>
      </w:r>
      <w:r w:rsidR="00FF685B">
        <w:t xml:space="preserve">while statewide slightly less than two-thirds of underage college students </w:t>
      </w:r>
      <w:r w:rsidR="0071355A" w:rsidRPr="0071355A">
        <w:t xml:space="preserve">(60%) </w:t>
      </w:r>
      <w:r w:rsidR="00FF685B">
        <w:t>used alcohol in the past 30 days.</w:t>
      </w:r>
      <w:r w:rsidR="0098701E">
        <w:t xml:space="preserve"> (Most college students are under age 21 and the percent drinking in the past 30 days among them is only slightly less </w:t>
      </w:r>
      <w:r w:rsidR="00B5067B">
        <w:t>than for</w:t>
      </w:r>
      <w:r w:rsidR="0098701E">
        <w:t xml:space="preserve"> college students as a whole.)</w:t>
      </w:r>
    </w:p>
    <w:p w:rsidR="0098701E" w:rsidRDefault="0098701E" w:rsidP="00A03E1E"/>
    <w:p w:rsidR="0098701E" w:rsidRDefault="00B5067B" w:rsidP="00A03E1E">
      <w:r>
        <w:t xml:space="preserve">Two-in-five </w:t>
      </w:r>
      <w:r w:rsidRPr="00B5067B">
        <w:t xml:space="preserve">college students </w:t>
      </w:r>
      <w:r w:rsidR="0071355A">
        <w:t xml:space="preserve">(39%) </w:t>
      </w:r>
      <w:r w:rsidRPr="00B5067B">
        <w:t xml:space="preserve">in Greater New Orleans </w:t>
      </w:r>
      <w:r>
        <w:t xml:space="preserve">engaged in </w:t>
      </w:r>
      <w:r w:rsidRPr="00B5067B">
        <w:rPr>
          <w:u w:val="single"/>
        </w:rPr>
        <w:t>binge drinking</w:t>
      </w:r>
      <w:r>
        <w:t xml:space="preserve"> in the </w:t>
      </w:r>
      <w:r w:rsidRPr="00B5067B">
        <w:rPr>
          <w:i/>
        </w:rPr>
        <w:t>past 2 weeks</w:t>
      </w:r>
      <w:r w:rsidRPr="00B5067B">
        <w:t xml:space="preserve">, based on the 2013 Core Institute Survey. Statewide, </w:t>
      </w:r>
      <w:r w:rsidR="001A51AD">
        <w:t>more than</w:t>
      </w:r>
      <w:r w:rsidRPr="00B5067B">
        <w:t xml:space="preserve"> </w:t>
      </w:r>
      <w:r w:rsidR="001A51AD">
        <w:t>one</w:t>
      </w:r>
      <w:r w:rsidRPr="00B5067B">
        <w:t xml:space="preserve">-third of college students </w:t>
      </w:r>
      <w:r w:rsidR="0071355A" w:rsidRPr="0071355A">
        <w:t xml:space="preserve">(36%) </w:t>
      </w:r>
      <w:r w:rsidR="001A51AD">
        <w:t xml:space="preserve">engaged in </w:t>
      </w:r>
      <w:r w:rsidR="001A51AD" w:rsidRPr="001A51AD">
        <w:t>binge drinking</w:t>
      </w:r>
      <w:r w:rsidR="001A51AD">
        <w:t xml:space="preserve"> in the </w:t>
      </w:r>
      <w:r w:rsidR="001A51AD" w:rsidRPr="00B5067B">
        <w:rPr>
          <w:i/>
        </w:rPr>
        <w:t>past 2 weeks</w:t>
      </w:r>
      <w:r w:rsidRPr="00B5067B">
        <w:t>.</w:t>
      </w:r>
    </w:p>
    <w:p w:rsidR="001614DD" w:rsidRPr="00FF685B" w:rsidRDefault="001614DD" w:rsidP="001614DD"/>
    <w:tbl>
      <w:tblPr>
        <w:tblpPr w:leftFromText="187" w:rightFromText="187" w:vertAnchor="text" w:horzAnchor="margin" w:tblpXSpec="right" w:tblpY="1"/>
        <w:tblOverlap w:val="never"/>
        <w:tblW w:w="6973" w:type="dxa"/>
        <w:jc w:val="right"/>
        <w:tblLayout w:type="fixed"/>
        <w:tblCellMar>
          <w:left w:w="43" w:type="dxa"/>
          <w:right w:w="29" w:type="dxa"/>
        </w:tblCellMar>
        <w:tblLook w:val="04A0" w:firstRow="1" w:lastRow="0" w:firstColumn="1" w:lastColumn="0" w:noHBand="0" w:noVBand="1"/>
      </w:tblPr>
      <w:tblGrid>
        <w:gridCol w:w="2383"/>
        <w:gridCol w:w="630"/>
        <w:gridCol w:w="630"/>
        <w:gridCol w:w="630"/>
        <w:gridCol w:w="630"/>
        <w:gridCol w:w="630"/>
        <w:gridCol w:w="630"/>
        <w:gridCol w:w="810"/>
      </w:tblGrid>
      <w:tr w:rsidR="003423C9" w:rsidRPr="00425784" w:rsidTr="0076079D">
        <w:trPr>
          <w:trHeight w:val="798"/>
          <w:jc w:val="right"/>
        </w:trPr>
        <w:tc>
          <w:tcPr>
            <w:tcW w:w="6973" w:type="dxa"/>
            <w:gridSpan w:val="8"/>
            <w:tcBorders>
              <w:bottom w:val="single" w:sz="4" w:space="0" w:color="auto"/>
            </w:tcBorders>
            <w:noWrap/>
            <w:vAlign w:val="center"/>
          </w:tcPr>
          <w:p w:rsidR="00581638" w:rsidRDefault="003423C9" w:rsidP="00581638">
            <w:pPr>
              <w:jc w:val="center"/>
              <w:rPr>
                <w:b/>
                <w:bCs/>
                <w:sz w:val="20"/>
              </w:rPr>
            </w:pPr>
            <w:r w:rsidRPr="007E2CD4">
              <w:rPr>
                <w:b/>
                <w:bCs/>
                <w:sz w:val="20"/>
              </w:rPr>
              <w:t xml:space="preserve">Table </w:t>
            </w:r>
            <w:r w:rsidR="007E2CD4">
              <w:rPr>
                <w:b/>
                <w:bCs/>
                <w:sz w:val="20"/>
              </w:rPr>
              <w:t>1</w:t>
            </w:r>
            <w:r w:rsidRPr="007E2CD4">
              <w:rPr>
                <w:b/>
                <w:bCs/>
                <w:sz w:val="20"/>
              </w:rPr>
              <w:t>:</w:t>
            </w:r>
            <w:r w:rsidRPr="000D5DA6">
              <w:rPr>
                <w:b/>
                <w:bCs/>
                <w:sz w:val="20"/>
              </w:rPr>
              <w:t xml:space="preserve">  Percentage of College Students Using Alcohol or Other Drugs</w:t>
            </w:r>
            <w:r>
              <w:rPr>
                <w:b/>
                <w:bCs/>
                <w:sz w:val="20"/>
              </w:rPr>
              <w:t xml:space="preserve"> </w:t>
            </w:r>
          </w:p>
          <w:p w:rsidR="00581638" w:rsidRDefault="003423C9" w:rsidP="00581638">
            <w:pPr>
              <w:jc w:val="center"/>
              <w:rPr>
                <w:b/>
                <w:bCs/>
                <w:sz w:val="20"/>
              </w:rPr>
            </w:pPr>
            <w:r>
              <w:rPr>
                <w:b/>
                <w:bCs/>
                <w:sz w:val="20"/>
              </w:rPr>
              <w:t xml:space="preserve">in the Past 30 Days in Greater New Orleans and Statewide, </w:t>
            </w:r>
          </w:p>
          <w:p w:rsidR="003423C9" w:rsidRPr="00581638" w:rsidRDefault="003423C9" w:rsidP="00581638">
            <w:pPr>
              <w:jc w:val="center"/>
              <w:rPr>
                <w:b/>
                <w:bCs/>
                <w:sz w:val="20"/>
              </w:rPr>
            </w:pPr>
            <w:r>
              <w:rPr>
                <w:b/>
                <w:bCs/>
                <w:sz w:val="20"/>
              </w:rPr>
              <w:t>Core Institute Survey,</w:t>
            </w:r>
            <w:r w:rsidR="00581638">
              <w:rPr>
                <w:b/>
                <w:bCs/>
                <w:sz w:val="20"/>
              </w:rPr>
              <w:t xml:space="preserve"> 2009, 2011 and 2013.</w:t>
            </w:r>
          </w:p>
        </w:tc>
      </w:tr>
      <w:tr w:rsidR="001614DD" w:rsidRPr="00425784" w:rsidTr="00EE0769">
        <w:trPr>
          <w:trHeight w:val="269"/>
          <w:jc w:val="right"/>
        </w:trPr>
        <w:tc>
          <w:tcPr>
            <w:tcW w:w="2383" w:type="dxa"/>
            <w:vMerge w:val="restart"/>
            <w:tcBorders>
              <w:top w:val="single" w:sz="4" w:space="0" w:color="auto"/>
              <w:left w:val="single" w:sz="4" w:space="0" w:color="auto"/>
              <w:bottom w:val="single" w:sz="4" w:space="0" w:color="auto"/>
              <w:right w:val="single" w:sz="4" w:space="0" w:color="auto"/>
            </w:tcBorders>
            <w:noWrap/>
            <w:vAlign w:val="center"/>
            <w:hideMark/>
          </w:tcPr>
          <w:p w:rsidR="001614DD" w:rsidRPr="0065120E" w:rsidRDefault="001614DD" w:rsidP="00EE0769">
            <w:pPr>
              <w:jc w:val="center"/>
              <w:rPr>
                <w:b/>
                <w:color w:val="000000"/>
                <w:sz w:val="20"/>
              </w:rPr>
            </w:pPr>
            <w:r w:rsidRPr="0065120E">
              <w:rPr>
                <w:b/>
                <w:color w:val="000000"/>
                <w:sz w:val="20"/>
              </w:rPr>
              <w:t>Current Use</w:t>
            </w:r>
          </w:p>
          <w:p w:rsidR="001614DD" w:rsidRPr="00425784" w:rsidRDefault="001614DD" w:rsidP="00EE0769">
            <w:pPr>
              <w:jc w:val="center"/>
              <w:rPr>
                <w:color w:val="000000"/>
                <w:sz w:val="20"/>
              </w:rPr>
            </w:pPr>
            <w:r w:rsidRPr="0065120E">
              <w:rPr>
                <w:color w:val="000000"/>
                <w:sz w:val="20"/>
              </w:rPr>
              <w:t>(past 30 days)</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1614DD" w:rsidRPr="00425784" w:rsidRDefault="001614DD" w:rsidP="00EE0769">
            <w:pPr>
              <w:jc w:val="center"/>
              <w:rPr>
                <w:b/>
                <w:color w:val="000000"/>
                <w:sz w:val="20"/>
              </w:rPr>
            </w:pPr>
            <w:r w:rsidRPr="0025078B">
              <w:rPr>
                <w:b/>
                <w:color w:val="000000"/>
                <w:sz w:val="20"/>
              </w:rPr>
              <w:t>Greater New Orleans</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1614DD" w:rsidRPr="00425784" w:rsidRDefault="001614DD" w:rsidP="00EE0769">
            <w:pPr>
              <w:jc w:val="center"/>
              <w:rPr>
                <w:b/>
                <w:color w:val="000000"/>
                <w:sz w:val="20"/>
              </w:rPr>
            </w:pPr>
            <w:r w:rsidRPr="0025078B">
              <w:rPr>
                <w:b/>
                <w:color w:val="000000"/>
                <w:sz w:val="20"/>
              </w:rPr>
              <w:t>Statewide</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1614DD" w:rsidRPr="00425784" w:rsidRDefault="001614DD" w:rsidP="00EE0769">
            <w:pPr>
              <w:jc w:val="center"/>
              <w:rPr>
                <w:b/>
                <w:color w:val="000000"/>
                <w:sz w:val="20"/>
              </w:rPr>
            </w:pPr>
            <w:r w:rsidRPr="0025078B">
              <w:rPr>
                <w:b/>
                <w:color w:val="000000"/>
                <w:sz w:val="20"/>
              </w:rPr>
              <w:t>Nation</w:t>
            </w:r>
            <w:r w:rsidRPr="00425784">
              <w:rPr>
                <w:b/>
                <w:color w:val="000000"/>
                <w:sz w:val="20"/>
              </w:rPr>
              <w:t>al</w:t>
            </w:r>
          </w:p>
        </w:tc>
      </w:tr>
      <w:tr w:rsidR="001614DD" w:rsidRPr="00425784" w:rsidTr="00EE0769">
        <w:trPr>
          <w:trHeight w:val="286"/>
          <w:jc w:val="right"/>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1614DD" w:rsidRPr="00425784" w:rsidRDefault="001614DD" w:rsidP="00EE0769">
            <w:pP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1614DD" w:rsidRPr="00425784" w:rsidRDefault="001614DD" w:rsidP="00EE0769">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1614DD" w:rsidRPr="00425784" w:rsidRDefault="001614DD" w:rsidP="00EE0769">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1614DD" w:rsidRPr="00425784" w:rsidRDefault="001614DD" w:rsidP="00EE0769">
            <w:pPr>
              <w:jc w:val="center"/>
              <w:rPr>
                <w:color w:val="000000"/>
                <w:sz w:val="20"/>
              </w:rPr>
            </w:pPr>
            <w:r w:rsidRPr="0065120E">
              <w:rPr>
                <w:color w:val="000000"/>
                <w:sz w:val="20"/>
              </w:rPr>
              <w:t>2013</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1614DD" w:rsidRPr="00425784" w:rsidRDefault="001614DD" w:rsidP="00EE0769">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1614DD" w:rsidRPr="00425784" w:rsidRDefault="001614DD" w:rsidP="00EE0769">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1614DD" w:rsidRPr="00425784" w:rsidRDefault="001614DD" w:rsidP="00EE0769">
            <w:pPr>
              <w:jc w:val="center"/>
              <w:rPr>
                <w:color w:val="000000"/>
                <w:sz w:val="20"/>
              </w:rPr>
            </w:pPr>
            <w:r w:rsidRPr="0065120E">
              <w:rPr>
                <w:color w:val="000000"/>
                <w:sz w:val="20"/>
              </w:rPr>
              <w:t>2013</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1614DD" w:rsidRPr="00425784" w:rsidRDefault="001614DD" w:rsidP="00544122">
            <w:pPr>
              <w:jc w:val="center"/>
              <w:rPr>
                <w:color w:val="000000"/>
                <w:sz w:val="20"/>
              </w:rPr>
            </w:pPr>
            <w:r w:rsidRPr="0065120E">
              <w:rPr>
                <w:color w:val="000000"/>
                <w:sz w:val="20"/>
              </w:rPr>
              <w:t>20</w:t>
            </w:r>
            <w:r>
              <w:rPr>
                <w:color w:val="000000"/>
                <w:sz w:val="20"/>
              </w:rPr>
              <w:t>1</w:t>
            </w:r>
            <w:r w:rsidR="00544122">
              <w:rPr>
                <w:color w:val="000000"/>
                <w:sz w:val="20"/>
              </w:rPr>
              <w:t>1</w:t>
            </w:r>
          </w:p>
        </w:tc>
      </w:tr>
      <w:tr w:rsidR="001614DD" w:rsidRPr="00425784" w:rsidTr="007E2CD4">
        <w:trPr>
          <w:trHeight w:val="255"/>
          <w:jc w:val="right"/>
        </w:trPr>
        <w:tc>
          <w:tcPr>
            <w:tcW w:w="2383" w:type="dxa"/>
            <w:tcBorders>
              <w:top w:val="single" w:sz="4" w:space="0" w:color="auto"/>
              <w:left w:val="single" w:sz="4" w:space="0" w:color="auto"/>
              <w:bottom w:val="single" w:sz="4" w:space="0" w:color="auto"/>
              <w:right w:val="single" w:sz="4" w:space="0" w:color="auto"/>
            </w:tcBorders>
            <w:noWrap/>
            <w:vAlign w:val="center"/>
            <w:hideMark/>
          </w:tcPr>
          <w:p w:rsidR="001614DD" w:rsidRPr="00425784" w:rsidRDefault="001614DD" w:rsidP="00EE0769">
            <w:pPr>
              <w:jc w:val="right"/>
              <w:rPr>
                <w:color w:val="000000"/>
                <w:sz w:val="18"/>
                <w:szCs w:val="18"/>
              </w:rPr>
            </w:pPr>
            <w:r w:rsidRPr="00425784">
              <w:rPr>
                <w:color w:val="000000"/>
                <w:sz w:val="18"/>
                <w:szCs w:val="18"/>
              </w:rPr>
              <w:t>sample size=</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14DD" w:rsidRPr="00425784" w:rsidRDefault="00C551C5" w:rsidP="00EE0769">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4DD" w:rsidRPr="00425784" w:rsidRDefault="001614DD" w:rsidP="00EE0769">
            <w:pPr>
              <w:jc w:val="center"/>
              <w:rPr>
                <w:color w:val="000000"/>
                <w:sz w:val="18"/>
                <w:szCs w:val="18"/>
              </w:rPr>
            </w:pPr>
            <w:r w:rsidRPr="00425784">
              <w:rPr>
                <w:color w:val="000000"/>
                <w:sz w:val="18"/>
                <w:szCs w:val="18"/>
              </w:rPr>
              <w:t>1,646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14DD" w:rsidRPr="00425784" w:rsidRDefault="00C551C5" w:rsidP="00EE0769">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14DD" w:rsidRPr="00425784" w:rsidRDefault="00CF0353" w:rsidP="00EE0769">
            <w:pPr>
              <w:jc w:val="center"/>
              <w:rPr>
                <w:color w:val="000000"/>
                <w:sz w:val="18"/>
                <w:szCs w:val="18"/>
              </w:rPr>
            </w:pPr>
            <w:r>
              <w:rPr>
                <w:color w:val="000000"/>
                <w:sz w:val="18"/>
                <w:szCs w:val="18"/>
              </w:rPr>
              <w:t>12,972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4DD" w:rsidRPr="00425784" w:rsidRDefault="001614DD" w:rsidP="00EE0769">
            <w:pPr>
              <w:jc w:val="center"/>
              <w:rPr>
                <w:color w:val="000000"/>
                <w:sz w:val="18"/>
                <w:szCs w:val="18"/>
              </w:rPr>
            </w:pPr>
            <w:r w:rsidRPr="00425784">
              <w:rPr>
                <w:color w:val="000000"/>
                <w:sz w:val="18"/>
                <w:szCs w:val="18"/>
              </w:rPr>
              <w:t>9,763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14DD" w:rsidRPr="00425784" w:rsidRDefault="00CF0353" w:rsidP="00EE0769">
            <w:pPr>
              <w:jc w:val="center"/>
              <w:rPr>
                <w:color w:val="000000"/>
                <w:sz w:val="18"/>
                <w:szCs w:val="18"/>
              </w:rPr>
            </w:pPr>
            <w:r>
              <w:rPr>
                <w:color w:val="000000"/>
                <w:sz w:val="18"/>
                <w:szCs w:val="18"/>
              </w:rPr>
              <w:t>7,740</w:t>
            </w:r>
          </w:p>
        </w:tc>
        <w:tc>
          <w:tcPr>
            <w:tcW w:w="810" w:type="dxa"/>
            <w:tcBorders>
              <w:top w:val="single" w:sz="4" w:space="0" w:color="auto"/>
              <w:left w:val="single" w:sz="4" w:space="0" w:color="auto"/>
              <w:bottom w:val="single" w:sz="4" w:space="0" w:color="auto"/>
              <w:right w:val="single" w:sz="4" w:space="0" w:color="auto"/>
            </w:tcBorders>
            <w:noWrap/>
            <w:vAlign w:val="center"/>
          </w:tcPr>
          <w:p w:rsidR="001614DD" w:rsidRPr="00425784" w:rsidRDefault="00544122" w:rsidP="00EE0769">
            <w:pPr>
              <w:jc w:val="center"/>
              <w:rPr>
                <w:color w:val="000000"/>
                <w:sz w:val="18"/>
                <w:szCs w:val="18"/>
                <w:highlight w:val="yellow"/>
              </w:rPr>
            </w:pPr>
            <w:r>
              <w:rPr>
                <w:color w:val="000000"/>
                <w:sz w:val="18"/>
                <w:szCs w:val="18"/>
              </w:rPr>
              <w:t>50,505</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sidRPr="00425784">
              <w:rPr>
                <w:color w:val="000000"/>
                <w:sz w:val="20"/>
              </w:rPr>
              <w:t>Tobacco</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27.8</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Pr="00D61931" w:rsidRDefault="001B7AC3" w:rsidP="00EE0769">
            <w:pPr>
              <w:jc w:val="center"/>
              <w:rPr>
                <w:bCs/>
                <w:color w:val="000000"/>
                <w:sz w:val="20"/>
              </w:rPr>
            </w:pPr>
            <w:r w:rsidRPr="00D61931">
              <w:rPr>
                <w:bCs/>
                <w:color w:val="000000"/>
                <w:sz w:val="20"/>
              </w:rPr>
              <w:t>27.3</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24.5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28.1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Pr="00D61931" w:rsidRDefault="001B7AC3" w:rsidP="00EE0769">
            <w:pPr>
              <w:jc w:val="center"/>
              <w:rPr>
                <w:bCs/>
                <w:color w:val="000000"/>
                <w:sz w:val="20"/>
              </w:rPr>
            </w:pPr>
            <w:r w:rsidRPr="00D61931">
              <w:rPr>
                <w:bCs/>
                <w:color w:val="000000"/>
                <w:sz w:val="20"/>
              </w:rPr>
              <w:t>25.1</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23.2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23.1</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tcPr>
          <w:p w:rsidR="001B7AC3" w:rsidRPr="00425784" w:rsidRDefault="001B7AC3" w:rsidP="00EE0769">
            <w:pPr>
              <w:rPr>
                <w:color w:val="000000"/>
                <w:sz w:val="20"/>
              </w:rPr>
            </w:pPr>
            <w:r>
              <w:rPr>
                <w:color w:val="000000"/>
                <w:sz w:val="20"/>
              </w:rPr>
              <w:t xml:space="preserve">   Heavy Tobacco Use****</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18.6</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12.8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13.8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20.3</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16.8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14.7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12.1</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sidRPr="00425784">
              <w:rPr>
                <w:color w:val="000000"/>
                <w:sz w:val="20"/>
              </w:rPr>
              <w:t>Alcohol</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75.2</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Pr="00D61931" w:rsidRDefault="001B7AC3" w:rsidP="00EE0769">
            <w:pPr>
              <w:jc w:val="center"/>
              <w:rPr>
                <w:bCs/>
                <w:color w:val="000000"/>
                <w:sz w:val="20"/>
              </w:rPr>
            </w:pPr>
            <w:r w:rsidRPr="00D61931">
              <w:rPr>
                <w:bCs/>
                <w:color w:val="000000"/>
                <w:sz w:val="20"/>
              </w:rPr>
              <w:t>74.9</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69.5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64.1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Pr="00D61931" w:rsidRDefault="001B7AC3" w:rsidP="00EE0769">
            <w:pPr>
              <w:jc w:val="center"/>
              <w:rPr>
                <w:bCs/>
                <w:color w:val="000000"/>
                <w:sz w:val="20"/>
              </w:rPr>
            </w:pPr>
            <w:r w:rsidRPr="00D61931">
              <w:rPr>
                <w:bCs/>
                <w:color w:val="000000"/>
                <w:sz w:val="20"/>
              </w:rPr>
              <w:t>71.7</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64.6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69.0</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tcPr>
          <w:p w:rsidR="001B7AC3" w:rsidRDefault="001B7AC3" w:rsidP="00EE0769">
            <w:pPr>
              <w:rPr>
                <w:color w:val="000000"/>
                <w:sz w:val="20"/>
              </w:rPr>
            </w:pPr>
            <w:r>
              <w:rPr>
                <w:color w:val="000000"/>
                <w:sz w:val="20"/>
              </w:rPr>
              <w:t xml:space="preserve">   Aver. Drinks per Week***</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5.5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5.3</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3.8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3.5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3.3</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2.8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4.7</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Underage Drinking</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70.7</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Pr="00D61931" w:rsidRDefault="001B7AC3" w:rsidP="00EE0769">
            <w:pPr>
              <w:jc w:val="center"/>
              <w:rPr>
                <w:bCs/>
                <w:color w:val="000000"/>
                <w:sz w:val="20"/>
              </w:rPr>
            </w:pPr>
            <w:r w:rsidRPr="00D61931">
              <w:rPr>
                <w:bCs/>
                <w:color w:val="000000"/>
                <w:sz w:val="20"/>
              </w:rPr>
              <w:t>74.5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66.4</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61.1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Pr="00D61931" w:rsidRDefault="001B7AC3" w:rsidP="00EE0769">
            <w:pPr>
              <w:jc w:val="center"/>
              <w:rPr>
                <w:bCs/>
                <w:color w:val="000000"/>
                <w:sz w:val="20"/>
              </w:rPr>
            </w:pPr>
            <w:r w:rsidRPr="00D61931">
              <w:rPr>
                <w:bCs/>
                <w:color w:val="000000"/>
                <w:sz w:val="20"/>
              </w:rPr>
              <w:t>60.2</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D61931" w:rsidRDefault="001B7AC3" w:rsidP="00EE0769">
            <w:pPr>
              <w:jc w:val="center"/>
              <w:rPr>
                <w:bCs/>
                <w:color w:val="000000"/>
                <w:sz w:val="20"/>
              </w:rPr>
            </w:pPr>
            <w:r w:rsidRPr="00D61931">
              <w:rPr>
                <w:bCs/>
                <w:color w:val="000000"/>
                <w:sz w:val="20"/>
              </w:rPr>
              <w:t>59.6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63.4</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Binge Drinking (</w:t>
            </w:r>
            <w:r w:rsidRPr="0071355A">
              <w:rPr>
                <w:i/>
                <w:color w:val="000000"/>
                <w:sz w:val="20"/>
              </w:rPr>
              <w:t>2 weeks</w:t>
            </w:r>
            <w:r>
              <w:rPr>
                <w:color w:val="000000"/>
                <w:sz w:val="20"/>
              </w:rPr>
              <w:t>)*</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47.0</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50.1</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39.4</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36.6</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36.0</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36.0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44.8</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sidRPr="00425784">
              <w:rPr>
                <w:color w:val="000000"/>
                <w:sz w:val="20"/>
              </w:rPr>
              <w:t>Marijuana</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22.5</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31.4</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29.8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14.5</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16.3</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18.7</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Other Illicit Drugs</w:t>
            </w:r>
            <w:r w:rsidRPr="00425784">
              <w:rPr>
                <w:b/>
                <w:color w:val="000000"/>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Pr="00425784" w:rsidRDefault="001B7AC3" w:rsidP="00EE0769">
            <w:pPr>
              <w:jc w:val="center"/>
              <w:rPr>
                <w:color w:val="000000"/>
                <w:sz w:val="20"/>
              </w:rPr>
            </w:pPr>
            <w:proofErr w:type="spellStart"/>
            <w:r>
              <w:rPr>
                <w:color w:val="000000"/>
                <w:sz w:val="20"/>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AC3" w:rsidRPr="00425784" w:rsidRDefault="001B7AC3" w:rsidP="00EE0769">
            <w:pPr>
              <w:jc w:val="center"/>
              <w:rPr>
                <w:color w:val="000000"/>
                <w:sz w:val="20"/>
              </w:rPr>
            </w:pPr>
            <w:r w:rsidRPr="00425784">
              <w:rPr>
                <w:color w:val="000000"/>
                <w:sz w:val="20"/>
              </w:rPr>
              <w:t>14.7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Pr="00425784" w:rsidRDefault="001B7AC3" w:rsidP="00EE0769">
            <w:pPr>
              <w:jc w:val="center"/>
              <w:rPr>
                <w:color w:val="000000"/>
                <w:sz w:val="20"/>
              </w:rPr>
            </w:pPr>
            <w:proofErr w:type="spellStart"/>
            <w:r>
              <w:rPr>
                <w:color w:val="000000"/>
                <w:sz w:val="20"/>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Pr="00425784" w:rsidRDefault="001B7AC3" w:rsidP="00EE0769">
            <w:pPr>
              <w:jc w:val="center"/>
              <w:rPr>
                <w:color w:val="000000"/>
                <w:sz w:val="20"/>
              </w:rPr>
            </w:pPr>
            <w:proofErr w:type="spellStart"/>
            <w:r w:rsidRPr="001B7AC3">
              <w:rPr>
                <w:color w:val="000000"/>
                <w:sz w:val="20"/>
              </w:rPr>
              <w:t>na</w:t>
            </w:r>
            <w:proofErr w:type="spellEnd"/>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Pr="00425784" w:rsidRDefault="001B7AC3" w:rsidP="00EE0769">
            <w:pPr>
              <w:jc w:val="center"/>
              <w:rPr>
                <w:color w:val="000000"/>
                <w:sz w:val="20"/>
              </w:rPr>
            </w:pPr>
            <w:r w:rsidRPr="00425784">
              <w:rPr>
                <w:color w:val="000000"/>
                <w:sz w:val="20"/>
              </w:rPr>
              <w:t>8.0</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Pr="00425784" w:rsidRDefault="001B7AC3" w:rsidP="00EE0769">
            <w:pPr>
              <w:jc w:val="center"/>
              <w:rPr>
                <w:color w:val="000000"/>
                <w:sz w:val="20"/>
              </w:rPr>
            </w:pPr>
            <w:proofErr w:type="spellStart"/>
            <w:r>
              <w:rPr>
                <w:color w:val="000000"/>
                <w:sz w:val="20"/>
              </w:rPr>
              <w:t>na</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6.4</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Cocaine</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2.5</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5.5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4.2</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1.4</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1.7</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2.0</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Amphetamines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5.1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7.2</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4.9</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5.1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4.9</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5.0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3.4</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Sedatives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3.8</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3.9</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2.6</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3.0</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2.4</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1.9</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Hallucinogens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1.2</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3.5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3.2</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0.8</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1.3</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1.4</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Opiates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1.0</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1.3</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0.7</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1.0</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0.8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0.9</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Designer drugs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5.0</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4.5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1.8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1.8</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Steroids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0.6</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0.5</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0.6</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0.6</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0.7</w:t>
            </w:r>
          </w:p>
        </w:tc>
      </w:tr>
      <w:tr w:rsidR="001B7AC3" w:rsidRPr="00425784" w:rsidTr="001B7AC3">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tcPr>
          <w:p w:rsidR="001B7AC3" w:rsidRPr="00425784" w:rsidRDefault="001B7AC3" w:rsidP="00EE0769">
            <w:pPr>
              <w:rPr>
                <w:color w:val="000000"/>
                <w:sz w:val="20"/>
              </w:rPr>
            </w:pPr>
            <w:r>
              <w:rPr>
                <w:color w:val="000000"/>
                <w:sz w:val="20"/>
              </w:rPr>
              <w:t xml:space="preserve">   </w:t>
            </w:r>
            <w:r w:rsidRPr="00425784">
              <w:rPr>
                <w:color w:val="000000"/>
                <w:sz w:val="20"/>
              </w:rPr>
              <w:t>Inhalants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0.7</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1.4</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0.8</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0.6</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0.7</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0.7</w:t>
            </w:r>
          </w:p>
        </w:tc>
      </w:tr>
      <w:tr w:rsidR="001B7AC3" w:rsidRPr="00425784" w:rsidTr="0076079D">
        <w:trPr>
          <w:trHeight w:val="255"/>
          <w:jc w:val="right"/>
        </w:trPr>
        <w:tc>
          <w:tcPr>
            <w:tcW w:w="2383"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1B7AC3" w:rsidRPr="00425784" w:rsidRDefault="001B7AC3" w:rsidP="00EE0769">
            <w:pPr>
              <w:rPr>
                <w:color w:val="000000"/>
                <w:sz w:val="20"/>
              </w:rPr>
            </w:pPr>
            <w:r>
              <w:rPr>
                <w:color w:val="000000"/>
                <w:sz w:val="20"/>
              </w:rPr>
              <w:t xml:space="preserve">   </w:t>
            </w:r>
            <w:r w:rsidRPr="00425784">
              <w:rPr>
                <w:color w:val="000000"/>
                <w:sz w:val="20"/>
              </w:rPr>
              <w:t>Other drugs</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0.9</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1.4</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1.1</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0.8</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1B7AC3" w:rsidRDefault="001B7AC3" w:rsidP="00EE0769">
            <w:pPr>
              <w:jc w:val="center"/>
              <w:rPr>
                <w:color w:val="000000"/>
                <w:sz w:val="20"/>
              </w:rPr>
            </w:pPr>
            <w:r>
              <w:rPr>
                <w:color w:val="000000"/>
                <w:sz w:val="20"/>
              </w:rPr>
              <w:t>0.9</w:t>
            </w:r>
          </w:p>
        </w:tc>
        <w:tc>
          <w:tcPr>
            <w:tcW w:w="630" w:type="dxa"/>
            <w:tcBorders>
              <w:top w:val="single" w:sz="4" w:space="0" w:color="auto"/>
              <w:left w:val="single" w:sz="4" w:space="0" w:color="auto"/>
              <w:bottom w:val="single" w:sz="4" w:space="0" w:color="auto"/>
              <w:right w:val="single" w:sz="4" w:space="0" w:color="auto"/>
            </w:tcBorders>
            <w:noWrap/>
            <w:vAlign w:val="center"/>
          </w:tcPr>
          <w:p w:rsidR="001B7AC3" w:rsidRDefault="001B7AC3" w:rsidP="00EE0769">
            <w:pPr>
              <w:jc w:val="center"/>
              <w:rPr>
                <w:color w:val="000000"/>
                <w:sz w:val="20"/>
              </w:rPr>
            </w:pPr>
            <w:r>
              <w:rPr>
                <w:color w:val="000000"/>
                <w:sz w:val="20"/>
              </w:rPr>
              <w:t>0.6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AC3" w:rsidRDefault="001B7AC3">
            <w:pPr>
              <w:jc w:val="center"/>
              <w:rPr>
                <w:color w:val="000000"/>
                <w:sz w:val="20"/>
              </w:rPr>
            </w:pPr>
            <w:r>
              <w:rPr>
                <w:color w:val="000000"/>
                <w:sz w:val="20"/>
              </w:rPr>
              <w:t>0.9</w:t>
            </w:r>
          </w:p>
        </w:tc>
      </w:tr>
      <w:tr w:rsidR="003423C9" w:rsidRPr="00425784" w:rsidTr="0076079D">
        <w:trPr>
          <w:trHeight w:val="1398"/>
          <w:jc w:val="right"/>
        </w:trPr>
        <w:tc>
          <w:tcPr>
            <w:tcW w:w="6973" w:type="dxa"/>
            <w:gridSpan w:val="8"/>
            <w:tcBorders>
              <w:top w:val="single" w:sz="4" w:space="0" w:color="auto"/>
            </w:tcBorders>
            <w:noWrap/>
            <w:tcMar>
              <w:right w:w="0" w:type="dxa"/>
            </w:tcMar>
            <w:vAlign w:val="center"/>
          </w:tcPr>
          <w:p w:rsidR="003423C9" w:rsidRPr="00544122" w:rsidRDefault="003423C9" w:rsidP="00833A57">
            <w:pPr>
              <w:rPr>
                <w:bCs/>
                <w:sz w:val="18"/>
                <w:szCs w:val="18"/>
              </w:rPr>
            </w:pPr>
            <w:r w:rsidRPr="00544122">
              <w:rPr>
                <w:bCs/>
                <w:sz w:val="18"/>
                <w:szCs w:val="18"/>
              </w:rPr>
              <w:t xml:space="preserve">*In past 2 weeks engaged in binge drinking, i.e., 5 or more drinks in one sitting.  **Illicit drugs other than marijuana.  ***This average includes non-drinking students in the denominator. </w:t>
            </w:r>
            <w:r w:rsidR="00833A57" w:rsidRPr="00544122">
              <w:rPr>
                <w:bCs/>
                <w:sz w:val="18"/>
                <w:szCs w:val="18"/>
              </w:rPr>
              <w:t xml:space="preserve"> ****Heavy use means 3 or more times per week over the past year. </w:t>
            </w:r>
            <w:r w:rsidR="0034368B">
              <w:rPr>
                <w:bCs/>
                <w:sz w:val="18"/>
                <w:szCs w:val="18"/>
              </w:rPr>
              <w:t>“</w:t>
            </w:r>
            <w:proofErr w:type="spellStart"/>
            <w:proofErr w:type="gramStart"/>
            <w:r w:rsidR="0034368B">
              <w:rPr>
                <w:bCs/>
                <w:sz w:val="18"/>
                <w:szCs w:val="18"/>
              </w:rPr>
              <w:t>na</w:t>
            </w:r>
            <w:proofErr w:type="spellEnd"/>
            <w:proofErr w:type="gramEnd"/>
            <w:r w:rsidR="0034368B">
              <w:rPr>
                <w:bCs/>
                <w:sz w:val="18"/>
                <w:szCs w:val="18"/>
              </w:rPr>
              <w:t xml:space="preserve">” means the </w:t>
            </w:r>
            <w:r w:rsidR="00F322CF">
              <w:rPr>
                <w:bCs/>
                <w:sz w:val="18"/>
                <w:szCs w:val="18"/>
              </w:rPr>
              <w:t>data is not yet available in published reports.</w:t>
            </w:r>
          </w:p>
          <w:p w:rsidR="00656D7F" w:rsidRPr="00544122" w:rsidRDefault="004844E5" w:rsidP="00544122">
            <w:pPr>
              <w:rPr>
                <w:bCs/>
                <w:sz w:val="18"/>
                <w:szCs w:val="18"/>
              </w:rPr>
            </w:pPr>
            <w:r w:rsidRPr="00544122">
              <w:rPr>
                <w:sz w:val="18"/>
                <w:szCs w:val="18"/>
              </w:rPr>
              <w:t xml:space="preserve">Data Source: Louisiana Social Indicators - </w:t>
            </w:r>
            <w:hyperlink r:id="rId17" w:history="1">
              <w:r w:rsidRPr="00544122">
                <w:rPr>
                  <w:rStyle w:val="Hyperlink"/>
                  <w:sz w:val="18"/>
                  <w:szCs w:val="18"/>
                </w:rPr>
                <w:t>http://www.bach-harrison.com/lasocialindicators</w:t>
              </w:r>
            </w:hyperlink>
            <w:r w:rsidRPr="00544122">
              <w:rPr>
                <w:sz w:val="18"/>
                <w:szCs w:val="18"/>
              </w:rPr>
              <w:t xml:space="preserve"> (12/31/2013) as well as regional reports</w:t>
            </w:r>
            <w:r w:rsidR="00544122" w:rsidRPr="00544122">
              <w:rPr>
                <w:sz w:val="18"/>
                <w:szCs w:val="18"/>
              </w:rPr>
              <w:t xml:space="preserve"> (</w:t>
            </w:r>
            <w:hyperlink r:id="rId18" w:history="1">
              <w:r w:rsidR="00656D7F" w:rsidRPr="00544122">
                <w:rPr>
                  <w:rStyle w:val="Hyperlink"/>
                  <w:sz w:val="18"/>
                  <w:szCs w:val="18"/>
                </w:rPr>
                <w:t>http://uiswcmsweb.prod.lsu.edu/edco/lacasu/</w:t>
              </w:r>
            </w:hyperlink>
            <w:r w:rsidR="00656D7F" w:rsidRPr="00544122">
              <w:rPr>
                <w:sz w:val="18"/>
                <w:szCs w:val="18"/>
              </w:rPr>
              <w:t xml:space="preserve"> </w:t>
            </w:r>
            <w:r w:rsidR="00544122" w:rsidRPr="00544122">
              <w:rPr>
                <w:sz w:val="18"/>
                <w:szCs w:val="18"/>
              </w:rPr>
              <w:t>) and national reports (</w:t>
            </w:r>
            <w:hyperlink r:id="rId19" w:history="1">
              <w:r w:rsidR="00544122" w:rsidRPr="00544122">
                <w:rPr>
                  <w:rStyle w:val="Hyperlink"/>
                  <w:sz w:val="18"/>
                  <w:szCs w:val="18"/>
                </w:rPr>
                <w:t>http://core.siu.edu/results/index.html</w:t>
              </w:r>
            </w:hyperlink>
            <w:r w:rsidR="00544122" w:rsidRPr="00544122">
              <w:rPr>
                <w:sz w:val="18"/>
                <w:szCs w:val="18"/>
              </w:rPr>
              <w:t xml:space="preserve"> ).</w:t>
            </w:r>
          </w:p>
        </w:tc>
      </w:tr>
    </w:tbl>
    <w:p w:rsidR="00833A57" w:rsidRDefault="003423C9" w:rsidP="001614DD">
      <w:r>
        <w:t xml:space="preserve">About one-third of college students (30%) in Greater New Orleans used </w:t>
      </w:r>
      <w:r>
        <w:rPr>
          <w:u w:val="single"/>
        </w:rPr>
        <w:t>marijuana</w:t>
      </w:r>
      <w:r>
        <w:t xml:space="preserve"> in the past 30 days, based on the 2013 Core Institute Survey. Statewide, about one-in-six college students </w:t>
      </w:r>
      <w:r w:rsidRPr="00EE0769">
        <w:t>(</w:t>
      </w:r>
      <w:r>
        <w:t>1</w:t>
      </w:r>
      <w:r w:rsidRPr="00EE0769">
        <w:t xml:space="preserve">6%) </w:t>
      </w:r>
      <w:r>
        <w:t xml:space="preserve">used </w:t>
      </w:r>
      <w:r w:rsidRPr="00EE0769">
        <w:rPr>
          <w:u w:val="single"/>
        </w:rPr>
        <w:t>marijuana</w:t>
      </w:r>
      <w:r w:rsidRPr="00EE0769">
        <w:t xml:space="preserve"> </w:t>
      </w:r>
      <w:r>
        <w:t xml:space="preserve">in the past 30days. Thus the </w:t>
      </w:r>
      <w:r w:rsidRPr="00C551C5">
        <w:rPr>
          <w:i/>
        </w:rPr>
        <w:t>prevalence of current marijuana use among college students in Greater New Orleans is about twice as great as the statewide prevalence</w:t>
      </w:r>
      <w:r>
        <w:t>.</w:t>
      </w:r>
      <w:r w:rsidR="00C551C5">
        <w:t xml:space="preserve"> </w:t>
      </w:r>
      <w:r w:rsidR="00921CA7">
        <w:t>Furthermore, current</w:t>
      </w:r>
      <w:r w:rsidR="00D268C4">
        <w:t xml:space="preserve"> use of marijuana among college students in Greater New Orleans (30%) exceeds</w:t>
      </w:r>
      <w:r w:rsidR="00921CA7">
        <w:t xml:space="preserve"> current</w:t>
      </w:r>
      <w:r w:rsidR="00D268C4">
        <w:t xml:space="preserve"> use </w:t>
      </w:r>
      <w:r w:rsidR="00921CA7">
        <w:t xml:space="preserve">of </w:t>
      </w:r>
      <w:r w:rsidR="00921CA7" w:rsidRPr="00921CA7">
        <w:t xml:space="preserve">tobacco </w:t>
      </w:r>
      <w:r w:rsidR="00D268C4">
        <w:t>(25%).</w:t>
      </w:r>
    </w:p>
    <w:p w:rsidR="00D268C4" w:rsidRPr="00D14C48" w:rsidRDefault="00D268C4" w:rsidP="001614DD"/>
    <w:p w:rsidR="001614DD" w:rsidRPr="00D14C48" w:rsidRDefault="00D14C48" w:rsidP="001614DD">
      <w:r w:rsidRPr="00D14C48">
        <w:t>Among other illicit drugs</w:t>
      </w:r>
      <w:r w:rsidR="00761DCE">
        <w:t xml:space="preserve">, </w:t>
      </w:r>
      <w:r w:rsidR="00761DCE" w:rsidRPr="004844E5">
        <w:rPr>
          <w:u w:val="single"/>
        </w:rPr>
        <w:t>amphetamines</w:t>
      </w:r>
      <w:r w:rsidR="00761DCE">
        <w:t xml:space="preserve"> are most often used by college students. In Greater New Orleans, as well as statewide, 5 percent of college students used amphetamines in the past 30 days, based on the 2013 Core Institute Survey.</w:t>
      </w:r>
      <w:r w:rsidR="00EB7D2B">
        <w:t xml:space="preserve"> </w:t>
      </w:r>
      <w:r w:rsidR="004844E5">
        <w:t>Current use</w:t>
      </w:r>
      <w:r w:rsidR="00EB7D2B">
        <w:t xml:space="preserve"> of other substances appears to be more prevalent in </w:t>
      </w:r>
      <w:r w:rsidR="00EB7D2B">
        <w:lastRenderedPageBreak/>
        <w:t xml:space="preserve">Greater New Orleans than statewide: </w:t>
      </w:r>
      <w:r w:rsidR="00EB7D2B" w:rsidRPr="004844E5">
        <w:rPr>
          <w:u w:val="single"/>
        </w:rPr>
        <w:t>cocaine</w:t>
      </w:r>
      <w:r w:rsidR="00EB7D2B">
        <w:t xml:space="preserve">, 4 percent versus 1 percent; </w:t>
      </w:r>
      <w:r w:rsidR="00EB7D2B" w:rsidRPr="004844E5">
        <w:rPr>
          <w:u w:val="single"/>
        </w:rPr>
        <w:t>designer drugs</w:t>
      </w:r>
      <w:r w:rsidR="00EB7D2B">
        <w:t xml:space="preserve">, 5 percent versus 2 percent. </w:t>
      </w:r>
      <w:r w:rsidR="004844E5">
        <w:t xml:space="preserve">In Greater New Orleans, as well as statewide, only about 1 percent of college students used </w:t>
      </w:r>
      <w:r w:rsidR="004844E5" w:rsidRPr="004844E5">
        <w:rPr>
          <w:u w:val="single"/>
        </w:rPr>
        <w:t>opiates</w:t>
      </w:r>
      <w:r w:rsidR="004844E5">
        <w:t xml:space="preserve"> in the past 30 days, based on the 2013 Core Institute Survey.</w:t>
      </w:r>
    </w:p>
    <w:p w:rsidR="001614DD" w:rsidRPr="00D14C48" w:rsidRDefault="001614DD" w:rsidP="001614DD"/>
    <w:p w:rsidR="00A03E1E" w:rsidRDefault="00A03E1E" w:rsidP="00A03E1E"/>
    <w:p w:rsidR="00D46F1C" w:rsidRPr="007E5AC6" w:rsidRDefault="00D46F1C" w:rsidP="00D46F1C">
      <w:pPr>
        <w:rPr>
          <w:b/>
        </w:rPr>
      </w:pPr>
      <w:r w:rsidRPr="007E5AC6">
        <w:rPr>
          <w:b/>
        </w:rPr>
        <w:t>Negative Consequences of Substance Use</w:t>
      </w:r>
    </w:p>
    <w:p w:rsidR="00D46F1C" w:rsidRDefault="00D46F1C" w:rsidP="00A03E1E"/>
    <w:p w:rsidR="00CF2B29" w:rsidRPr="007E5AC6" w:rsidRDefault="007E5AC6">
      <w:pPr>
        <w:rPr>
          <w:u w:val="single"/>
        </w:rPr>
      </w:pPr>
      <w:r w:rsidRPr="007E5AC6">
        <w:rPr>
          <w:u w:val="single"/>
        </w:rPr>
        <w:t>Substance Use Disorders and Mental Health Consequences</w:t>
      </w:r>
    </w:p>
    <w:p w:rsidR="00CF2B29" w:rsidRDefault="00CF2B29"/>
    <w:p w:rsidR="007E5AC6" w:rsidRDefault="00CF2B29" w:rsidP="00CF2B29">
      <w:r>
        <w:t xml:space="preserve">While the Core </w:t>
      </w:r>
      <w:r w:rsidR="00011BB0">
        <w:t xml:space="preserve">Institute </w:t>
      </w:r>
      <w:r>
        <w:t xml:space="preserve">Survey </w:t>
      </w:r>
      <w:r w:rsidR="00011BB0">
        <w:t>is not designed to</w:t>
      </w:r>
      <w:r>
        <w:t xml:space="preserve"> provide an estimate of the prevalence of substance use disorders (SUDs), </w:t>
      </w:r>
      <w:r w:rsidR="007E2CD4">
        <w:t>a few</w:t>
      </w:r>
      <w:r>
        <w:t xml:space="preserve"> items </w:t>
      </w:r>
      <w:r w:rsidR="007E2CD4">
        <w:t>approximate</w:t>
      </w:r>
      <w:r>
        <w:t xml:space="preserve"> diagnostic criteria. </w:t>
      </w:r>
      <w:r w:rsidR="00596657">
        <w:t>Among Greater New Orleans college students, 13</w:t>
      </w:r>
      <w:r>
        <w:t xml:space="preserve"> percent, in the past year, </w:t>
      </w:r>
      <w:r w:rsidRPr="0068588B">
        <w:rPr>
          <w:u w:val="single"/>
        </w:rPr>
        <w:t>thought they might have a drinking or other drug problem</w:t>
      </w:r>
      <w:r w:rsidR="00404F29">
        <w:t>, based on the 2013 Core Institute Survey.</w:t>
      </w:r>
      <w:r>
        <w:t xml:space="preserve"> </w:t>
      </w:r>
      <w:r w:rsidR="00530976">
        <w:t>This suggests that</w:t>
      </w:r>
      <w:r w:rsidR="00EC4CCA">
        <w:t xml:space="preserve"> </w:t>
      </w:r>
      <w:r w:rsidR="00EC4CCA" w:rsidRPr="00530976">
        <w:rPr>
          <w:i/>
        </w:rPr>
        <w:t>one-in-eight college students could benefit from intervention service</w:t>
      </w:r>
      <w:r w:rsidR="00530976" w:rsidRPr="00530976">
        <w:rPr>
          <w:i/>
        </w:rPr>
        <w:t>s</w:t>
      </w:r>
      <w:r w:rsidR="00530976">
        <w:t xml:space="preserve"> designed to help students understand their</w:t>
      </w:r>
      <w:r w:rsidR="007E2CD4">
        <w:t xml:space="preserve"> substance use</w:t>
      </w:r>
      <w:r w:rsidR="00530976">
        <w:t xml:space="preserve"> and provide links to supports and treatment as appropriate.</w:t>
      </w:r>
      <w:r w:rsidR="00EC4CCA">
        <w:t xml:space="preserve"> </w:t>
      </w:r>
      <w:r>
        <w:t xml:space="preserve">This </w:t>
      </w:r>
      <w:r w:rsidR="0076079D">
        <w:t xml:space="preserve">13 percent </w:t>
      </w:r>
      <w:r>
        <w:t>figure</w:t>
      </w:r>
      <w:r w:rsidR="00C073A7">
        <w:t xml:space="preserve"> for Greater New Orleans</w:t>
      </w:r>
      <w:r w:rsidR="0076079D">
        <w:t xml:space="preserve"> </w:t>
      </w:r>
      <w:r>
        <w:t xml:space="preserve">is </w:t>
      </w:r>
      <w:r w:rsidR="00360F83">
        <w:t>higher</w:t>
      </w:r>
      <w:r>
        <w:t xml:space="preserve"> than </w:t>
      </w:r>
      <w:r w:rsidR="0076079D">
        <w:t>the figures</w:t>
      </w:r>
      <w:r w:rsidR="00011BB0">
        <w:t xml:space="preserve"> </w:t>
      </w:r>
      <w:r>
        <w:t>for the state as a whole (</w:t>
      </w:r>
      <w:r w:rsidR="00404F29">
        <w:t>9</w:t>
      </w:r>
      <w:r>
        <w:t>%) and the national comparison sample (</w:t>
      </w:r>
      <w:r w:rsidR="007E2CD4">
        <w:t>9</w:t>
      </w:r>
      <w:r>
        <w:t xml:space="preserve">%).  </w:t>
      </w:r>
    </w:p>
    <w:p w:rsidR="007E5AC6" w:rsidRDefault="007E5AC6" w:rsidP="00CF2B29"/>
    <w:p w:rsidR="00CF2B29" w:rsidRDefault="007E5AC6" w:rsidP="00CF2B29">
      <w:r w:rsidRPr="007E5AC6">
        <w:t>Among Greater New Orleans college students</w:t>
      </w:r>
      <w:r>
        <w:t>, 7</w:t>
      </w:r>
      <w:r w:rsidR="00CF2B29">
        <w:t xml:space="preserve"> percent had </w:t>
      </w:r>
      <w:r w:rsidR="00CF2B29" w:rsidRPr="0068588B">
        <w:rPr>
          <w:u w:val="single"/>
        </w:rPr>
        <w:t xml:space="preserve">tried unsuccessfully to </w:t>
      </w:r>
      <w:r w:rsidR="00CF2B29" w:rsidRPr="007E5AC6">
        <w:rPr>
          <w:u w:val="single"/>
        </w:rPr>
        <w:t>stop using</w:t>
      </w:r>
      <w:r w:rsidR="00CF2B29">
        <w:t xml:space="preserve"> alcohol or drugs in the past year</w:t>
      </w:r>
      <w:r w:rsidR="00011BB0">
        <w:t xml:space="preserve">, based on the 2013 Core Institute Survey. </w:t>
      </w:r>
      <w:r w:rsidR="00B85281">
        <w:t xml:space="preserve">This </w:t>
      </w:r>
      <w:r w:rsidR="00540F81">
        <w:t xml:space="preserve">loss of control over substance use strongly </w:t>
      </w:r>
      <w:r w:rsidR="00B85281">
        <w:t xml:space="preserve">suggests </w:t>
      </w:r>
      <w:r w:rsidR="00540F81">
        <w:t>the need for treatment services.</w:t>
      </w:r>
      <w:r w:rsidR="00B85281">
        <w:t xml:space="preserve"> </w:t>
      </w:r>
      <w:r w:rsidR="00011BB0">
        <w:t xml:space="preserve">This </w:t>
      </w:r>
      <w:r w:rsidR="00360F83">
        <w:t xml:space="preserve">7 percent </w:t>
      </w:r>
      <w:r w:rsidR="00011BB0">
        <w:t>figure</w:t>
      </w:r>
      <w:r w:rsidR="00C073A7" w:rsidRPr="00C073A7">
        <w:t xml:space="preserve"> for Greater New Orleans</w:t>
      </w:r>
      <w:r w:rsidR="00011BB0">
        <w:t xml:space="preserve"> appears to be slightly higher than</w:t>
      </w:r>
      <w:r w:rsidR="00EC4CCA">
        <w:t xml:space="preserve"> </w:t>
      </w:r>
      <w:r w:rsidR="00360F83">
        <w:t>the figures</w:t>
      </w:r>
      <w:r w:rsidR="00EC4CCA" w:rsidRPr="00EC4CCA">
        <w:t xml:space="preserve"> for the state as a whole (</w:t>
      </w:r>
      <w:r w:rsidR="00EC4CCA">
        <w:t>5</w:t>
      </w:r>
      <w:r w:rsidR="00EC4CCA" w:rsidRPr="00EC4CCA">
        <w:t>%) and the national comparison sample (</w:t>
      </w:r>
      <w:r w:rsidR="00EC4CCA">
        <w:t>4</w:t>
      </w:r>
      <w:r w:rsidR="00EC4CCA" w:rsidRPr="00EC4CCA">
        <w:t xml:space="preserve">%).  </w:t>
      </w:r>
      <w:r w:rsidR="00CF2B29">
        <w:t xml:space="preserve"> </w:t>
      </w:r>
    </w:p>
    <w:p w:rsidR="00220ED3" w:rsidRDefault="00220ED3"/>
    <w:tbl>
      <w:tblPr>
        <w:tblW w:w="9315" w:type="dxa"/>
        <w:jc w:val="center"/>
        <w:tblInd w:w="-675" w:type="dxa"/>
        <w:tblLayout w:type="fixed"/>
        <w:tblCellMar>
          <w:left w:w="43" w:type="dxa"/>
          <w:right w:w="29" w:type="dxa"/>
        </w:tblCellMar>
        <w:tblLook w:val="04A0" w:firstRow="1" w:lastRow="0" w:firstColumn="1" w:lastColumn="0" w:noHBand="0" w:noVBand="1"/>
      </w:tblPr>
      <w:tblGrid>
        <w:gridCol w:w="4725"/>
        <w:gridCol w:w="630"/>
        <w:gridCol w:w="630"/>
        <w:gridCol w:w="630"/>
        <w:gridCol w:w="630"/>
        <w:gridCol w:w="630"/>
        <w:gridCol w:w="630"/>
        <w:gridCol w:w="810"/>
      </w:tblGrid>
      <w:tr w:rsidR="00220ED3" w:rsidRPr="00425784" w:rsidTr="00360F83">
        <w:trPr>
          <w:trHeight w:val="539"/>
          <w:jc w:val="center"/>
        </w:trPr>
        <w:tc>
          <w:tcPr>
            <w:tcW w:w="9315" w:type="dxa"/>
            <w:gridSpan w:val="8"/>
            <w:tcBorders>
              <w:bottom w:val="single" w:sz="4" w:space="0" w:color="auto"/>
            </w:tcBorders>
            <w:noWrap/>
            <w:vAlign w:val="center"/>
          </w:tcPr>
          <w:p w:rsidR="00F322CF" w:rsidRDefault="00220ED3" w:rsidP="00DF7C96">
            <w:pPr>
              <w:jc w:val="center"/>
              <w:rPr>
                <w:b/>
                <w:bCs/>
                <w:sz w:val="20"/>
              </w:rPr>
            </w:pPr>
            <w:r w:rsidRPr="007E2CD4">
              <w:rPr>
                <w:b/>
                <w:bCs/>
                <w:sz w:val="20"/>
              </w:rPr>
              <w:t xml:space="preserve">Table </w:t>
            </w:r>
            <w:r w:rsidR="007E2CD4">
              <w:rPr>
                <w:b/>
                <w:bCs/>
                <w:sz w:val="20"/>
              </w:rPr>
              <w:t>2</w:t>
            </w:r>
            <w:r w:rsidRPr="007E2CD4">
              <w:rPr>
                <w:b/>
                <w:bCs/>
                <w:sz w:val="20"/>
              </w:rPr>
              <w:t>:</w:t>
            </w:r>
            <w:r w:rsidRPr="000D5DA6">
              <w:rPr>
                <w:b/>
                <w:bCs/>
                <w:sz w:val="20"/>
              </w:rPr>
              <w:t xml:space="preserve">  Percentage of College Students </w:t>
            </w:r>
            <w:r w:rsidR="00914685">
              <w:rPr>
                <w:b/>
                <w:bCs/>
                <w:sz w:val="20"/>
              </w:rPr>
              <w:t>E</w:t>
            </w:r>
            <w:r w:rsidR="0034368B">
              <w:rPr>
                <w:b/>
                <w:bCs/>
                <w:sz w:val="20"/>
              </w:rPr>
              <w:t xml:space="preserve">xperiencing Clinical Consequences Related to </w:t>
            </w:r>
          </w:p>
          <w:p w:rsidR="00F322CF" w:rsidRDefault="0034368B" w:rsidP="00F322CF">
            <w:pPr>
              <w:jc w:val="center"/>
              <w:rPr>
                <w:b/>
                <w:bCs/>
                <w:sz w:val="20"/>
              </w:rPr>
            </w:pPr>
            <w:r>
              <w:rPr>
                <w:b/>
                <w:bCs/>
                <w:sz w:val="20"/>
              </w:rPr>
              <w:t xml:space="preserve">Substance Use </w:t>
            </w:r>
            <w:r w:rsidR="00F322CF">
              <w:rPr>
                <w:b/>
                <w:bCs/>
                <w:sz w:val="20"/>
              </w:rPr>
              <w:t xml:space="preserve"> or Mental Health </w:t>
            </w:r>
            <w:r>
              <w:rPr>
                <w:b/>
                <w:bCs/>
                <w:sz w:val="20"/>
              </w:rPr>
              <w:t>Disorders</w:t>
            </w:r>
            <w:r w:rsidR="00220ED3">
              <w:rPr>
                <w:b/>
                <w:bCs/>
                <w:sz w:val="20"/>
              </w:rPr>
              <w:t xml:space="preserve"> in Greater New Orleans and Statewide,</w:t>
            </w:r>
          </w:p>
          <w:p w:rsidR="00220ED3" w:rsidRPr="00581638" w:rsidRDefault="00220ED3" w:rsidP="00F322CF">
            <w:pPr>
              <w:jc w:val="center"/>
              <w:rPr>
                <w:b/>
                <w:bCs/>
                <w:sz w:val="20"/>
              </w:rPr>
            </w:pPr>
            <w:r>
              <w:rPr>
                <w:b/>
                <w:bCs/>
                <w:sz w:val="20"/>
              </w:rPr>
              <w:t xml:space="preserve"> Core Institute Survey, 2009, 2011 and 2013.</w:t>
            </w:r>
          </w:p>
        </w:tc>
      </w:tr>
      <w:tr w:rsidR="00220ED3" w:rsidRPr="00425784" w:rsidTr="00596657">
        <w:trPr>
          <w:trHeight w:val="269"/>
          <w:jc w:val="center"/>
        </w:trPr>
        <w:tc>
          <w:tcPr>
            <w:tcW w:w="4725" w:type="dxa"/>
            <w:vMerge w:val="restart"/>
            <w:tcBorders>
              <w:top w:val="single" w:sz="4" w:space="0" w:color="auto"/>
              <w:left w:val="single" w:sz="4" w:space="0" w:color="auto"/>
              <w:bottom w:val="single" w:sz="4" w:space="0" w:color="auto"/>
              <w:right w:val="single" w:sz="4" w:space="0" w:color="auto"/>
            </w:tcBorders>
            <w:noWrap/>
            <w:vAlign w:val="center"/>
            <w:hideMark/>
          </w:tcPr>
          <w:p w:rsidR="00DF7C96" w:rsidRDefault="00DF7C96" w:rsidP="00DF7C96">
            <w:pPr>
              <w:jc w:val="center"/>
              <w:rPr>
                <w:b/>
                <w:color w:val="000000"/>
                <w:sz w:val="20"/>
              </w:rPr>
            </w:pPr>
            <w:r w:rsidRPr="00DF7C96">
              <w:rPr>
                <w:b/>
                <w:color w:val="000000"/>
                <w:sz w:val="20"/>
              </w:rPr>
              <w:t xml:space="preserve">Consequences Due to Your  Drinking or </w:t>
            </w:r>
          </w:p>
          <w:p w:rsidR="00220ED3" w:rsidRPr="00425784" w:rsidRDefault="00DF7C96" w:rsidP="00DF7C96">
            <w:pPr>
              <w:jc w:val="center"/>
              <w:rPr>
                <w:color w:val="000000"/>
                <w:sz w:val="20"/>
              </w:rPr>
            </w:pPr>
            <w:r w:rsidRPr="00DF7C96">
              <w:rPr>
                <w:b/>
                <w:color w:val="000000"/>
                <w:sz w:val="20"/>
              </w:rPr>
              <w:t>Drug Use During the Past Year</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220ED3" w:rsidRPr="00425784" w:rsidRDefault="00220ED3" w:rsidP="00DF7C96">
            <w:pPr>
              <w:jc w:val="center"/>
              <w:rPr>
                <w:b/>
                <w:color w:val="000000"/>
                <w:sz w:val="20"/>
              </w:rPr>
            </w:pPr>
            <w:r w:rsidRPr="0025078B">
              <w:rPr>
                <w:b/>
                <w:color w:val="000000"/>
                <w:sz w:val="20"/>
              </w:rPr>
              <w:t>Greater New Orleans</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220ED3" w:rsidRPr="00425784" w:rsidRDefault="00220ED3" w:rsidP="00DF7C96">
            <w:pPr>
              <w:jc w:val="center"/>
              <w:rPr>
                <w:b/>
                <w:color w:val="000000"/>
                <w:sz w:val="20"/>
              </w:rPr>
            </w:pPr>
            <w:r w:rsidRPr="0025078B">
              <w:rPr>
                <w:b/>
                <w:color w:val="000000"/>
                <w:sz w:val="20"/>
              </w:rPr>
              <w:t>Statewide</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220ED3" w:rsidRPr="00425784" w:rsidRDefault="00220ED3" w:rsidP="00DF7C96">
            <w:pPr>
              <w:jc w:val="center"/>
              <w:rPr>
                <w:b/>
                <w:color w:val="000000"/>
                <w:sz w:val="20"/>
              </w:rPr>
            </w:pPr>
            <w:r w:rsidRPr="0025078B">
              <w:rPr>
                <w:b/>
                <w:color w:val="000000"/>
                <w:sz w:val="20"/>
              </w:rPr>
              <w:t>Nation</w:t>
            </w:r>
            <w:r w:rsidRPr="00425784">
              <w:rPr>
                <w:b/>
                <w:color w:val="000000"/>
                <w:sz w:val="20"/>
              </w:rPr>
              <w:t>al</w:t>
            </w:r>
          </w:p>
        </w:tc>
      </w:tr>
      <w:tr w:rsidR="00220ED3" w:rsidRPr="00425784" w:rsidTr="00596657">
        <w:trPr>
          <w:trHeight w:val="286"/>
          <w:jc w:val="center"/>
        </w:trPr>
        <w:tc>
          <w:tcPr>
            <w:tcW w:w="4725" w:type="dxa"/>
            <w:vMerge/>
            <w:tcBorders>
              <w:top w:val="single" w:sz="4" w:space="0" w:color="auto"/>
              <w:left w:val="single" w:sz="4" w:space="0" w:color="auto"/>
              <w:bottom w:val="single" w:sz="4" w:space="0" w:color="auto"/>
              <w:right w:val="single" w:sz="4" w:space="0" w:color="auto"/>
            </w:tcBorders>
            <w:vAlign w:val="center"/>
            <w:hideMark/>
          </w:tcPr>
          <w:p w:rsidR="00220ED3" w:rsidRPr="00425784" w:rsidRDefault="00220ED3" w:rsidP="00DF7C96">
            <w:pP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220ED3" w:rsidRPr="00425784" w:rsidRDefault="00220ED3" w:rsidP="00DF7C96">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220ED3" w:rsidRPr="00425784" w:rsidRDefault="00220ED3" w:rsidP="00DF7C96">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220ED3" w:rsidRPr="00425784" w:rsidRDefault="00220ED3" w:rsidP="00DF7C96">
            <w:pPr>
              <w:jc w:val="center"/>
              <w:rPr>
                <w:color w:val="000000"/>
                <w:sz w:val="20"/>
              </w:rPr>
            </w:pPr>
            <w:r w:rsidRPr="0065120E">
              <w:rPr>
                <w:color w:val="000000"/>
                <w:sz w:val="20"/>
              </w:rPr>
              <w:t>2013</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220ED3" w:rsidRPr="00425784" w:rsidRDefault="00220ED3" w:rsidP="00DF7C96">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220ED3" w:rsidRPr="00425784" w:rsidRDefault="00220ED3" w:rsidP="00DF7C96">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220ED3" w:rsidRPr="00425784" w:rsidRDefault="00220ED3" w:rsidP="00DF7C96">
            <w:pPr>
              <w:jc w:val="center"/>
              <w:rPr>
                <w:color w:val="000000"/>
                <w:sz w:val="20"/>
              </w:rPr>
            </w:pPr>
            <w:r w:rsidRPr="0065120E">
              <w:rPr>
                <w:color w:val="000000"/>
                <w:sz w:val="20"/>
              </w:rPr>
              <w:t>2013</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220ED3" w:rsidRPr="00425784" w:rsidRDefault="00220ED3" w:rsidP="00DF7C96">
            <w:pPr>
              <w:jc w:val="center"/>
              <w:rPr>
                <w:color w:val="000000"/>
                <w:sz w:val="20"/>
              </w:rPr>
            </w:pPr>
            <w:r w:rsidRPr="0065120E">
              <w:rPr>
                <w:color w:val="000000"/>
                <w:sz w:val="20"/>
              </w:rPr>
              <w:t>20</w:t>
            </w:r>
            <w:r w:rsidR="00415766">
              <w:rPr>
                <w:color w:val="000000"/>
                <w:sz w:val="20"/>
              </w:rPr>
              <w:t>11</w:t>
            </w:r>
          </w:p>
        </w:tc>
      </w:tr>
      <w:tr w:rsidR="00220ED3" w:rsidRPr="00425784" w:rsidTr="007E2CD4">
        <w:trPr>
          <w:trHeight w:val="255"/>
          <w:jc w:val="center"/>
        </w:trPr>
        <w:tc>
          <w:tcPr>
            <w:tcW w:w="4725" w:type="dxa"/>
            <w:tcBorders>
              <w:top w:val="single" w:sz="4" w:space="0" w:color="auto"/>
              <w:left w:val="single" w:sz="4" w:space="0" w:color="auto"/>
              <w:bottom w:val="single" w:sz="4" w:space="0" w:color="auto"/>
              <w:right w:val="single" w:sz="4" w:space="0" w:color="auto"/>
            </w:tcBorders>
            <w:noWrap/>
            <w:vAlign w:val="center"/>
            <w:hideMark/>
          </w:tcPr>
          <w:p w:rsidR="00220ED3" w:rsidRPr="00425784" w:rsidRDefault="00220ED3" w:rsidP="00DF7C96">
            <w:pPr>
              <w:jc w:val="right"/>
              <w:rPr>
                <w:color w:val="000000"/>
                <w:sz w:val="18"/>
                <w:szCs w:val="18"/>
              </w:rPr>
            </w:pPr>
            <w:r w:rsidRPr="00425784">
              <w:rPr>
                <w:color w:val="000000"/>
                <w:sz w:val="18"/>
                <w:szCs w:val="18"/>
              </w:rPr>
              <w:t>sample size=</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ED3" w:rsidRPr="00425784" w:rsidRDefault="00220ED3" w:rsidP="00DF7C96">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D3" w:rsidRPr="00425784" w:rsidRDefault="00220ED3" w:rsidP="00DF7C96">
            <w:pPr>
              <w:jc w:val="center"/>
              <w:rPr>
                <w:color w:val="000000"/>
                <w:sz w:val="18"/>
                <w:szCs w:val="18"/>
              </w:rPr>
            </w:pPr>
            <w:r w:rsidRPr="00425784">
              <w:rPr>
                <w:color w:val="000000"/>
                <w:sz w:val="18"/>
                <w:szCs w:val="18"/>
              </w:rPr>
              <w:t>1,646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ED3" w:rsidRPr="00425784" w:rsidRDefault="00220ED3" w:rsidP="00DF7C96">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ED3" w:rsidRPr="00425784" w:rsidRDefault="00220ED3" w:rsidP="00DF7C96">
            <w:pPr>
              <w:jc w:val="center"/>
              <w:rPr>
                <w:color w:val="000000"/>
                <w:sz w:val="18"/>
                <w:szCs w:val="18"/>
              </w:rPr>
            </w:pPr>
            <w:r>
              <w:rPr>
                <w:color w:val="000000"/>
                <w:sz w:val="18"/>
                <w:szCs w:val="18"/>
              </w:rPr>
              <w:t>12,972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D3" w:rsidRPr="00425784" w:rsidRDefault="00220ED3" w:rsidP="00DF7C96">
            <w:pPr>
              <w:jc w:val="center"/>
              <w:rPr>
                <w:color w:val="000000"/>
                <w:sz w:val="18"/>
                <w:szCs w:val="18"/>
              </w:rPr>
            </w:pPr>
            <w:r w:rsidRPr="00425784">
              <w:rPr>
                <w:color w:val="000000"/>
                <w:sz w:val="18"/>
                <w:szCs w:val="18"/>
              </w:rPr>
              <w:t>9,763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ED3" w:rsidRPr="00425784" w:rsidRDefault="00220ED3" w:rsidP="00DF7C96">
            <w:pPr>
              <w:jc w:val="center"/>
              <w:rPr>
                <w:color w:val="000000"/>
                <w:sz w:val="18"/>
                <w:szCs w:val="18"/>
              </w:rPr>
            </w:pPr>
            <w:r>
              <w:rPr>
                <w:color w:val="000000"/>
                <w:sz w:val="18"/>
                <w:szCs w:val="18"/>
              </w:rPr>
              <w:t>7,740</w:t>
            </w:r>
          </w:p>
        </w:tc>
        <w:tc>
          <w:tcPr>
            <w:tcW w:w="810" w:type="dxa"/>
            <w:tcBorders>
              <w:top w:val="single" w:sz="4" w:space="0" w:color="auto"/>
              <w:left w:val="single" w:sz="4" w:space="0" w:color="auto"/>
              <w:bottom w:val="single" w:sz="4" w:space="0" w:color="auto"/>
              <w:right w:val="single" w:sz="4" w:space="0" w:color="auto"/>
            </w:tcBorders>
            <w:noWrap/>
            <w:vAlign w:val="center"/>
          </w:tcPr>
          <w:p w:rsidR="00220ED3" w:rsidRPr="00425784" w:rsidRDefault="00220ED3" w:rsidP="00DF7C96">
            <w:pPr>
              <w:jc w:val="center"/>
              <w:rPr>
                <w:color w:val="000000"/>
                <w:sz w:val="18"/>
                <w:szCs w:val="18"/>
                <w:highlight w:val="yellow"/>
              </w:rPr>
            </w:pPr>
            <w:r>
              <w:rPr>
                <w:color w:val="000000"/>
                <w:sz w:val="18"/>
                <w:szCs w:val="18"/>
              </w:rPr>
              <w:t>50,505</w:t>
            </w:r>
          </w:p>
        </w:tc>
      </w:tr>
      <w:tr w:rsidR="00F322CF"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F322CF" w:rsidRPr="00596657" w:rsidRDefault="00596657" w:rsidP="00DF7C96">
            <w:pPr>
              <w:rPr>
                <w:b/>
                <w:color w:val="000000"/>
                <w:sz w:val="20"/>
              </w:rPr>
            </w:pPr>
            <w:r w:rsidRPr="00596657">
              <w:rPr>
                <w:b/>
                <w:color w:val="000000"/>
                <w:sz w:val="20"/>
              </w:rPr>
              <w:tab/>
              <w:t>Indicators of Substance Use Disorder</w:t>
            </w: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2CF" w:rsidRDefault="00F322CF" w:rsidP="00DF7C96">
            <w:pPr>
              <w:jc w:val="center"/>
              <w:rPr>
                <w:color w:val="000000"/>
                <w:sz w:val="20"/>
              </w:rPr>
            </w:pPr>
          </w:p>
        </w:tc>
      </w:tr>
      <w:tr w:rsidR="00DF7C96"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DF7C96" w:rsidRDefault="00DF7C96" w:rsidP="00DF7C96">
            <w:pPr>
              <w:rPr>
                <w:color w:val="000000"/>
                <w:sz w:val="20"/>
              </w:rPr>
            </w:pPr>
            <w:r>
              <w:rPr>
                <w:color w:val="000000"/>
                <w:sz w:val="20"/>
              </w:rPr>
              <w:t>Had a hangover</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67.7</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DF7C96" w:rsidRDefault="00DF7C96" w:rsidP="00DF7C96">
            <w:pPr>
              <w:jc w:val="center"/>
              <w:rPr>
                <w:color w:val="000000"/>
                <w:sz w:val="20"/>
              </w:rPr>
            </w:pPr>
            <w:r>
              <w:rPr>
                <w:color w:val="000000"/>
                <w:sz w:val="20"/>
              </w:rPr>
              <w:t>67.7</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58.6</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57.7</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DF7C96" w:rsidRDefault="00DF7C96" w:rsidP="00DF7C96">
            <w:pPr>
              <w:jc w:val="center"/>
              <w:rPr>
                <w:color w:val="000000"/>
                <w:sz w:val="20"/>
              </w:rPr>
            </w:pPr>
            <w:r>
              <w:rPr>
                <w:color w:val="000000"/>
                <w:sz w:val="20"/>
              </w:rPr>
              <w:t>55.7</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C96" w:rsidRDefault="00DF7C96" w:rsidP="00DF7C96">
            <w:pPr>
              <w:jc w:val="center"/>
              <w:rPr>
                <w:color w:val="000000"/>
                <w:sz w:val="20"/>
              </w:rPr>
            </w:pPr>
            <w:r>
              <w:rPr>
                <w:color w:val="000000"/>
                <w:sz w:val="20"/>
              </w:rPr>
              <w:t>59.4</w:t>
            </w:r>
          </w:p>
        </w:tc>
      </w:tr>
      <w:tr w:rsidR="00DF7C96"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DF7C96" w:rsidRDefault="00DF7C96" w:rsidP="00DF7C96">
            <w:pPr>
              <w:rPr>
                <w:color w:val="000000"/>
                <w:sz w:val="20"/>
              </w:rPr>
            </w:pPr>
            <w:r>
              <w:rPr>
                <w:color w:val="000000"/>
                <w:sz w:val="20"/>
              </w:rPr>
              <w:t>Got nauseated or vomited</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57.8</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57.2</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48.5</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48.9</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45.9</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47.2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C96" w:rsidRDefault="00DF7C96" w:rsidP="00DF7C96">
            <w:pPr>
              <w:jc w:val="center"/>
              <w:rPr>
                <w:color w:val="000000"/>
                <w:sz w:val="20"/>
              </w:rPr>
            </w:pPr>
            <w:r>
              <w:rPr>
                <w:color w:val="000000"/>
                <w:sz w:val="20"/>
              </w:rPr>
              <w:t>49.8</w:t>
            </w:r>
          </w:p>
        </w:tc>
      </w:tr>
      <w:tr w:rsidR="00DF7C96"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DF7C96" w:rsidRDefault="00DF7C96" w:rsidP="00DF7C96">
            <w:pPr>
              <w:rPr>
                <w:color w:val="000000"/>
                <w:sz w:val="20"/>
              </w:rPr>
            </w:pPr>
            <w:r>
              <w:rPr>
                <w:color w:val="000000"/>
                <w:sz w:val="20"/>
              </w:rPr>
              <w:t>Had a memory loss</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38.9</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DF7C96" w:rsidRDefault="00DF7C96" w:rsidP="00DF7C96">
            <w:pPr>
              <w:jc w:val="center"/>
              <w:rPr>
                <w:color w:val="000000"/>
                <w:sz w:val="20"/>
              </w:rPr>
            </w:pPr>
            <w:r>
              <w:rPr>
                <w:color w:val="000000"/>
                <w:sz w:val="20"/>
              </w:rPr>
              <w:t>44.0</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31.3</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28.3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DF7C96" w:rsidRDefault="00DF7C96" w:rsidP="00DF7C96">
            <w:pPr>
              <w:jc w:val="center"/>
              <w:rPr>
                <w:color w:val="000000"/>
                <w:sz w:val="20"/>
              </w:rPr>
            </w:pPr>
            <w:r>
              <w:rPr>
                <w:color w:val="000000"/>
                <w:sz w:val="20"/>
              </w:rPr>
              <w:t>27.2</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27.1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C96" w:rsidRDefault="00DF7C96" w:rsidP="00DF7C96">
            <w:pPr>
              <w:jc w:val="center"/>
              <w:rPr>
                <w:color w:val="000000"/>
                <w:sz w:val="20"/>
              </w:rPr>
            </w:pPr>
            <w:r>
              <w:rPr>
                <w:color w:val="000000"/>
                <w:sz w:val="20"/>
              </w:rPr>
              <w:t>33.5</w:t>
            </w:r>
          </w:p>
        </w:tc>
      </w:tr>
      <w:tr w:rsidR="00DF7C96"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DF7C96" w:rsidRDefault="00DF7C96" w:rsidP="00DF7C96">
            <w:pPr>
              <w:rPr>
                <w:color w:val="000000"/>
                <w:sz w:val="20"/>
              </w:rPr>
            </w:pPr>
            <w:r>
              <w:rPr>
                <w:color w:val="000000"/>
                <w:sz w:val="20"/>
              </w:rPr>
              <w:t>Tried unsuccessfully to stop using</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5.7</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6.1</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7.2</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5.8</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5.1</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5.1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C96" w:rsidRDefault="00DF7C96" w:rsidP="00DF7C96">
            <w:pPr>
              <w:jc w:val="center"/>
              <w:rPr>
                <w:color w:val="000000"/>
                <w:sz w:val="20"/>
              </w:rPr>
            </w:pPr>
            <w:r>
              <w:rPr>
                <w:color w:val="000000"/>
                <w:sz w:val="20"/>
              </w:rPr>
              <w:t>4.4</w:t>
            </w:r>
          </w:p>
        </w:tc>
      </w:tr>
      <w:tr w:rsidR="00DF7C96"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DF7C96" w:rsidRDefault="00DF7C96" w:rsidP="00DF7C96">
            <w:pPr>
              <w:rPr>
                <w:color w:val="000000"/>
                <w:sz w:val="20"/>
              </w:rPr>
            </w:pPr>
            <w:r>
              <w:rPr>
                <w:color w:val="000000"/>
                <w:sz w:val="20"/>
              </w:rPr>
              <w:t>Thought I might have a drinking or other drug problem</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13.1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DF7C96" w:rsidRDefault="00DF7C96" w:rsidP="00DF7C96">
            <w:pPr>
              <w:jc w:val="center"/>
              <w:rPr>
                <w:color w:val="000000"/>
                <w:sz w:val="20"/>
              </w:rPr>
            </w:pPr>
            <w:r>
              <w:rPr>
                <w:color w:val="000000"/>
                <w:sz w:val="20"/>
              </w:rPr>
              <w:t>15.2</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12.6</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10.3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DF7C96" w:rsidRDefault="00DF7C96" w:rsidP="00DF7C96">
            <w:pPr>
              <w:jc w:val="center"/>
              <w:rPr>
                <w:color w:val="000000"/>
                <w:sz w:val="20"/>
              </w:rPr>
            </w:pPr>
            <w:r>
              <w:rPr>
                <w:color w:val="000000"/>
                <w:sz w:val="20"/>
              </w:rPr>
              <w:t>9.1</w:t>
            </w:r>
          </w:p>
        </w:tc>
        <w:tc>
          <w:tcPr>
            <w:tcW w:w="630" w:type="dxa"/>
            <w:tcBorders>
              <w:top w:val="single" w:sz="4" w:space="0" w:color="auto"/>
              <w:left w:val="single" w:sz="4" w:space="0" w:color="auto"/>
              <w:bottom w:val="single" w:sz="4" w:space="0" w:color="auto"/>
              <w:right w:val="single" w:sz="4" w:space="0" w:color="auto"/>
            </w:tcBorders>
            <w:noWrap/>
            <w:vAlign w:val="center"/>
          </w:tcPr>
          <w:p w:rsidR="00DF7C96" w:rsidRDefault="00DF7C96" w:rsidP="00DF7C96">
            <w:pPr>
              <w:jc w:val="center"/>
              <w:rPr>
                <w:color w:val="000000"/>
                <w:sz w:val="20"/>
              </w:rPr>
            </w:pPr>
            <w:r>
              <w:rPr>
                <w:color w:val="000000"/>
                <w:sz w:val="20"/>
              </w:rPr>
              <w:t>8.8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7C96" w:rsidRDefault="00DF7C96" w:rsidP="00DF7C96">
            <w:pPr>
              <w:jc w:val="center"/>
              <w:rPr>
                <w:color w:val="000000"/>
                <w:sz w:val="20"/>
              </w:rPr>
            </w:pPr>
            <w:r>
              <w:rPr>
                <w:color w:val="000000"/>
                <w:sz w:val="20"/>
              </w:rPr>
              <w:t>8.8</w:t>
            </w:r>
          </w:p>
        </w:tc>
      </w:tr>
      <w:tr w:rsidR="00F322CF"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F322CF" w:rsidRPr="00067C01" w:rsidRDefault="00067C01" w:rsidP="00DF7C96">
            <w:pPr>
              <w:rPr>
                <w:b/>
                <w:color w:val="000000"/>
                <w:sz w:val="20"/>
              </w:rPr>
            </w:pPr>
            <w:r>
              <w:rPr>
                <w:color w:val="000000"/>
                <w:sz w:val="20"/>
              </w:rPr>
              <w:tab/>
            </w:r>
            <w:r w:rsidRPr="00067C01">
              <w:rPr>
                <w:b/>
                <w:color w:val="000000"/>
                <w:sz w:val="20"/>
              </w:rPr>
              <w:t>Mental Health Consequences</w:t>
            </w: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F322CF" w:rsidRDefault="00F322CF" w:rsidP="00DF7C96">
            <w:pPr>
              <w:jc w:val="center"/>
              <w:rPr>
                <w:color w:val="000000"/>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2CF" w:rsidRDefault="00F322CF" w:rsidP="00DF7C96">
            <w:pPr>
              <w:jc w:val="center"/>
              <w:rPr>
                <w:color w:val="000000"/>
                <w:sz w:val="20"/>
              </w:rPr>
            </w:pPr>
          </w:p>
        </w:tc>
      </w:tr>
      <w:tr w:rsidR="00067C01"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067C01" w:rsidRDefault="00067C01">
            <w:pPr>
              <w:rPr>
                <w:color w:val="000000"/>
                <w:sz w:val="20"/>
              </w:rPr>
            </w:pPr>
            <w:r>
              <w:rPr>
                <w:color w:val="000000"/>
                <w:sz w:val="20"/>
              </w:rPr>
              <w:t>Did something I later regretted</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39.5</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40.6</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31.1</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30.8</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28.4</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29.2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C01" w:rsidRPr="00067C01" w:rsidRDefault="00067C01">
            <w:pPr>
              <w:jc w:val="center"/>
              <w:rPr>
                <w:bCs/>
                <w:color w:val="000000"/>
                <w:sz w:val="20"/>
              </w:rPr>
            </w:pPr>
            <w:r w:rsidRPr="00067C01">
              <w:rPr>
                <w:bCs/>
                <w:color w:val="000000"/>
                <w:sz w:val="20"/>
              </w:rPr>
              <w:t>33.4</w:t>
            </w:r>
          </w:p>
        </w:tc>
      </w:tr>
      <w:tr w:rsidR="00067C01" w:rsidRPr="00425784" w:rsidTr="00596657">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067C01" w:rsidRDefault="00067C01">
            <w:pPr>
              <w:rPr>
                <w:color w:val="000000"/>
                <w:sz w:val="20"/>
              </w:rPr>
            </w:pPr>
            <w:r>
              <w:rPr>
                <w:color w:val="000000"/>
                <w:sz w:val="20"/>
              </w:rPr>
              <w:t>Seriously thought about suicide</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4.1</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5.0</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4.9</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4.2</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4.0</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3.9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C01" w:rsidRPr="00067C01" w:rsidRDefault="00067C01">
            <w:pPr>
              <w:jc w:val="center"/>
              <w:rPr>
                <w:bCs/>
                <w:color w:val="000000"/>
                <w:sz w:val="20"/>
              </w:rPr>
            </w:pPr>
            <w:r w:rsidRPr="00067C01">
              <w:rPr>
                <w:bCs/>
                <w:color w:val="000000"/>
                <w:sz w:val="20"/>
              </w:rPr>
              <w:t>3.9</w:t>
            </w:r>
          </w:p>
        </w:tc>
      </w:tr>
      <w:tr w:rsidR="00067C01" w:rsidRPr="00425784" w:rsidTr="00360F83">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067C01" w:rsidRDefault="00067C01">
            <w:pPr>
              <w:rPr>
                <w:color w:val="000000"/>
                <w:sz w:val="20"/>
              </w:rPr>
            </w:pPr>
            <w:r>
              <w:rPr>
                <w:color w:val="000000"/>
                <w:sz w:val="20"/>
              </w:rPr>
              <w:t>Seriously tried to commit suicide</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1.0</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1.3</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1.0</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1.4</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1.4</w:t>
            </w:r>
          </w:p>
        </w:tc>
        <w:tc>
          <w:tcPr>
            <w:tcW w:w="630" w:type="dxa"/>
            <w:tcBorders>
              <w:top w:val="single" w:sz="4" w:space="0" w:color="auto"/>
              <w:left w:val="single" w:sz="4" w:space="0" w:color="auto"/>
              <w:bottom w:val="single" w:sz="4" w:space="0" w:color="auto"/>
              <w:right w:val="single" w:sz="4" w:space="0" w:color="auto"/>
            </w:tcBorders>
            <w:noWrap/>
            <w:vAlign w:val="center"/>
          </w:tcPr>
          <w:p w:rsidR="00067C01" w:rsidRPr="00067C01" w:rsidRDefault="00067C01">
            <w:pPr>
              <w:jc w:val="center"/>
              <w:rPr>
                <w:bCs/>
                <w:color w:val="000000"/>
                <w:sz w:val="20"/>
              </w:rPr>
            </w:pPr>
            <w:r w:rsidRPr="00067C01">
              <w:rPr>
                <w:bCs/>
                <w:color w:val="000000"/>
                <w:sz w:val="20"/>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C01" w:rsidRPr="00067C01" w:rsidRDefault="00067C01">
            <w:pPr>
              <w:jc w:val="center"/>
              <w:rPr>
                <w:bCs/>
                <w:color w:val="000000"/>
                <w:sz w:val="20"/>
              </w:rPr>
            </w:pPr>
            <w:r w:rsidRPr="00067C01">
              <w:rPr>
                <w:bCs/>
                <w:color w:val="000000"/>
                <w:sz w:val="20"/>
              </w:rPr>
              <w:t>1.3</w:t>
            </w:r>
          </w:p>
        </w:tc>
      </w:tr>
      <w:tr w:rsidR="00220ED3" w:rsidRPr="00425784" w:rsidTr="00360F83">
        <w:trPr>
          <w:trHeight w:val="728"/>
          <w:jc w:val="center"/>
        </w:trPr>
        <w:tc>
          <w:tcPr>
            <w:tcW w:w="9315" w:type="dxa"/>
            <w:gridSpan w:val="8"/>
            <w:tcBorders>
              <w:top w:val="single" w:sz="4" w:space="0" w:color="auto"/>
            </w:tcBorders>
            <w:noWrap/>
            <w:tcMar>
              <w:right w:w="0" w:type="dxa"/>
            </w:tcMar>
            <w:vAlign w:val="center"/>
          </w:tcPr>
          <w:p w:rsidR="00914685" w:rsidRDefault="00914685" w:rsidP="00DF7C96">
            <w:pPr>
              <w:rPr>
                <w:sz w:val="18"/>
                <w:szCs w:val="18"/>
              </w:rPr>
            </w:pPr>
            <w:r>
              <w:rPr>
                <w:sz w:val="18"/>
                <w:szCs w:val="18"/>
              </w:rPr>
              <w:t>“</w:t>
            </w:r>
            <w:proofErr w:type="spellStart"/>
            <w:proofErr w:type="gramStart"/>
            <w:r>
              <w:rPr>
                <w:sz w:val="18"/>
                <w:szCs w:val="18"/>
              </w:rPr>
              <w:t>na</w:t>
            </w:r>
            <w:proofErr w:type="spellEnd"/>
            <w:proofErr w:type="gramEnd"/>
            <w:r>
              <w:rPr>
                <w:sz w:val="18"/>
                <w:szCs w:val="18"/>
              </w:rPr>
              <w:t>” means data is not yet available in published reports.</w:t>
            </w:r>
          </w:p>
          <w:p w:rsidR="00220ED3" w:rsidRPr="00544122" w:rsidRDefault="00220ED3" w:rsidP="00DF7C96">
            <w:pPr>
              <w:rPr>
                <w:bCs/>
                <w:sz w:val="18"/>
                <w:szCs w:val="18"/>
              </w:rPr>
            </w:pPr>
            <w:r w:rsidRPr="00544122">
              <w:rPr>
                <w:sz w:val="18"/>
                <w:szCs w:val="18"/>
              </w:rPr>
              <w:t xml:space="preserve">Data Source: Louisiana Social Indicators - </w:t>
            </w:r>
            <w:hyperlink r:id="rId20" w:history="1">
              <w:r w:rsidRPr="00544122">
                <w:rPr>
                  <w:rStyle w:val="Hyperlink"/>
                  <w:sz w:val="18"/>
                  <w:szCs w:val="18"/>
                </w:rPr>
                <w:t>http://www.bach-harrison.com/lasocialindicators</w:t>
              </w:r>
            </w:hyperlink>
            <w:r w:rsidRPr="00544122">
              <w:rPr>
                <w:sz w:val="18"/>
                <w:szCs w:val="18"/>
              </w:rPr>
              <w:t xml:space="preserve"> (12/31/2013) as well as regional reports (</w:t>
            </w:r>
            <w:hyperlink r:id="rId21" w:history="1">
              <w:r w:rsidRPr="00544122">
                <w:rPr>
                  <w:rStyle w:val="Hyperlink"/>
                  <w:sz w:val="18"/>
                  <w:szCs w:val="18"/>
                </w:rPr>
                <w:t>http://uiswcmsweb.prod.lsu.edu/edco/lacasu/</w:t>
              </w:r>
            </w:hyperlink>
            <w:r w:rsidRPr="00544122">
              <w:rPr>
                <w:sz w:val="18"/>
                <w:szCs w:val="18"/>
              </w:rPr>
              <w:t xml:space="preserve"> ) and national reports (</w:t>
            </w:r>
            <w:hyperlink r:id="rId22" w:history="1">
              <w:r w:rsidRPr="00544122">
                <w:rPr>
                  <w:rStyle w:val="Hyperlink"/>
                  <w:sz w:val="18"/>
                  <w:szCs w:val="18"/>
                </w:rPr>
                <w:t>http://core.siu.edu/results/index.html</w:t>
              </w:r>
            </w:hyperlink>
            <w:r w:rsidRPr="00544122">
              <w:rPr>
                <w:sz w:val="18"/>
                <w:szCs w:val="18"/>
              </w:rPr>
              <w:t xml:space="preserve"> ).</w:t>
            </w:r>
          </w:p>
        </w:tc>
      </w:tr>
    </w:tbl>
    <w:p w:rsidR="00EC4CCA" w:rsidRDefault="00EC4CCA"/>
    <w:p w:rsidR="0071706A" w:rsidRDefault="00B172CA">
      <w:r>
        <w:t>Among Greater New Orleans college students, 5 percent</w:t>
      </w:r>
      <w:r w:rsidR="005B4087">
        <w:t xml:space="preserve"> indicated they</w:t>
      </w:r>
      <w:r>
        <w:t xml:space="preserve"> </w:t>
      </w:r>
      <w:r w:rsidR="005B4087">
        <w:t xml:space="preserve">seriously thought about suicide </w:t>
      </w:r>
      <w:r w:rsidR="005B4087" w:rsidRPr="007E2CD4">
        <w:rPr>
          <w:i/>
        </w:rPr>
        <w:t>due to their drinking or drug use</w:t>
      </w:r>
      <w:r w:rsidR="005B4087">
        <w:t xml:space="preserve"> during the past year</w:t>
      </w:r>
      <w:r w:rsidR="00C01FEF">
        <w:t xml:space="preserve"> while about 1 percent had seriously tried to commit suicide due to their drinking or drug use, based on the 2013 Core Institute </w:t>
      </w:r>
      <w:r w:rsidR="00C01FEF">
        <w:lastRenderedPageBreak/>
        <w:t xml:space="preserve">Survey. The figures for Louisiana statewide and the </w:t>
      </w:r>
      <w:r w:rsidR="005B6E6A">
        <w:t>2011 national sample</w:t>
      </w:r>
      <w:r w:rsidR="00C01FEF">
        <w:t xml:space="preserve"> are similar</w:t>
      </w:r>
      <w:r w:rsidR="0071706A">
        <w:t xml:space="preserve"> to Greater New Orleans figures.</w:t>
      </w:r>
    </w:p>
    <w:p w:rsidR="0071706A" w:rsidRDefault="0071706A"/>
    <w:p w:rsidR="0071706A" w:rsidRPr="0071706A" w:rsidRDefault="0071706A">
      <w:pPr>
        <w:rPr>
          <w:u w:val="single"/>
        </w:rPr>
      </w:pPr>
      <w:r w:rsidRPr="0071706A">
        <w:rPr>
          <w:u w:val="single"/>
        </w:rPr>
        <w:t>Educational Consequences</w:t>
      </w:r>
    </w:p>
    <w:p w:rsidR="0071706A" w:rsidRDefault="0071706A"/>
    <w:p w:rsidR="00B02ABD" w:rsidRDefault="00752489">
      <w:r>
        <w:t>Two questions on the Core Institute Survey directly address the effect of substance use on education. One-third of Greater New Orleans college students (34%</w:t>
      </w:r>
      <w:r w:rsidR="005657F5">
        <w:t xml:space="preserve">) </w:t>
      </w:r>
      <w:r w:rsidR="005657F5" w:rsidRPr="005657F5">
        <w:rPr>
          <w:u w:val="single"/>
        </w:rPr>
        <w:t>missed</w:t>
      </w:r>
      <w:r w:rsidRPr="005657F5">
        <w:rPr>
          <w:u w:val="single"/>
        </w:rPr>
        <w:t xml:space="preserve"> one or more classes</w:t>
      </w:r>
      <w:r>
        <w:t xml:space="preserve"> due to their drinking or drug use during the past year, based on the 2013 Core Institute Survey. </w:t>
      </w:r>
      <w:r w:rsidR="00D0635A">
        <w:t xml:space="preserve">Greater New Orleans students were more likely to miss class due to substance use than students statewide (28%) or in the </w:t>
      </w:r>
      <w:r w:rsidR="005B6E6A">
        <w:t>2011 national sample</w:t>
      </w:r>
      <w:r w:rsidR="00D0635A">
        <w:t xml:space="preserve"> (27%). </w:t>
      </w:r>
      <w:r>
        <w:t xml:space="preserve">  </w:t>
      </w:r>
    </w:p>
    <w:tbl>
      <w:tblPr>
        <w:tblpPr w:leftFromText="180" w:rightFromText="180" w:vertAnchor="text" w:tblpXSpec="right" w:tblpY="1"/>
        <w:tblOverlap w:val="never"/>
        <w:tblW w:w="6731" w:type="dxa"/>
        <w:jc w:val="right"/>
        <w:tblLayout w:type="fixed"/>
        <w:tblCellMar>
          <w:left w:w="43" w:type="dxa"/>
          <w:right w:w="29" w:type="dxa"/>
        </w:tblCellMar>
        <w:tblLook w:val="04A0" w:firstRow="1" w:lastRow="0" w:firstColumn="1" w:lastColumn="0" w:noHBand="0" w:noVBand="1"/>
      </w:tblPr>
      <w:tblGrid>
        <w:gridCol w:w="2141"/>
        <w:gridCol w:w="630"/>
        <w:gridCol w:w="630"/>
        <w:gridCol w:w="630"/>
        <w:gridCol w:w="630"/>
        <w:gridCol w:w="630"/>
        <w:gridCol w:w="630"/>
        <w:gridCol w:w="810"/>
      </w:tblGrid>
      <w:tr w:rsidR="0071706A" w:rsidRPr="00425784" w:rsidTr="00360F83">
        <w:trPr>
          <w:trHeight w:val="1074"/>
          <w:jc w:val="right"/>
        </w:trPr>
        <w:tc>
          <w:tcPr>
            <w:tcW w:w="6731" w:type="dxa"/>
            <w:gridSpan w:val="8"/>
            <w:tcBorders>
              <w:bottom w:val="single" w:sz="4" w:space="0" w:color="auto"/>
            </w:tcBorders>
            <w:noWrap/>
            <w:vAlign w:val="center"/>
          </w:tcPr>
          <w:p w:rsidR="00FF1CAE" w:rsidRDefault="0071706A" w:rsidP="00B02ABD">
            <w:pPr>
              <w:jc w:val="center"/>
              <w:rPr>
                <w:b/>
                <w:bCs/>
                <w:sz w:val="20"/>
              </w:rPr>
            </w:pPr>
            <w:r w:rsidRPr="007E2CD4">
              <w:rPr>
                <w:b/>
                <w:bCs/>
                <w:sz w:val="20"/>
              </w:rPr>
              <w:t xml:space="preserve">Table </w:t>
            </w:r>
            <w:r w:rsidR="007E2CD4">
              <w:rPr>
                <w:b/>
                <w:bCs/>
                <w:sz w:val="20"/>
              </w:rPr>
              <w:t>3</w:t>
            </w:r>
            <w:r w:rsidRPr="007E2CD4">
              <w:rPr>
                <w:b/>
                <w:bCs/>
                <w:sz w:val="20"/>
              </w:rPr>
              <w:t>:</w:t>
            </w:r>
            <w:r w:rsidRPr="000D5DA6">
              <w:rPr>
                <w:b/>
                <w:bCs/>
                <w:sz w:val="20"/>
              </w:rPr>
              <w:t xml:space="preserve">  Percentage of College Students </w:t>
            </w:r>
            <w:r>
              <w:rPr>
                <w:b/>
                <w:bCs/>
                <w:sz w:val="20"/>
              </w:rPr>
              <w:t xml:space="preserve">Experiencing Educational Consequences Due to Their Drinking or Drug Use During the </w:t>
            </w:r>
          </w:p>
          <w:p w:rsidR="0071706A" w:rsidRDefault="0071706A" w:rsidP="00B02ABD">
            <w:pPr>
              <w:jc w:val="center"/>
              <w:rPr>
                <w:b/>
                <w:bCs/>
                <w:sz w:val="20"/>
              </w:rPr>
            </w:pPr>
            <w:r>
              <w:rPr>
                <w:b/>
                <w:bCs/>
                <w:sz w:val="20"/>
              </w:rPr>
              <w:t>Past Year in Greater New Orleans and Statewide,</w:t>
            </w:r>
          </w:p>
          <w:p w:rsidR="0071706A" w:rsidRPr="00581638" w:rsidRDefault="0071706A" w:rsidP="00B02ABD">
            <w:pPr>
              <w:jc w:val="center"/>
              <w:rPr>
                <w:b/>
                <w:bCs/>
                <w:sz w:val="20"/>
              </w:rPr>
            </w:pPr>
            <w:r>
              <w:rPr>
                <w:b/>
                <w:bCs/>
                <w:sz w:val="20"/>
              </w:rPr>
              <w:t xml:space="preserve"> Core Institute Survey, 2009, 2011 and 2013.</w:t>
            </w:r>
          </w:p>
        </w:tc>
      </w:tr>
      <w:tr w:rsidR="0071706A" w:rsidRPr="00425784" w:rsidTr="00FF1CAE">
        <w:trPr>
          <w:trHeight w:val="269"/>
          <w:jc w:val="right"/>
        </w:trPr>
        <w:tc>
          <w:tcPr>
            <w:tcW w:w="2141" w:type="dxa"/>
            <w:vMerge w:val="restart"/>
            <w:tcBorders>
              <w:top w:val="single" w:sz="4" w:space="0" w:color="auto"/>
              <w:left w:val="single" w:sz="4" w:space="0" w:color="auto"/>
              <w:bottom w:val="single" w:sz="4" w:space="0" w:color="auto"/>
              <w:right w:val="single" w:sz="4" w:space="0" w:color="auto"/>
            </w:tcBorders>
            <w:noWrap/>
            <w:vAlign w:val="center"/>
            <w:hideMark/>
          </w:tcPr>
          <w:p w:rsidR="0071706A" w:rsidRPr="00425784" w:rsidRDefault="0071706A" w:rsidP="00B02ABD">
            <w:pPr>
              <w:jc w:val="center"/>
              <w:rPr>
                <w:color w:val="000000"/>
                <w:sz w:val="20"/>
              </w:rPr>
            </w:pPr>
            <w:r>
              <w:rPr>
                <w:b/>
                <w:color w:val="000000"/>
                <w:sz w:val="20"/>
              </w:rPr>
              <w:t xml:space="preserve">Educational </w:t>
            </w:r>
            <w:r w:rsidRPr="00DF7C96">
              <w:rPr>
                <w:b/>
                <w:color w:val="000000"/>
                <w:sz w:val="20"/>
              </w:rPr>
              <w:t xml:space="preserve">Consequences </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71706A" w:rsidRPr="00425784" w:rsidRDefault="0071706A" w:rsidP="00B02ABD">
            <w:pPr>
              <w:jc w:val="center"/>
              <w:rPr>
                <w:b/>
                <w:color w:val="000000"/>
                <w:sz w:val="20"/>
              </w:rPr>
            </w:pPr>
            <w:r w:rsidRPr="0025078B">
              <w:rPr>
                <w:b/>
                <w:color w:val="000000"/>
                <w:sz w:val="20"/>
              </w:rPr>
              <w:t>Greater New Orleans</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71706A" w:rsidRPr="00425784" w:rsidRDefault="0071706A" w:rsidP="00B02ABD">
            <w:pPr>
              <w:jc w:val="center"/>
              <w:rPr>
                <w:b/>
                <w:color w:val="000000"/>
                <w:sz w:val="20"/>
              </w:rPr>
            </w:pPr>
            <w:r w:rsidRPr="0025078B">
              <w:rPr>
                <w:b/>
                <w:color w:val="000000"/>
                <w:sz w:val="20"/>
              </w:rPr>
              <w:t>Statewide</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71706A" w:rsidRPr="00425784" w:rsidRDefault="0071706A" w:rsidP="00B02ABD">
            <w:pPr>
              <w:jc w:val="center"/>
              <w:rPr>
                <w:b/>
                <w:color w:val="000000"/>
                <w:sz w:val="20"/>
              </w:rPr>
            </w:pPr>
            <w:r w:rsidRPr="0025078B">
              <w:rPr>
                <w:b/>
                <w:color w:val="000000"/>
                <w:sz w:val="20"/>
              </w:rPr>
              <w:t>Nation</w:t>
            </w:r>
            <w:r w:rsidRPr="00425784">
              <w:rPr>
                <w:b/>
                <w:color w:val="000000"/>
                <w:sz w:val="20"/>
              </w:rPr>
              <w:t>al</w:t>
            </w:r>
          </w:p>
        </w:tc>
      </w:tr>
      <w:tr w:rsidR="0071706A" w:rsidRPr="00425784" w:rsidTr="00FF1CAE">
        <w:trPr>
          <w:trHeight w:val="286"/>
          <w:jc w:val="right"/>
        </w:trPr>
        <w:tc>
          <w:tcPr>
            <w:tcW w:w="2141" w:type="dxa"/>
            <w:vMerge/>
            <w:tcBorders>
              <w:top w:val="single" w:sz="4" w:space="0" w:color="auto"/>
              <w:left w:val="single" w:sz="4" w:space="0" w:color="auto"/>
              <w:bottom w:val="single" w:sz="4" w:space="0" w:color="auto"/>
              <w:right w:val="single" w:sz="4" w:space="0" w:color="auto"/>
            </w:tcBorders>
            <w:vAlign w:val="center"/>
            <w:hideMark/>
          </w:tcPr>
          <w:p w:rsidR="0071706A" w:rsidRPr="00425784" w:rsidRDefault="0071706A" w:rsidP="00B02ABD">
            <w:pP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71706A" w:rsidRPr="00425784" w:rsidRDefault="0071706A" w:rsidP="00B02ABD">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71706A" w:rsidRPr="00425784" w:rsidRDefault="0071706A" w:rsidP="00B02ABD">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71706A" w:rsidRPr="00425784" w:rsidRDefault="0071706A" w:rsidP="00B02ABD">
            <w:pPr>
              <w:jc w:val="center"/>
              <w:rPr>
                <w:color w:val="000000"/>
                <w:sz w:val="20"/>
              </w:rPr>
            </w:pPr>
            <w:r w:rsidRPr="0065120E">
              <w:rPr>
                <w:color w:val="000000"/>
                <w:sz w:val="20"/>
              </w:rPr>
              <w:t>2013</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71706A" w:rsidRPr="00425784" w:rsidRDefault="0071706A" w:rsidP="00B02ABD">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71706A" w:rsidRPr="00425784" w:rsidRDefault="0071706A" w:rsidP="00B02ABD">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71706A" w:rsidRPr="00425784" w:rsidRDefault="0071706A" w:rsidP="00B02ABD">
            <w:pPr>
              <w:jc w:val="center"/>
              <w:rPr>
                <w:color w:val="000000"/>
                <w:sz w:val="20"/>
              </w:rPr>
            </w:pPr>
            <w:r w:rsidRPr="0065120E">
              <w:rPr>
                <w:color w:val="000000"/>
                <w:sz w:val="20"/>
              </w:rPr>
              <w:t>2013</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71706A" w:rsidRPr="00425784" w:rsidRDefault="0071706A" w:rsidP="00B02ABD">
            <w:pPr>
              <w:jc w:val="center"/>
              <w:rPr>
                <w:color w:val="000000"/>
                <w:sz w:val="20"/>
              </w:rPr>
            </w:pPr>
            <w:r w:rsidRPr="0065120E">
              <w:rPr>
                <w:color w:val="000000"/>
                <w:sz w:val="20"/>
              </w:rPr>
              <w:t>20</w:t>
            </w:r>
            <w:r w:rsidR="00415766">
              <w:rPr>
                <w:color w:val="000000"/>
                <w:sz w:val="20"/>
              </w:rPr>
              <w:t>11</w:t>
            </w:r>
          </w:p>
        </w:tc>
      </w:tr>
      <w:tr w:rsidR="0071706A" w:rsidRPr="00425784" w:rsidTr="007E2CD4">
        <w:trPr>
          <w:trHeight w:val="255"/>
          <w:jc w:val="right"/>
        </w:trPr>
        <w:tc>
          <w:tcPr>
            <w:tcW w:w="2141" w:type="dxa"/>
            <w:tcBorders>
              <w:top w:val="single" w:sz="4" w:space="0" w:color="auto"/>
              <w:left w:val="single" w:sz="4" w:space="0" w:color="auto"/>
              <w:bottom w:val="single" w:sz="4" w:space="0" w:color="auto"/>
              <w:right w:val="single" w:sz="4" w:space="0" w:color="auto"/>
            </w:tcBorders>
            <w:noWrap/>
            <w:vAlign w:val="center"/>
            <w:hideMark/>
          </w:tcPr>
          <w:p w:rsidR="0071706A" w:rsidRPr="00425784" w:rsidRDefault="0071706A" w:rsidP="00B02ABD">
            <w:pPr>
              <w:jc w:val="right"/>
              <w:rPr>
                <w:color w:val="000000"/>
                <w:sz w:val="18"/>
                <w:szCs w:val="18"/>
              </w:rPr>
            </w:pPr>
            <w:r w:rsidRPr="00425784">
              <w:rPr>
                <w:color w:val="000000"/>
                <w:sz w:val="18"/>
                <w:szCs w:val="18"/>
              </w:rPr>
              <w:t>sample size=</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06A" w:rsidRPr="00425784" w:rsidRDefault="0071706A" w:rsidP="00B02ABD">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06A" w:rsidRPr="00425784" w:rsidRDefault="0071706A" w:rsidP="00B02ABD">
            <w:pPr>
              <w:jc w:val="center"/>
              <w:rPr>
                <w:color w:val="000000"/>
                <w:sz w:val="18"/>
                <w:szCs w:val="18"/>
              </w:rPr>
            </w:pPr>
            <w:r w:rsidRPr="00425784">
              <w:rPr>
                <w:color w:val="000000"/>
                <w:sz w:val="18"/>
                <w:szCs w:val="18"/>
              </w:rPr>
              <w:t>1,646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06A" w:rsidRPr="00425784" w:rsidRDefault="0071706A" w:rsidP="00B02ABD">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06A" w:rsidRPr="00425784" w:rsidRDefault="0071706A" w:rsidP="00B02ABD">
            <w:pPr>
              <w:jc w:val="center"/>
              <w:rPr>
                <w:color w:val="000000"/>
                <w:sz w:val="18"/>
                <w:szCs w:val="18"/>
              </w:rPr>
            </w:pPr>
            <w:r>
              <w:rPr>
                <w:color w:val="000000"/>
                <w:sz w:val="18"/>
                <w:szCs w:val="18"/>
              </w:rPr>
              <w:t>12,972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06A" w:rsidRPr="00425784" w:rsidRDefault="0071706A" w:rsidP="00B02ABD">
            <w:pPr>
              <w:jc w:val="center"/>
              <w:rPr>
                <w:color w:val="000000"/>
                <w:sz w:val="18"/>
                <w:szCs w:val="18"/>
              </w:rPr>
            </w:pPr>
            <w:r w:rsidRPr="00425784">
              <w:rPr>
                <w:color w:val="000000"/>
                <w:sz w:val="18"/>
                <w:szCs w:val="18"/>
              </w:rPr>
              <w:t>9,763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06A" w:rsidRPr="00425784" w:rsidRDefault="0071706A" w:rsidP="00B02ABD">
            <w:pPr>
              <w:jc w:val="center"/>
              <w:rPr>
                <w:color w:val="000000"/>
                <w:sz w:val="18"/>
                <w:szCs w:val="18"/>
              </w:rPr>
            </w:pPr>
            <w:r>
              <w:rPr>
                <w:color w:val="000000"/>
                <w:sz w:val="18"/>
                <w:szCs w:val="18"/>
              </w:rPr>
              <w:t>7,740</w:t>
            </w:r>
          </w:p>
        </w:tc>
        <w:tc>
          <w:tcPr>
            <w:tcW w:w="810" w:type="dxa"/>
            <w:tcBorders>
              <w:top w:val="single" w:sz="4" w:space="0" w:color="auto"/>
              <w:left w:val="single" w:sz="4" w:space="0" w:color="auto"/>
              <w:bottom w:val="single" w:sz="4" w:space="0" w:color="auto"/>
              <w:right w:val="single" w:sz="4" w:space="0" w:color="auto"/>
            </w:tcBorders>
            <w:noWrap/>
            <w:vAlign w:val="center"/>
          </w:tcPr>
          <w:p w:rsidR="0071706A" w:rsidRPr="00425784" w:rsidRDefault="0071706A" w:rsidP="00B02ABD">
            <w:pPr>
              <w:jc w:val="center"/>
              <w:rPr>
                <w:color w:val="000000"/>
                <w:sz w:val="18"/>
                <w:szCs w:val="18"/>
                <w:highlight w:val="yellow"/>
              </w:rPr>
            </w:pPr>
            <w:r>
              <w:rPr>
                <w:color w:val="000000"/>
                <w:sz w:val="18"/>
                <w:szCs w:val="18"/>
              </w:rPr>
              <w:t>50,505</w:t>
            </w:r>
          </w:p>
        </w:tc>
      </w:tr>
      <w:tr w:rsidR="00B02ABD" w:rsidRPr="00425784" w:rsidTr="00C94AF2">
        <w:trPr>
          <w:trHeight w:val="418"/>
          <w:jc w:val="right"/>
        </w:trPr>
        <w:tc>
          <w:tcPr>
            <w:tcW w:w="2141" w:type="dxa"/>
            <w:tcBorders>
              <w:top w:val="single" w:sz="4" w:space="0" w:color="auto"/>
              <w:left w:val="single" w:sz="4" w:space="0" w:color="auto"/>
              <w:bottom w:val="single" w:sz="4" w:space="0" w:color="auto"/>
              <w:right w:val="single" w:sz="4" w:space="0" w:color="auto"/>
            </w:tcBorders>
            <w:noWrap/>
            <w:tcMar>
              <w:right w:w="0" w:type="dxa"/>
            </w:tcMar>
            <w:vAlign w:val="center"/>
          </w:tcPr>
          <w:p w:rsidR="00B02ABD" w:rsidRPr="00B02ABD" w:rsidRDefault="00B02ABD" w:rsidP="00B02ABD">
            <w:pPr>
              <w:rPr>
                <w:color w:val="000000"/>
                <w:sz w:val="20"/>
              </w:rPr>
            </w:pPr>
            <w:r w:rsidRPr="00B02ABD">
              <w:rPr>
                <w:color w:val="000000"/>
                <w:sz w:val="20"/>
              </w:rPr>
              <w:t>Missed a Class</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34.5</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38.9</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34.1</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27.2</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27.0</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27.7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ABD" w:rsidRDefault="00B02ABD">
            <w:pPr>
              <w:jc w:val="center"/>
              <w:rPr>
                <w:color w:val="000000"/>
                <w:sz w:val="20"/>
              </w:rPr>
            </w:pPr>
            <w:r>
              <w:rPr>
                <w:color w:val="000000"/>
                <w:sz w:val="20"/>
              </w:rPr>
              <w:t>26.6</w:t>
            </w:r>
          </w:p>
        </w:tc>
      </w:tr>
      <w:tr w:rsidR="00B02ABD" w:rsidRPr="00425784" w:rsidTr="00360F83">
        <w:trPr>
          <w:trHeight w:val="486"/>
          <w:jc w:val="right"/>
        </w:trPr>
        <w:tc>
          <w:tcPr>
            <w:tcW w:w="2141" w:type="dxa"/>
            <w:tcBorders>
              <w:top w:val="single" w:sz="4" w:space="0" w:color="auto"/>
              <w:left w:val="single" w:sz="4" w:space="0" w:color="auto"/>
              <w:bottom w:val="single" w:sz="4" w:space="0" w:color="auto"/>
              <w:right w:val="single" w:sz="4" w:space="0" w:color="auto"/>
            </w:tcBorders>
            <w:noWrap/>
            <w:tcMar>
              <w:right w:w="0" w:type="dxa"/>
            </w:tcMar>
            <w:vAlign w:val="center"/>
          </w:tcPr>
          <w:p w:rsidR="00B02ABD" w:rsidRDefault="00B02ABD" w:rsidP="00B02ABD">
            <w:pPr>
              <w:rPr>
                <w:color w:val="000000"/>
                <w:sz w:val="20"/>
              </w:rPr>
            </w:pPr>
            <w:r>
              <w:rPr>
                <w:color w:val="000000"/>
                <w:sz w:val="20"/>
              </w:rPr>
              <w:t>Did poorly on a test or important project</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22.3</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25.9</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25.2</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20.1</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19.9</w:t>
            </w:r>
          </w:p>
        </w:tc>
        <w:tc>
          <w:tcPr>
            <w:tcW w:w="630" w:type="dxa"/>
            <w:tcBorders>
              <w:top w:val="single" w:sz="4" w:space="0" w:color="auto"/>
              <w:left w:val="single" w:sz="4" w:space="0" w:color="auto"/>
              <w:bottom w:val="single" w:sz="4" w:space="0" w:color="auto"/>
              <w:right w:val="single" w:sz="4" w:space="0" w:color="auto"/>
            </w:tcBorders>
            <w:noWrap/>
            <w:vAlign w:val="center"/>
          </w:tcPr>
          <w:p w:rsidR="00B02ABD" w:rsidRDefault="00B02ABD">
            <w:pPr>
              <w:jc w:val="center"/>
              <w:rPr>
                <w:color w:val="000000"/>
                <w:sz w:val="20"/>
              </w:rPr>
            </w:pPr>
            <w:r>
              <w:rPr>
                <w:color w:val="000000"/>
                <w:sz w:val="20"/>
              </w:rPr>
              <w:t>20.5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ABD" w:rsidRDefault="00B02ABD">
            <w:pPr>
              <w:jc w:val="center"/>
              <w:rPr>
                <w:color w:val="000000"/>
                <w:sz w:val="20"/>
              </w:rPr>
            </w:pPr>
            <w:r>
              <w:rPr>
                <w:color w:val="000000"/>
                <w:sz w:val="20"/>
              </w:rPr>
              <w:t>19.8</w:t>
            </w:r>
          </w:p>
        </w:tc>
      </w:tr>
      <w:tr w:rsidR="0071706A" w:rsidRPr="00425784" w:rsidTr="00360F83">
        <w:trPr>
          <w:trHeight w:val="993"/>
          <w:jc w:val="right"/>
        </w:trPr>
        <w:tc>
          <w:tcPr>
            <w:tcW w:w="6731" w:type="dxa"/>
            <w:gridSpan w:val="8"/>
            <w:tcBorders>
              <w:top w:val="single" w:sz="4" w:space="0" w:color="auto"/>
            </w:tcBorders>
            <w:noWrap/>
            <w:tcMar>
              <w:right w:w="0" w:type="dxa"/>
            </w:tcMar>
            <w:vAlign w:val="center"/>
          </w:tcPr>
          <w:p w:rsidR="0071706A" w:rsidRDefault="0071706A" w:rsidP="00B02ABD">
            <w:pPr>
              <w:rPr>
                <w:sz w:val="18"/>
                <w:szCs w:val="18"/>
              </w:rPr>
            </w:pPr>
            <w:r>
              <w:rPr>
                <w:sz w:val="18"/>
                <w:szCs w:val="18"/>
              </w:rPr>
              <w:t>“</w:t>
            </w:r>
            <w:proofErr w:type="spellStart"/>
            <w:proofErr w:type="gramStart"/>
            <w:r>
              <w:rPr>
                <w:sz w:val="18"/>
                <w:szCs w:val="18"/>
              </w:rPr>
              <w:t>na</w:t>
            </w:r>
            <w:proofErr w:type="spellEnd"/>
            <w:proofErr w:type="gramEnd"/>
            <w:r>
              <w:rPr>
                <w:sz w:val="18"/>
                <w:szCs w:val="18"/>
              </w:rPr>
              <w:t>” means data is not yet available in published reports.</w:t>
            </w:r>
          </w:p>
          <w:p w:rsidR="0071706A" w:rsidRPr="00544122" w:rsidRDefault="0071706A" w:rsidP="00B02ABD">
            <w:pPr>
              <w:rPr>
                <w:bCs/>
                <w:sz w:val="18"/>
                <w:szCs w:val="18"/>
              </w:rPr>
            </w:pPr>
            <w:r w:rsidRPr="00544122">
              <w:rPr>
                <w:sz w:val="18"/>
                <w:szCs w:val="18"/>
              </w:rPr>
              <w:t xml:space="preserve">Data Source: Louisiana Social Indicators - </w:t>
            </w:r>
            <w:hyperlink r:id="rId23" w:history="1">
              <w:r w:rsidRPr="00544122">
                <w:rPr>
                  <w:rStyle w:val="Hyperlink"/>
                  <w:sz w:val="18"/>
                  <w:szCs w:val="18"/>
                </w:rPr>
                <w:t>http://www.bach-harrison.com/lasocialindicators</w:t>
              </w:r>
            </w:hyperlink>
            <w:r w:rsidRPr="00544122">
              <w:rPr>
                <w:sz w:val="18"/>
                <w:szCs w:val="18"/>
              </w:rPr>
              <w:t xml:space="preserve"> (12/31/2013) as well as regional reports (</w:t>
            </w:r>
            <w:hyperlink r:id="rId24" w:history="1">
              <w:r w:rsidRPr="00544122">
                <w:rPr>
                  <w:rStyle w:val="Hyperlink"/>
                  <w:sz w:val="18"/>
                  <w:szCs w:val="18"/>
                </w:rPr>
                <w:t>http://uiswcmsweb.prod.lsu.edu/edco/lacasu/</w:t>
              </w:r>
            </w:hyperlink>
            <w:r w:rsidRPr="00544122">
              <w:rPr>
                <w:sz w:val="18"/>
                <w:szCs w:val="18"/>
              </w:rPr>
              <w:t xml:space="preserve"> ) and national reports (</w:t>
            </w:r>
            <w:hyperlink r:id="rId25" w:history="1">
              <w:r w:rsidRPr="00544122">
                <w:rPr>
                  <w:rStyle w:val="Hyperlink"/>
                  <w:sz w:val="18"/>
                  <w:szCs w:val="18"/>
                </w:rPr>
                <w:t>http://core.siu.edu/results/index.html</w:t>
              </w:r>
            </w:hyperlink>
            <w:r w:rsidRPr="00544122">
              <w:rPr>
                <w:sz w:val="18"/>
                <w:szCs w:val="18"/>
              </w:rPr>
              <w:t xml:space="preserve"> ).</w:t>
            </w:r>
          </w:p>
        </w:tc>
      </w:tr>
    </w:tbl>
    <w:p w:rsidR="00FF1CAE" w:rsidRDefault="00FF1CAE"/>
    <w:p w:rsidR="00D0635A" w:rsidRPr="00D0635A" w:rsidRDefault="00D0635A" w:rsidP="00D0635A">
      <w:r>
        <w:t>One-quarter of</w:t>
      </w:r>
      <w:r w:rsidRPr="00D0635A">
        <w:t xml:space="preserve"> Greater New Orleans college students (</w:t>
      </w:r>
      <w:r>
        <w:t>25</w:t>
      </w:r>
      <w:r w:rsidRPr="00D0635A">
        <w:t>%</w:t>
      </w:r>
      <w:r w:rsidR="005657F5" w:rsidRPr="00D0635A">
        <w:t xml:space="preserve">) </w:t>
      </w:r>
      <w:r w:rsidR="005657F5" w:rsidRPr="005657F5">
        <w:rPr>
          <w:u w:val="single"/>
        </w:rPr>
        <w:t>did</w:t>
      </w:r>
      <w:r w:rsidRPr="005657F5">
        <w:rPr>
          <w:u w:val="single"/>
        </w:rPr>
        <w:t xml:space="preserve"> poorly on a test or important project</w:t>
      </w:r>
      <w:r w:rsidRPr="00D0635A">
        <w:t xml:space="preserve"> due to their drinking or drug use during the past year, based on the 2013 Core Institute Survey. Greater New Orleans students were more likely to </w:t>
      </w:r>
      <w:r>
        <w:t xml:space="preserve">perform poorly due to substance use than students statewide (21%) or in the </w:t>
      </w:r>
      <w:r w:rsidR="005B6E6A">
        <w:t>2011 national sample</w:t>
      </w:r>
      <w:r>
        <w:t xml:space="preserve"> (20</w:t>
      </w:r>
      <w:r w:rsidRPr="00D0635A">
        <w:t xml:space="preserve">%).   </w:t>
      </w:r>
    </w:p>
    <w:p w:rsidR="00FF1CAE" w:rsidRDefault="00FF1CAE"/>
    <w:p w:rsidR="00FF1CAE" w:rsidRPr="00FF1CAE" w:rsidRDefault="00FF1CAE">
      <w:pPr>
        <w:rPr>
          <w:u w:val="single"/>
        </w:rPr>
      </w:pPr>
      <w:r w:rsidRPr="00FF1CAE">
        <w:rPr>
          <w:u w:val="single"/>
        </w:rPr>
        <w:t>Public Safety and Enforcement Consequences</w:t>
      </w:r>
    </w:p>
    <w:p w:rsidR="00FF1CAE" w:rsidRDefault="00FF1CAE"/>
    <w:p w:rsidR="00C607D5" w:rsidRDefault="005657F5">
      <w:r>
        <w:t>One-in-seven</w:t>
      </w:r>
      <w:r w:rsidRPr="005657F5">
        <w:t xml:space="preserve"> Greater New Orleans c</w:t>
      </w:r>
      <w:r>
        <w:t>ollege students (1</w:t>
      </w:r>
      <w:r w:rsidRPr="005657F5">
        <w:t xml:space="preserve">4%) </w:t>
      </w:r>
      <w:r>
        <w:rPr>
          <w:u w:val="single"/>
        </w:rPr>
        <w:t>was hurt or injured</w:t>
      </w:r>
      <w:r w:rsidRPr="005657F5">
        <w:t xml:space="preserve"> due to their drinking or drug use during the past year, based on the 2013 Core Institute Survey. Greater New Orleans students were more likely to </w:t>
      </w:r>
      <w:r w:rsidR="00DB1FE5">
        <w:t>be hurt or injured</w:t>
      </w:r>
      <w:r w:rsidRPr="005657F5">
        <w:t xml:space="preserve"> due to</w:t>
      </w:r>
      <w:r w:rsidR="00DB1FE5">
        <w:t xml:space="preserve"> their</w:t>
      </w:r>
      <w:r w:rsidRPr="005657F5">
        <w:t xml:space="preserve"> substance use</w:t>
      </w:r>
      <w:r>
        <w:t xml:space="preserve"> than students statewide (11</w:t>
      </w:r>
      <w:r w:rsidRPr="005657F5">
        <w:t>%)</w:t>
      </w:r>
      <w:r w:rsidR="00C607D5">
        <w:t>, but equally likely</w:t>
      </w:r>
      <w:r w:rsidRPr="005657F5">
        <w:t xml:space="preserve"> </w:t>
      </w:r>
      <w:r w:rsidR="00C607D5">
        <w:t>in comparison to student</w:t>
      </w:r>
      <w:r w:rsidR="00DB1FE5">
        <w:t>s</w:t>
      </w:r>
      <w:r w:rsidR="00C607D5">
        <w:t xml:space="preserve"> in</w:t>
      </w:r>
      <w:r w:rsidRPr="005657F5">
        <w:t xml:space="preserve"> the </w:t>
      </w:r>
      <w:r w:rsidR="005B6E6A">
        <w:t>2011 national sample</w:t>
      </w:r>
      <w:r w:rsidR="006C7162">
        <w:t xml:space="preserve"> (14</w:t>
      </w:r>
      <w:r w:rsidRPr="005657F5">
        <w:t xml:space="preserve">%).  </w:t>
      </w:r>
    </w:p>
    <w:p w:rsidR="00C607D5" w:rsidRDefault="00C607D5"/>
    <w:p w:rsidR="005657F5" w:rsidRDefault="00C607D5">
      <w:r>
        <w:t xml:space="preserve">Over one-quarter of </w:t>
      </w:r>
      <w:r w:rsidR="00693644" w:rsidRPr="00693644">
        <w:t xml:space="preserve">Greater </w:t>
      </w:r>
      <w:r w:rsidRPr="005657F5">
        <w:t>New</w:t>
      </w:r>
      <w:r w:rsidRPr="00C607D5">
        <w:t xml:space="preserve"> Orleans college students (</w:t>
      </w:r>
      <w:r>
        <w:t>28</w:t>
      </w:r>
      <w:r w:rsidRPr="00C607D5">
        <w:t xml:space="preserve">%) </w:t>
      </w:r>
      <w:r>
        <w:rPr>
          <w:u w:val="single"/>
        </w:rPr>
        <w:t>got into an argument or fight</w:t>
      </w:r>
      <w:r w:rsidRPr="00C607D5">
        <w:t xml:space="preserve"> due to their drinking or drug use during the past year, based on the 2013 Core Institute Survey. Greater New Orleans students were </w:t>
      </w:r>
      <w:r>
        <w:t>about equally</w:t>
      </w:r>
      <w:r w:rsidRPr="00C607D5">
        <w:t xml:space="preserve"> likely to </w:t>
      </w:r>
      <w:r>
        <w:t>get into an argument or fight</w:t>
      </w:r>
      <w:r w:rsidRPr="00C607D5">
        <w:t xml:space="preserve"> due to substance use </w:t>
      </w:r>
      <w:r>
        <w:t>as</w:t>
      </w:r>
      <w:r w:rsidRPr="00C607D5">
        <w:t xml:space="preserve"> students statewide (</w:t>
      </w:r>
      <w:r>
        <w:t>25</w:t>
      </w:r>
      <w:r w:rsidRPr="00C607D5">
        <w:t>%)</w:t>
      </w:r>
      <w:r>
        <w:t xml:space="preserve"> and</w:t>
      </w:r>
      <w:r w:rsidRPr="00C607D5">
        <w:t xml:space="preserve"> in the </w:t>
      </w:r>
      <w:r w:rsidR="005B6E6A">
        <w:t>2011 national sample</w:t>
      </w:r>
      <w:r w:rsidRPr="00C607D5">
        <w:t xml:space="preserve"> (2</w:t>
      </w:r>
      <w:r>
        <w:t>8</w:t>
      </w:r>
      <w:r w:rsidRPr="00C607D5">
        <w:t xml:space="preserve">%).  </w:t>
      </w:r>
    </w:p>
    <w:p w:rsidR="00C607D5" w:rsidRDefault="00C607D5"/>
    <w:p w:rsidR="00C607D5" w:rsidRPr="00C607D5" w:rsidRDefault="00693644" w:rsidP="00C607D5">
      <w:r>
        <w:t>Almost one-in-ten</w:t>
      </w:r>
      <w:r w:rsidR="00C607D5" w:rsidRPr="00C607D5">
        <w:t xml:space="preserve"> </w:t>
      </w:r>
      <w:r w:rsidRPr="00693644">
        <w:t xml:space="preserve">Greater </w:t>
      </w:r>
      <w:r w:rsidR="00C607D5" w:rsidRPr="00C607D5">
        <w:t>New Orleans college students (</w:t>
      </w:r>
      <w:r>
        <w:t>9</w:t>
      </w:r>
      <w:r w:rsidR="00C607D5" w:rsidRPr="00C607D5">
        <w:t xml:space="preserve">%) </w:t>
      </w:r>
      <w:r w:rsidR="00C607D5" w:rsidRPr="00C607D5">
        <w:rPr>
          <w:u w:val="single"/>
        </w:rPr>
        <w:t xml:space="preserve">got into </w:t>
      </w:r>
      <w:r>
        <w:rPr>
          <w:u w:val="single"/>
        </w:rPr>
        <w:t>trouble with the police, residence hall or college authorities</w:t>
      </w:r>
      <w:r w:rsidR="00C607D5" w:rsidRPr="00C607D5">
        <w:t xml:space="preserve"> due to their drinking or drug use during the past year, based on the 2013 Core Institute Survey. Greater New Orleans students were about equally likely to get </w:t>
      </w:r>
      <w:r w:rsidRPr="00693644">
        <w:t xml:space="preserve">into trouble with the police, residence hall or college authorities </w:t>
      </w:r>
      <w:r w:rsidR="00C607D5" w:rsidRPr="00C607D5">
        <w:t>due to substance use as students statewide (</w:t>
      </w:r>
      <w:r>
        <w:t>7</w:t>
      </w:r>
      <w:r w:rsidR="00C607D5" w:rsidRPr="00C607D5">
        <w:t xml:space="preserve">%) and in the </w:t>
      </w:r>
      <w:r w:rsidR="005B6E6A">
        <w:t>2011 national sample</w:t>
      </w:r>
      <w:r w:rsidR="00C607D5" w:rsidRPr="00C607D5">
        <w:t xml:space="preserve"> (</w:t>
      </w:r>
      <w:r>
        <w:t>11</w:t>
      </w:r>
      <w:r w:rsidR="00C607D5" w:rsidRPr="00C607D5">
        <w:t xml:space="preserve">%).  </w:t>
      </w:r>
    </w:p>
    <w:p w:rsidR="005F6FA8" w:rsidRDefault="005F6FA8"/>
    <w:p w:rsidR="00415766" w:rsidRDefault="005F6FA8" w:rsidP="00693644">
      <w:r w:rsidRPr="005F6FA8">
        <w:t xml:space="preserve">Over one-quarter of </w:t>
      </w:r>
      <w:r w:rsidR="00693644" w:rsidRPr="00693644">
        <w:t>Greater New Orleans college students (</w:t>
      </w:r>
      <w:r>
        <w:t>28</w:t>
      </w:r>
      <w:r w:rsidR="00693644" w:rsidRPr="00693644">
        <w:t xml:space="preserve">%) </w:t>
      </w:r>
      <w:r>
        <w:rPr>
          <w:u w:val="single"/>
        </w:rPr>
        <w:t>drove</w:t>
      </w:r>
      <w:r w:rsidRPr="005F6FA8">
        <w:rPr>
          <w:u w:val="single"/>
        </w:rPr>
        <w:t xml:space="preserve"> a car while under the influence</w:t>
      </w:r>
      <w:r w:rsidRPr="005F6FA8">
        <w:t xml:space="preserve"> of alcohol or drugs </w:t>
      </w:r>
      <w:r w:rsidR="00693644" w:rsidRPr="005F6FA8">
        <w:t>during</w:t>
      </w:r>
      <w:r w:rsidR="00693644" w:rsidRPr="00693644">
        <w:t xml:space="preserve"> the past year, based on the 2013 Core Institute Survey. </w:t>
      </w:r>
      <w:r w:rsidR="00693644" w:rsidRPr="00693644">
        <w:lastRenderedPageBreak/>
        <w:t xml:space="preserve">Greater New Orleans students were </w:t>
      </w:r>
      <w:r>
        <w:t>equally</w:t>
      </w:r>
      <w:r w:rsidR="00693644" w:rsidRPr="00693644">
        <w:t xml:space="preserve"> likely </w:t>
      </w:r>
      <w:r w:rsidR="00693644" w:rsidRPr="005F6FA8">
        <w:t xml:space="preserve">to </w:t>
      </w:r>
      <w:r w:rsidRPr="005F6FA8">
        <w:t xml:space="preserve">drive a car while under the influence </w:t>
      </w:r>
      <w:r>
        <w:t>as</w:t>
      </w:r>
      <w:r w:rsidR="00693644" w:rsidRPr="00693644">
        <w:t xml:space="preserve"> students statewide (</w:t>
      </w:r>
      <w:r w:rsidR="00C8315B">
        <w:t>26</w:t>
      </w:r>
      <w:r w:rsidR="00693644" w:rsidRPr="00693644">
        <w:t xml:space="preserve">%), but </w:t>
      </w:r>
      <w:r w:rsidR="00C8315B">
        <w:t>more</w:t>
      </w:r>
      <w:r w:rsidR="00693644" w:rsidRPr="00693644">
        <w:t xml:space="preserve"> likely </w:t>
      </w:r>
      <w:r w:rsidR="00C8315B">
        <w:t>than</w:t>
      </w:r>
      <w:r w:rsidR="00693644" w:rsidRPr="00693644">
        <w:t xml:space="preserve"> student</w:t>
      </w:r>
      <w:r w:rsidR="00C8315B">
        <w:t>s</w:t>
      </w:r>
      <w:r w:rsidR="00693644" w:rsidRPr="00693644">
        <w:t xml:space="preserve"> in the </w:t>
      </w:r>
      <w:r w:rsidR="005B6E6A">
        <w:t>2011 national sample</w:t>
      </w:r>
      <w:r w:rsidR="00693644" w:rsidRPr="00693644">
        <w:t xml:space="preserve"> (</w:t>
      </w:r>
      <w:r w:rsidR="00C8315B">
        <w:t>20</w:t>
      </w:r>
      <w:r w:rsidR="00415766">
        <w:t>%).</w:t>
      </w:r>
    </w:p>
    <w:p w:rsidR="00415766" w:rsidRDefault="00415766" w:rsidP="00693644"/>
    <w:p w:rsidR="00693644" w:rsidRPr="00693644" w:rsidRDefault="00C8315B" w:rsidP="00693644">
      <w:r>
        <w:t xml:space="preserve">About 1 percent of </w:t>
      </w:r>
      <w:r w:rsidR="00DB1FE5">
        <w:t xml:space="preserve">Greater New Orleans </w:t>
      </w:r>
      <w:r>
        <w:t>college students were arrested for driving under the influence in the past year</w:t>
      </w:r>
      <w:r w:rsidR="00415766">
        <w:t>, based on the 2013 Core Institute Survey</w:t>
      </w:r>
      <w:r w:rsidR="00DB1FE5">
        <w:t>.</w:t>
      </w:r>
      <w:r w:rsidR="005B6E6A">
        <w:t xml:space="preserve"> Greater </w:t>
      </w:r>
      <w:r w:rsidR="00DB1FE5">
        <w:t>New Orleans</w:t>
      </w:r>
      <w:r w:rsidR="005B6E6A">
        <w:t xml:space="preserve"> college students </w:t>
      </w:r>
      <w:r w:rsidR="00DB1FE5">
        <w:t>were equally likely to have been arrest</w:t>
      </w:r>
      <w:r w:rsidR="00415766">
        <w:t>ed</w:t>
      </w:r>
      <w:r w:rsidR="00DB1FE5">
        <w:t xml:space="preserve"> for driving under the influence</w:t>
      </w:r>
      <w:r w:rsidR="00415766">
        <w:t xml:space="preserve"> in the past year</w:t>
      </w:r>
      <w:r w:rsidR="00DB1FE5">
        <w:t xml:space="preserve"> </w:t>
      </w:r>
      <w:r w:rsidR="005B6E6A">
        <w:t>as students statewide</w:t>
      </w:r>
      <w:r w:rsidR="00415766">
        <w:t xml:space="preserve"> (1%)</w:t>
      </w:r>
      <w:r w:rsidR="005B6E6A">
        <w:t xml:space="preserve"> and in the 2011 national sample</w:t>
      </w:r>
      <w:r w:rsidR="00415766">
        <w:t xml:space="preserve"> (1%)</w:t>
      </w:r>
      <w:r w:rsidR="005B6E6A">
        <w:t>.</w:t>
      </w:r>
      <w:r w:rsidR="00693644" w:rsidRPr="00693644">
        <w:t xml:space="preserve"> </w:t>
      </w:r>
    </w:p>
    <w:p w:rsidR="00693644" w:rsidRDefault="00693644"/>
    <w:tbl>
      <w:tblPr>
        <w:tblW w:w="9167" w:type="dxa"/>
        <w:jc w:val="center"/>
        <w:tblInd w:w="167" w:type="dxa"/>
        <w:tblLayout w:type="fixed"/>
        <w:tblCellMar>
          <w:left w:w="43" w:type="dxa"/>
          <w:right w:w="29" w:type="dxa"/>
        </w:tblCellMar>
        <w:tblLook w:val="04A0" w:firstRow="1" w:lastRow="0" w:firstColumn="1" w:lastColumn="0" w:noHBand="0" w:noVBand="1"/>
      </w:tblPr>
      <w:tblGrid>
        <w:gridCol w:w="4577"/>
        <w:gridCol w:w="630"/>
        <w:gridCol w:w="630"/>
        <w:gridCol w:w="630"/>
        <w:gridCol w:w="630"/>
        <w:gridCol w:w="630"/>
        <w:gridCol w:w="630"/>
        <w:gridCol w:w="810"/>
      </w:tblGrid>
      <w:tr w:rsidR="00FF1CAE" w:rsidRPr="00425784" w:rsidTr="00921CA7">
        <w:trPr>
          <w:trHeight w:val="926"/>
          <w:jc w:val="center"/>
        </w:trPr>
        <w:tc>
          <w:tcPr>
            <w:tcW w:w="9167" w:type="dxa"/>
            <w:gridSpan w:val="8"/>
            <w:tcBorders>
              <w:bottom w:val="single" w:sz="4" w:space="0" w:color="auto"/>
            </w:tcBorders>
            <w:noWrap/>
            <w:vAlign w:val="center"/>
          </w:tcPr>
          <w:p w:rsidR="00183E17" w:rsidRDefault="00FF1CAE" w:rsidP="004C7EAD">
            <w:pPr>
              <w:jc w:val="center"/>
              <w:rPr>
                <w:b/>
                <w:bCs/>
                <w:sz w:val="20"/>
              </w:rPr>
            </w:pPr>
            <w:r w:rsidRPr="007E2CD4">
              <w:rPr>
                <w:b/>
                <w:bCs/>
                <w:sz w:val="20"/>
              </w:rPr>
              <w:t xml:space="preserve">Table </w:t>
            </w:r>
            <w:r w:rsidR="007E2CD4">
              <w:rPr>
                <w:b/>
                <w:bCs/>
                <w:sz w:val="20"/>
              </w:rPr>
              <w:t>4</w:t>
            </w:r>
            <w:r w:rsidRPr="000D5DA6">
              <w:rPr>
                <w:b/>
                <w:bCs/>
                <w:sz w:val="20"/>
              </w:rPr>
              <w:t xml:space="preserve">:  Percentage of College Students </w:t>
            </w:r>
            <w:r>
              <w:rPr>
                <w:b/>
                <w:bCs/>
                <w:sz w:val="20"/>
              </w:rPr>
              <w:t xml:space="preserve">Experiencing </w:t>
            </w:r>
            <w:r w:rsidR="006F611A">
              <w:rPr>
                <w:b/>
                <w:bCs/>
                <w:sz w:val="20"/>
              </w:rPr>
              <w:t>Public Safety or Enforcement</w:t>
            </w:r>
            <w:r>
              <w:rPr>
                <w:b/>
                <w:bCs/>
                <w:sz w:val="20"/>
              </w:rPr>
              <w:t xml:space="preserve"> Consequences </w:t>
            </w:r>
          </w:p>
          <w:p w:rsidR="00183E17" w:rsidRDefault="00FF1CAE" w:rsidP="00183E17">
            <w:pPr>
              <w:jc w:val="center"/>
              <w:rPr>
                <w:b/>
                <w:bCs/>
                <w:sz w:val="20"/>
              </w:rPr>
            </w:pPr>
            <w:r>
              <w:rPr>
                <w:b/>
                <w:bCs/>
                <w:sz w:val="20"/>
              </w:rPr>
              <w:t>Due to Their Drinking or Drug Use During the Past Year</w:t>
            </w:r>
            <w:r w:rsidR="00183E17">
              <w:rPr>
                <w:b/>
                <w:bCs/>
                <w:sz w:val="20"/>
              </w:rPr>
              <w:t xml:space="preserve"> </w:t>
            </w:r>
            <w:r>
              <w:rPr>
                <w:b/>
                <w:bCs/>
                <w:sz w:val="20"/>
              </w:rPr>
              <w:t xml:space="preserve">in Greater New Orleans </w:t>
            </w:r>
          </w:p>
          <w:p w:rsidR="00FF1CAE" w:rsidRPr="00581638" w:rsidRDefault="00FF1CAE" w:rsidP="00183E17">
            <w:pPr>
              <w:jc w:val="center"/>
              <w:rPr>
                <w:b/>
                <w:bCs/>
                <w:sz w:val="20"/>
              </w:rPr>
            </w:pPr>
            <w:proofErr w:type="gramStart"/>
            <w:r>
              <w:rPr>
                <w:b/>
                <w:bCs/>
                <w:sz w:val="20"/>
              </w:rPr>
              <w:t>and</w:t>
            </w:r>
            <w:proofErr w:type="gramEnd"/>
            <w:r>
              <w:rPr>
                <w:b/>
                <w:bCs/>
                <w:sz w:val="20"/>
              </w:rPr>
              <w:t xml:space="preserve"> Statewide, Core Institute Survey, 2009, 2011 and 2013.</w:t>
            </w:r>
          </w:p>
        </w:tc>
      </w:tr>
      <w:tr w:rsidR="00FF1CAE" w:rsidRPr="00425784" w:rsidTr="00183E17">
        <w:trPr>
          <w:trHeight w:val="269"/>
          <w:jc w:val="center"/>
        </w:trPr>
        <w:tc>
          <w:tcPr>
            <w:tcW w:w="4577" w:type="dxa"/>
            <w:vMerge w:val="restart"/>
            <w:tcBorders>
              <w:top w:val="single" w:sz="4" w:space="0" w:color="auto"/>
              <w:left w:val="single" w:sz="4" w:space="0" w:color="auto"/>
              <w:bottom w:val="single" w:sz="4" w:space="0" w:color="auto"/>
              <w:right w:val="single" w:sz="4" w:space="0" w:color="auto"/>
            </w:tcBorders>
            <w:noWrap/>
            <w:vAlign w:val="center"/>
            <w:hideMark/>
          </w:tcPr>
          <w:p w:rsidR="00FF1CAE" w:rsidRPr="00425784" w:rsidRDefault="00FF1CAE" w:rsidP="004C7EAD">
            <w:pPr>
              <w:jc w:val="center"/>
              <w:rPr>
                <w:color w:val="000000"/>
                <w:sz w:val="20"/>
              </w:rPr>
            </w:pPr>
            <w:r>
              <w:rPr>
                <w:b/>
                <w:color w:val="000000"/>
                <w:sz w:val="20"/>
              </w:rPr>
              <w:t xml:space="preserve">Public Safety and Enforcement </w:t>
            </w:r>
            <w:r w:rsidRPr="00DF7C96">
              <w:rPr>
                <w:b/>
                <w:color w:val="000000"/>
                <w:sz w:val="20"/>
              </w:rPr>
              <w:t xml:space="preserve">Consequences </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FF1CAE" w:rsidRPr="00425784" w:rsidRDefault="00FF1CAE" w:rsidP="004C7EAD">
            <w:pPr>
              <w:jc w:val="center"/>
              <w:rPr>
                <w:b/>
                <w:color w:val="000000"/>
                <w:sz w:val="20"/>
              </w:rPr>
            </w:pPr>
            <w:r w:rsidRPr="0025078B">
              <w:rPr>
                <w:b/>
                <w:color w:val="000000"/>
                <w:sz w:val="20"/>
              </w:rPr>
              <w:t>Greater New Orleans</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FF1CAE" w:rsidRPr="00425784" w:rsidRDefault="00FF1CAE" w:rsidP="004C7EAD">
            <w:pPr>
              <w:jc w:val="center"/>
              <w:rPr>
                <w:b/>
                <w:color w:val="000000"/>
                <w:sz w:val="20"/>
              </w:rPr>
            </w:pPr>
            <w:r w:rsidRPr="0025078B">
              <w:rPr>
                <w:b/>
                <w:color w:val="000000"/>
                <w:sz w:val="20"/>
              </w:rPr>
              <w:t>Statewide</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FF1CAE" w:rsidRPr="00425784" w:rsidRDefault="00FF1CAE" w:rsidP="004C7EAD">
            <w:pPr>
              <w:jc w:val="center"/>
              <w:rPr>
                <w:b/>
                <w:color w:val="000000"/>
                <w:sz w:val="20"/>
              </w:rPr>
            </w:pPr>
            <w:r w:rsidRPr="0025078B">
              <w:rPr>
                <w:b/>
                <w:color w:val="000000"/>
                <w:sz w:val="20"/>
              </w:rPr>
              <w:t>Nation</w:t>
            </w:r>
            <w:r w:rsidRPr="00425784">
              <w:rPr>
                <w:b/>
                <w:color w:val="000000"/>
                <w:sz w:val="20"/>
              </w:rPr>
              <w:t>al</w:t>
            </w:r>
          </w:p>
        </w:tc>
      </w:tr>
      <w:tr w:rsidR="00FF1CAE" w:rsidRPr="00425784" w:rsidTr="00183E17">
        <w:trPr>
          <w:trHeight w:val="286"/>
          <w:jc w:val="center"/>
        </w:trPr>
        <w:tc>
          <w:tcPr>
            <w:tcW w:w="4577" w:type="dxa"/>
            <w:vMerge/>
            <w:tcBorders>
              <w:top w:val="single" w:sz="4" w:space="0" w:color="auto"/>
              <w:left w:val="single" w:sz="4" w:space="0" w:color="auto"/>
              <w:bottom w:val="single" w:sz="4" w:space="0" w:color="auto"/>
              <w:right w:val="single" w:sz="4" w:space="0" w:color="auto"/>
            </w:tcBorders>
            <w:vAlign w:val="center"/>
            <w:hideMark/>
          </w:tcPr>
          <w:p w:rsidR="00FF1CAE" w:rsidRPr="00425784" w:rsidRDefault="00FF1CAE" w:rsidP="004C7EAD">
            <w:pP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FF1CAE" w:rsidRPr="00425784" w:rsidRDefault="00FF1CAE" w:rsidP="004C7EAD">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FF1CAE" w:rsidRPr="00425784" w:rsidRDefault="00FF1CAE" w:rsidP="004C7EAD">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FF1CAE" w:rsidRPr="00425784" w:rsidRDefault="00FF1CAE" w:rsidP="004C7EAD">
            <w:pPr>
              <w:jc w:val="center"/>
              <w:rPr>
                <w:color w:val="000000"/>
                <w:sz w:val="20"/>
              </w:rPr>
            </w:pPr>
            <w:r w:rsidRPr="0065120E">
              <w:rPr>
                <w:color w:val="000000"/>
                <w:sz w:val="20"/>
              </w:rPr>
              <w:t>2013</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FF1CAE" w:rsidRPr="00425784" w:rsidRDefault="00FF1CAE" w:rsidP="004C7EAD">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FF1CAE" w:rsidRPr="00425784" w:rsidRDefault="00FF1CAE" w:rsidP="004C7EAD">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FF1CAE" w:rsidRPr="00425784" w:rsidRDefault="00FF1CAE" w:rsidP="004C7EAD">
            <w:pPr>
              <w:jc w:val="center"/>
              <w:rPr>
                <w:color w:val="000000"/>
                <w:sz w:val="20"/>
              </w:rPr>
            </w:pPr>
            <w:r w:rsidRPr="0065120E">
              <w:rPr>
                <w:color w:val="000000"/>
                <w:sz w:val="20"/>
              </w:rPr>
              <w:t>2013</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FF1CAE" w:rsidRPr="00425784" w:rsidRDefault="00FF1CAE" w:rsidP="004C7EAD">
            <w:pPr>
              <w:jc w:val="center"/>
              <w:rPr>
                <w:color w:val="000000"/>
                <w:sz w:val="20"/>
              </w:rPr>
            </w:pPr>
            <w:r w:rsidRPr="0065120E">
              <w:rPr>
                <w:color w:val="000000"/>
                <w:sz w:val="20"/>
              </w:rPr>
              <w:t>20</w:t>
            </w:r>
            <w:r w:rsidR="00B50892">
              <w:rPr>
                <w:color w:val="000000"/>
                <w:sz w:val="20"/>
              </w:rPr>
              <w:t>11</w:t>
            </w:r>
          </w:p>
        </w:tc>
      </w:tr>
      <w:tr w:rsidR="00183E17" w:rsidRPr="00425784" w:rsidTr="007E2CD4">
        <w:trPr>
          <w:trHeight w:val="255"/>
          <w:jc w:val="center"/>
        </w:trPr>
        <w:tc>
          <w:tcPr>
            <w:tcW w:w="4577" w:type="dxa"/>
            <w:tcBorders>
              <w:top w:val="single" w:sz="4" w:space="0" w:color="auto"/>
              <w:left w:val="single" w:sz="4" w:space="0" w:color="auto"/>
              <w:bottom w:val="single" w:sz="4" w:space="0" w:color="auto"/>
              <w:right w:val="single" w:sz="4" w:space="0" w:color="auto"/>
            </w:tcBorders>
            <w:noWrap/>
            <w:vAlign w:val="center"/>
            <w:hideMark/>
          </w:tcPr>
          <w:p w:rsidR="00FF1CAE" w:rsidRPr="00425784" w:rsidRDefault="00FF1CAE" w:rsidP="004C7EAD">
            <w:pPr>
              <w:jc w:val="right"/>
              <w:rPr>
                <w:color w:val="000000"/>
                <w:sz w:val="18"/>
                <w:szCs w:val="18"/>
              </w:rPr>
            </w:pPr>
            <w:r w:rsidRPr="00425784">
              <w:rPr>
                <w:color w:val="000000"/>
                <w:sz w:val="18"/>
                <w:szCs w:val="18"/>
              </w:rPr>
              <w:t>sample size=</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CAE" w:rsidRPr="00425784" w:rsidRDefault="00FF1CAE" w:rsidP="004C7EAD">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CAE" w:rsidRPr="00425784" w:rsidRDefault="00FF1CAE" w:rsidP="004C7EAD">
            <w:pPr>
              <w:jc w:val="center"/>
              <w:rPr>
                <w:color w:val="000000"/>
                <w:sz w:val="18"/>
                <w:szCs w:val="18"/>
              </w:rPr>
            </w:pPr>
            <w:r w:rsidRPr="00425784">
              <w:rPr>
                <w:color w:val="000000"/>
                <w:sz w:val="18"/>
                <w:szCs w:val="18"/>
              </w:rPr>
              <w:t>1,646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CAE" w:rsidRPr="00425784" w:rsidRDefault="00FF1CAE" w:rsidP="004C7EAD">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CAE" w:rsidRPr="00425784" w:rsidRDefault="00FF1CAE" w:rsidP="004C7EAD">
            <w:pPr>
              <w:jc w:val="center"/>
              <w:rPr>
                <w:color w:val="000000"/>
                <w:sz w:val="18"/>
                <w:szCs w:val="18"/>
              </w:rPr>
            </w:pPr>
            <w:r>
              <w:rPr>
                <w:color w:val="000000"/>
                <w:sz w:val="18"/>
                <w:szCs w:val="18"/>
              </w:rPr>
              <w:t>12,972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CAE" w:rsidRPr="00425784" w:rsidRDefault="00FF1CAE" w:rsidP="004C7EAD">
            <w:pPr>
              <w:jc w:val="center"/>
              <w:rPr>
                <w:color w:val="000000"/>
                <w:sz w:val="18"/>
                <w:szCs w:val="18"/>
              </w:rPr>
            </w:pPr>
            <w:r w:rsidRPr="00425784">
              <w:rPr>
                <w:color w:val="000000"/>
                <w:sz w:val="18"/>
                <w:szCs w:val="18"/>
              </w:rPr>
              <w:t>9,763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CAE" w:rsidRPr="00425784" w:rsidRDefault="00FF1CAE" w:rsidP="004C7EAD">
            <w:pPr>
              <w:jc w:val="center"/>
              <w:rPr>
                <w:color w:val="000000"/>
                <w:sz w:val="18"/>
                <w:szCs w:val="18"/>
              </w:rPr>
            </w:pPr>
            <w:r>
              <w:rPr>
                <w:color w:val="000000"/>
                <w:sz w:val="18"/>
                <w:szCs w:val="18"/>
              </w:rPr>
              <w:t>7,740</w:t>
            </w:r>
          </w:p>
        </w:tc>
        <w:tc>
          <w:tcPr>
            <w:tcW w:w="810" w:type="dxa"/>
            <w:tcBorders>
              <w:top w:val="single" w:sz="4" w:space="0" w:color="auto"/>
              <w:left w:val="single" w:sz="4" w:space="0" w:color="auto"/>
              <w:bottom w:val="single" w:sz="4" w:space="0" w:color="auto"/>
              <w:right w:val="single" w:sz="4" w:space="0" w:color="auto"/>
            </w:tcBorders>
            <w:noWrap/>
            <w:vAlign w:val="center"/>
          </w:tcPr>
          <w:p w:rsidR="00FF1CAE" w:rsidRPr="00425784" w:rsidRDefault="00FF1CAE" w:rsidP="004C7EAD">
            <w:pPr>
              <w:jc w:val="center"/>
              <w:rPr>
                <w:color w:val="000000"/>
                <w:sz w:val="18"/>
                <w:szCs w:val="18"/>
                <w:highlight w:val="yellow"/>
              </w:rPr>
            </w:pPr>
            <w:r>
              <w:rPr>
                <w:color w:val="000000"/>
                <w:sz w:val="18"/>
                <w:szCs w:val="18"/>
              </w:rPr>
              <w:t>50,505</w:t>
            </w:r>
          </w:p>
        </w:tc>
      </w:tr>
      <w:tr w:rsidR="004C7EAD" w:rsidRPr="00425784" w:rsidTr="00183E17">
        <w:trPr>
          <w:trHeight w:val="288"/>
          <w:jc w:val="center"/>
        </w:trPr>
        <w:tc>
          <w:tcPr>
            <w:tcW w:w="4577" w:type="dxa"/>
            <w:tcBorders>
              <w:top w:val="single" w:sz="4" w:space="0" w:color="auto"/>
              <w:left w:val="single" w:sz="4" w:space="0" w:color="auto"/>
              <w:bottom w:val="single" w:sz="4" w:space="0" w:color="auto"/>
              <w:right w:val="single" w:sz="4" w:space="0" w:color="auto"/>
            </w:tcBorders>
            <w:noWrap/>
            <w:tcMar>
              <w:left w:w="58" w:type="dxa"/>
              <w:right w:w="0" w:type="dxa"/>
            </w:tcMar>
            <w:vAlign w:val="center"/>
          </w:tcPr>
          <w:p w:rsidR="004C7EAD" w:rsidRDefault="004C7EAD" w:rsidP="004C7EAD">
            <w:pPr>
              <w:rPr>
                <w:color w:val="000000"/>
                <w:sz w:val="20"/>
              </w:rPr>
            </w:pPr>
            <w:r>
              <w:rPr>
                <w:color w:val="000000"/>
                <w:sz w:val="20"/>
              </w:rPr>
              <w:t xml:space="preserve">Been hurt or injured </w:t>
            </w:r>
          </w:p>
        </w:tc>
        <w:tc>
          <w:tcPr>
            <w:tcW w:w="630" w:type="dxa"/>
            <w:tcBorders>
              <w:top w:val="single" w:sz="4" w:space="0" w:color="auto"/>
              <w:left w:val="single" w:sz="4" w:space="0" w:color="auto"/>
              <w:bottom w:val="single" w:sz="4" w:space="0" w:color="auto"/>
              <w:right w:val="single" w:sz="4" w:space="0" w:color="auto"/>
            </w:tcBorders>
            <w:noWrap/>
            <w:vAlign w:val="center"/>
          </w:tcPr>
          <w:p w:rsidR="004C7EAD" w:rsidRDefault="004C7EAD" w:rsidP="004C7EAD">
            <w:pPr>
              <w:jc w:val="center"/>
              <w:rPr>
                <w:color w:val="000000"/>
                <w:sz w:val="20"/>
              </w:rPr>
            </w:pPr>
            <w:r>
              <w:rPr>
                <w:color w:val="000000"/>
                <w:sz w:val="20"/>
              </w:rPr>
              <w:t>15.6</w:t>
            </w:r>
          </w:p>
        </w:tc>
        <w:tc>
          <w:tcPr>
            <w:tcW w:w="630" w:type="dxa"/>
            <w:tcBorders>
              <w:top w:val="single" w:sz="4" w:space="0" w:color="auto"/>
              <w:left w:val="single" w:sz="4" w:space="0" w:color="auto"/>
              <w:bottom w:val="single" w:sz="4" w:space="0" w:color="auto"/>
              <w:right w:val="single" w:sz="4" w:space="0" w:color="auto"/>
            </w:tcBorders>
            <w:noWrap/>
            <w:vAlign w:val="center"/>
          </w:tcPr>
          <w:p w:rsidR="004C7EAD" w:rsidRDefault="004C7EAD" w:rsidP="004C7EAD">
            <w:pPr>
              <w:jc w:val="center"/>
              <w:rPr>
                <w:color w:val="000000"/>
                <w:sz w:val="20"/>
              </w:rPr>
            </w:pPr>
            <w:r>
              <w:rPr>
                <w:color w:val="000000"/>
                <w:sz w:val="20"/>
              </w:rPr>
              <w:t>19.6</w:t>
            </w:r>
          </w:p>
        </w:tc>
        <w:tc>
          <w:tcPr>
            <w:tcW w:w="630" w:type="dxa"/>
            <w:tcBorders>
              <w:top w:val="single" w:sz="4" w:space="0" w:color="auto"/>
              <w:left w:val="single" w:sz="4" w:space="0" w:color="auto"/>
              <w:bottom w:val="single" w:sz="4" w:space="0" w:color="auto"/>
              <w:right w:val="single" w:sz="4" w:space="0" w:color="auto"/>
            </w:tcBorders>
            <w:noWrap/>
            <w:vAlign w:val="center"/>
          </w:tcPr>
          <w:p w:rsidR="004C7EAD" w:rsidRDefault="004C7EAD" w:rsidP="004C7EAD">
            <w:pPr>
              <w:jc w:val="center"/>
              <w:rPr>
                <w:color w:val="000000"/>
                <w:sz w:val="20"/>
              </w:rPr>
            </w:pPr>
            <w:r>
              <w:rPr>
                <w:color w:val="000000"/>
                <w:sz w:val="20"/>
              </w:rPr>
              <w:t>14.4</w:t>
            </w:r>
          </w:p>
        </w:tc>
        <w:tc>
          <w:tcPr>
            <w:tcW w:w="630" w:type="dxa"/>
            <w:tcBorders>
              <w:top w:val="single" w:sz="4" w:space="0" w:color="auto"/>
              <w:left w:val="single" w:sz="4" w:space="0" w:color="auto"/>
              <w:bottom w:val="single" w:sz="4" w:space="0" w:color="auto"/>
              <w:right w:val="single" w:sz="4" w:space="0" w:color="auto"/>
            </w:tcBorders>
            <w:noWrap/>
            <w:vAlign w:val="center"/>
          </w:tcPr>
          <w:p w:rsidR="004C7EAD" w:rsidRDefault="004C7EAD" w:rsidP="004C7EAD">
            <w:pPr>
              <w:jc w:val="center"/>
              <w:rPr>
                <w:color w:val="000000"/>
                <w:sz w:val="20"/>
              </w:rPr>
            </w:pPr>
            <w:r>
              <w:rPr>
                <w:color w:val="000000"/>
                <w:sz w:val="20"/>
              </w:rPr>
              <w:t>12.0</w:t>
            </w:r>
          </w:p>
        </w:tc>
        <w:tc>
          <w:tcPr>
            <w:tcW w:w="630" w:type="dxa"/>
            <w:tcBorders>
              <w:top w:val="single" w:sz="4" w:space="0" w:color="auto"/>
              <w:left w:val="single" w:sz="4" w:space="0" w:color="auto"/>
              <w:bottom w:val="single" w:sz="4" w:space="0" w:color="auto"/>
              <w:right w:val="single" w:sz="4" w:space="0" w:color="auto"/>
            </w:tcBorders>
            <w:noWrap/>
            <w:vAlign w:val="center"/>
          </w:tcPr>
          <w:p w:rsidR="004C7EAD" w:rsidRDefault="004C7EAD" w:rsidP="004C7EAD">
            <w:pPr>
              <w:jc w:val="center"/>
              <w:rPr>
                <w:color w:val="000000"/>
                <w:sz w:val="20"/>
              </w:rPr>
            </w:pPr>
            <w:r>
              <w:rPr>
                <w:color w:val="000000"/>
                <w:sz w:val="20"/>
              </w:rPr>
              <w:t>11.5</w:t>
            </w:r>
          </w:p>
        </w:tc>
        <w:tc>
          <w:tcPr>
            <w:tcW w:w="630" w:type="dxa"/>
            <w:tcBorders>
              <w:top w:val="single" w:sz="4" w:space="0" w:color="auto"/>
              <w:left w:val="single" w:sz="4" w:space="0" w:color="auto"/>
              <w:bottom w:val="single" w:sz="4" w:space="0" w:color="auto"/>
              <w:right w:val="single" w:sz="4" w:space="0" w:color="auto"/>
            </w:tcBorders>
            <w:noWrap/>
            <w:vAlign w:val="center"/>
          </w:tcPr>
          <w:p w:rsidR="004C7EAD" w:rsidRDefault="004C7EAD" w:rsidP="004C7EAD">
            <w:pPr>
              <w:jc w:val="center"/>
              <w:rPr>
                <w:color w:val="000000"/>
                <w:sz w:val="20"/>
              </w:rPr>
            </w:pPr>
            <w:r>
              <w:rPr>
                <w:color w:val="000000"/>
                <w:sz w:val="20"/>
              </w:rPr>
              <w:t>11.2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7EAD" w:rsidRDefault="004C7EAD" w:rsidP="004C7EAD">
            <w:pPr>
              <w:jc w:val="center"/>
              <w:rPr>
                <w:color w:val="000000"/>
                <w:sz w:val="20"/>
              </w:rPr>
            </w:pPr>
            <w:r>
              <w:rPr>
                <w:color w:val="000000"/>
                <w:sz w:val="20"/>
              </w:rPr>
              <w:t>14.1</w:t>
            </w:r>
          </w:p>
        </w:tc>
      </w:tr>
      <w:tr w:rsidR="006F611A" w:rsidRPr="00425784" w:rsidTr="00183E17">
        <w:trPr>
          <w:trHeight w:val="288"/>
          <w:jc w:val="center"/>
        </w:trPr>
        <w:tc>
          <w:tcPr>
            <w:tcW w:w="4577" w:type="dxa"/>
            <w:tcBorders>
              <w:top w:val="single" w:sz="4" w:space="0" w:color="auto"/>
              <w:left w:val="single" w:sz="4" w:space="0" w:color="auto"/>
              <w:bottom w:val="single" w:sz="4" w:space="0" w:color="auto"/>
              <w:right w:val="single" w:sz="4" w:space="0" w:color="auto"/>
            </w:tcBorders>
            <w:noWrap/>
            <w:tcMar>
              <w:left w:w="58" w:type="dxa"/>
              <w:right w:w="0" w:type="dxa"/>
            </w:tcMar>
            <w:vAlign w:val="center"/>
          </w:tcPr>
          <w:p w:rsidR="006F611A" w:rsidRDefault="006F611A" w:rsidP="004C7EAD">
            <w:pPr>
              <w:rPr>
                <w:color w:val="000000"/>
                <w:sz w:val="20"/>
              </w:rPr>
            </w:pPr>
            <w:r>
              <w:rPr>
                <w:color w:val="000000"/>
                <w:sz w:val="20"/>
              </w:rPr>
              <w:t>Damaged property, pulled fire alarm, etc.</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5.4</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5.6</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5.3</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4.4</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3.9</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3.8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611A" w:rsidRDefault="006F611A" w:rsidP="004C7EAD">
            <w:pPr>
              <w:jc w:val="center"/>
              <w:rPr>
                <w:color w:val="000000"/>
                <w:sz w:val="20"/>
              </w:rPr>
            </w:pPr>
            <w:r>
              <w:rPr>
                <w:color w:val="000000"/>
                <w:sz w:val="20"/>
              </w:rPr>
              <w:t>5.0</w:t>
            </w:r>
          </w:p>
        </w:tc>
      </w:tr>
      <w:tr w:rsidR="006F611A" w:rsidRPr="00425784" w:rsidTr="00183E17">
        <w:trPr>
          <w:trHeight w:val="288"/>
          <w:jc w:val="center"/>
        </w:trPr>
        <w:tc>
          <w:tcPr>
            <w:tcW w:w="4577" w:type="dxa"/>
            <w:tcBorders>
              <w:top w:val="single" w:sz="4" w:space="0" w:color="auto"/>
              <w:left w:val="single" w:sz="4" w:space="0" w:color="auto"/>
              <w:bottom w:val="single" w:sz="4" w:space="0" w:color="auto"/>
              <w:right w:val="single" w:sz="4" w:space="0" w:color="auto"/>
            </w:tcBorders>
            <w:noWrap/>
            <w:tcMar>
              <w:left w:w="58" w:type="dxa"/>
              <w:right w:w="0" w:type="dxa"/>
            </w:tcMar>
            <w:vAlign w:val="center"/>
          </w:tcPr>
          <w:p w:rsidR="006F611A" w:rsidRDefault="006F611A" w:rsidP="004C7EAD">
            <w:pPr>
              <w:rPr>
                <w:color w:val="000000"/>
                <w:sz w:val="20"/>
              </w:rPr>
            </w:pPr>
            <w:r>
              <w:rPr>
                <w:color w:val="000000"/>
                <w:sz w:val="20"/>
              </w:rPr>
              <w:t>Got into an argument or fight</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34.6</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33.0</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28.1</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29.3</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25.5</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24.9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611A" w:rsidRDefault="006F611A" w:rsidP="004C7EAD">
            <w:pPr>
              <w:jc w:val="center"/>
              <w:rPr>
                <w:color w:val="000000"/>
                <w:sz w:val="20"/>
              </w:rPr>
            </w:pPr>
            <w:r>
              <w:rPr>
                <w:color w:val="000000"/>
                <w:sz w:val="20"/>
              </w:rPr>
              <w:t>27.7</w:t>
            </w:r>
          </w:p>
        </w:tc>
      </w:tr>
      <w:tr w:rsidR="006F611A" w:rsidRPr="00425784" w:rsidTr="00183E17">
        <w:trPr>
          <w:trHeight w:val="288"/>
          <w:jc w:val="center"/>
        </w:trPr>
        <w:tc>
          <w:tcPr>
            <w:tcW w:w="4577" w:type="dxa"/>
            <w:tcBorders>
              <w:top w:val="single" w:sz="4" w:space="0" w:color="auto"/>
              <w:left w:val="single" w:sz="4" w:space="0" w:color="auto"/>
              <w:bottom w:val="single" w:sz="4" w:space="0" w:color="auto"/>
              <w:right w:val="single" w:sz="4" w:space="0" w:color="auto"/>
            </w:tcBorders>
            <w:noWrap/>
            <w:tcMar>
              <w:left w:w="58" w:type="dxa"/>
              <w:right w:w="0" w:type="dxa"/>
            </w:tcMar>
            <w:vAlign w:val="center"/>
          </w:tcPr>
          <w:p w:rsidR="006F611A" w:rsidRDefault="006F611A" w:rsidP="00183E17">
            <w:pPr>
              <w:rPr>
                <w:color w:val="000000"/>
                <w:sz w:val="20"/>
              </w:rPr>
            </w:pPr>
            <w:r>
              <w:rPr>
                <w:color w:val="000000"/>
                <w:sz w:val="20"/>
              </w:rPr>
              <w:t xml:space="preserve">Been in trouble with police, residence hall or college </w:t>
            </w:r>
            <w:r w:rsidR="00183E17">
              <w:rPr>
                <w:color w:val="000000"/>
                <w:sz w:val="20"/>
              </w:rPr>
              <w:t>authorities</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8.8</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12.7</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8.6</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8.0</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8.0</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6.6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611A" w:rsidRDefault="006F611A" w:rsidP="004C7EAD">
            <w:pPr>
              <w:jc w:val="center"/>
              <w:rPr>
                <w:color w:val="000000"/>
                <w:sz w:val="20"/>
              </w:rPr>
            </w:pPr>
            <w:r>
              <w:rPr>
                <w:color w:val="000000"/>
                <w:sz w:val="20"/>
              </w:rPr>
              <w:t>11.4</w:t>
            </w:r>
          </w:p>
        </w:tc>
      </w:tr>
      <w:tr w:rsidR="006F611A" w:rsidRPr="00425784" w:rsidTr="00183E17">
        <w:trPr>
          <w:trHeight w:val="288"/>
          <w:jc w:val="center"/>
        </w:trPr>
        <w:tc>
          <w:tcPr>
            <w:tcW w:w="4577" w:type="dxa"/>
            <w:tcBorders>
              <w:top w:val="single" w:sz="4" w:space="0" w:color="auto"/>
              <w:left w:val="single" w:sz="4" w:space="0" w:color="auto"/>
              <w:bottom w:val="single" w:sz="4" w:space="0" w:color="auto"/>
              <w:right w:val="single" w:sz="4" w:space="0" w:color="auto"/>
            </w:tcBorders>
            <w:noWrap/>
            <w:tcMar>
              <w:left w:w="58" w:type="dxa"/>
              <w:right w:w="0" w:type="dxa"/>
            </w:tcMar>
            <w:vAlign w:val="center"/>
          </w:tcPr>
          <w:p w:rsidR="006F611A" w:rsidRDefault="006F611A" w:rsidP="004C7EAD">
            <w:pPr>
              <w:rPr>
                <w:color w:val="000000"/>
                <w:sz w:val="20"/>
              </w:rPr>
            </w:pPr>
            <w:r>
              <w:rPr>
                <w:color w:val="000000"/>
                <w:sz w:val="20"/>
              </w:rPr>
              <w:t>Driven a car while under the influence</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35.9</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25.5</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28.1</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33.2</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27.2</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25.9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611A" w:rsidRDefault="006F611A" w:rsidP="004C7EAD">
            <w:pPr>
              <w:jc w:val="center"/>
              <w:rPr>
                <w:color w:val="000000"/>
                <w:sz w:val="20"/>
              </w:rPr>
            </w:pPr>
            <w:r>
              <w:rPr>
                <w:color w:val="000000"/>
                <w:sz w:val="20"/>
              </w:rPr>
              <w:t>19.7</w:t>
            </w:r>
          </w:p>
        </w:tc>
      </w:tr>
      <w:tr w:rsidR="006F611A" w:rsidRPr="00425784" w:rsidTr="00183E17">
        <w:trPr>
          <w:trHeight w:val="288"/>
          <w:jc w:val="center"/>
        </w:trPr>
        <w:tc>
          <w:tcPr>
            <w:tcW w:w="4577" w:type="dxa"/>
            <w:tcBorders>
              <w:top w:val="single" w:sz="4" w:space="0" w:color="auto"/>
              <w:left w:val="single" w:sz="4" w:space="0" w:color="auto"/>
              <w:bottom w:val="single" w:sz="4" w:space="0" w:color="auto"/>
              <w:right w:val="single" w:sz="4" w:space="0" w:color="auto"/>
            </w:tcBorders>
            <w:noWrap/>
            <w:tcMar>
              <w:left w:w="58" w:type="dxa"/>
              <w:right w:w="0" w:type="dxa"/>
            </w:tcMar>
            <w:vAlign w:val="center"/>
          </w:tcPr>
          <w:p w:rsidR="006F611A" w:rsidRDefault="006F611A" w:rsidP="004C7EAD">
            <w:pPr>
              <w:rPr>
                <w:color w:val="000000"/>
                <w:sz w:val="20"/>
              </w:rPr>
            </w:pPr>
            <w:r>
              <w:rPr>
                <w:color w:val="000000"/>
                <w:sz w:val="20"/>
              </w:rPr>
              <w:t>Been arrested For DWI/DUI</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1.2</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1.1</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1.1</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1.7</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1.7</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611A" w:rsidRDefault="006F611A" w:rsidP="004C7EAD">
            <w:pPr>
              <w:jc w:val="center"/>
              <w:rPr>
                <w:color w:val="000000"/>
                <w:sz w:val="20"/>
              </w:rPr>
            </w:pPr>
            <w:r>
              <w:rPr>
                <w:color w:val="000000"/>
                <w:sz w:val="20"/>
              </w:rPr>
              <w:t>1.4</w:t>
            </w:r>
          </w:p>
        </w:tc>
      </w:tr>
      <w:tr w:rsidR="006F611A" w:rsidRPr="00425784" w:rsidTr="00921CA7">
        <w:trPr>
          <w:trHeight w:val="288"/>
          <w:jc w:val="center"/>
        </w:trPr>
        <w:tc>
          <w:tcPr>
            <w:tcW w:w="4577" w:type="dxa"/>
            <w:tcBorders>
              <w:top w:val="single" w:sz="4" w:space="0" w:color="auto"/>
              <w:left w:val="single" w:sz="4" w:space="0" w:color="auto"/>
              <w:bottom w:val="single" w:sz="4" w:space="0" w:color="auto"/>
              <w:right w:val="single" w:sz="4" w:space="0" w:color="auto"/>
            </w:tcBorders>
            <w:noWrap/>
            <w:tcMar>
              <w:left w:w="58" w:type="dxa"/>
              <w:right w:w="0" w:type="dxa"/>
            </w:tcMar>
            <w:vAlign w:val="center"/>
          </w:tcPr>
          <w:p w:rsidR="006F611A" w:rsidRDefault="006F611A" w:rsidP="004C7EAD">
            <w:pPr>
              <w:rPr>
                <w:color w:val="000000"/>
                <w:sz w:val="20"/>
              </w:rPr>
            </w:pPr>
            <w:r>
              <w:rPr>
                <w:color w:val="000000"/>
                <w:sz w:val="20"/>
              </w:rPr>
              <w:t>Been taken advantage of sexually</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8.7</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10.3</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8.2</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8.0</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7.2</w:t>
            </w:r>
          </w:p>
        </w:tc>
        <w:tc>
          <w:tcPr>
            <w:tcW w:w="630" w:type="dxa"/>
            <w:tcBorders>
              <w:top w:val="single" w:sz="4" w:space="0" w:color="auto"/>
              <w:left w:val="single" w:sz="4" w:space="0" w:color="auto"/>
              <w:bottom w:val="single" w:sz="4" w:space="0" w:color="auto"/>
              <w:right w:val="single" w:sz="4" w:space="0" w:color="auto"/>
            </w:tcBorders>
            <w:noWrap/>
            <w:vAlign w:val="center"/>
          </w:tcPr>
          <w:p w:rsidR="006F611A" w:rsidRDefault="006F611A" w:rsidP="004C7EAD">
            <w:pPr>
              <w:jc w:val="center"/>
              <w:rPr>
                <w:color w:val="000000"/>
                <w:sz w:val="20"/>
              </w:rPr>
            </w:pPr>
            <w:r>
              <w:rPr>
                <w:color w:val="000000"/>
                <w:sz w:val="20"/>
              </w:rPr>
              <w:t>6.3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611A" w:rsidRDefault="006F611A" w:rsidP="004C7EAD">
            <w:pPr>
              <w:jc w:val="center"/>
              <w:rPr>
                <w:color w:val="000000"/>
                <w:sz w:val="20"/>
              </w:rPr>
            </w:pPr>
            <w:r>
              <w:rPr>
                <w:color w:val="000000"/>
                <w:sz w:val="20"/>
              </w:rPr>
              <w:t>8.2</w:t>
            </w:r>
          </w:p>
        </w:tc>
      </w:tr>
      <w:tr w:rsidR="00FF1CAE" w:rsidRPr="00425784" w:rsidTr="00921CA7">
        <w:trPr>
          <w:trHeight w:val="791"/>
          <w:jc w:val="center"/>
        </w:trPr>
        <w:tc>
          <w:tcPr>
            <w:tcW w:w="9167" w:type="dxa"/>
            <w:gridSpan w:val="8"/>
            <w:tcBorders>
              <w:top w:val="single" w:sz="4" w:space="0" w:color="auto"/>
            </w:tcBorders>
            <w:noWrap/>
            <w:tcMar>
              <w:right w:w="0" w:type="dxa"/>
            </w:tcMar>
            <w:vAlign w:val="center"/>
          </w:tcPr>
          <w:p w:rsidR="00FF1CAE" w:rsidRDefault="00FF1CAE" w:rsidP="004C7EAD">
            <w:pPr>
              <w:rPr>
                <w:sz w:val="18"/>
                <w:szCs w:val="18"/>
              </w:rPr>
            </w:pPr>
            <w:r>
              <w:rPr>
                <w:sz w:val="18"/>
                <w:szCs w:val="18"/>
              </w:rPr>
              <w:t>“</w:t>
            </w:r>
            <w:proofErr w:type="spellStart"/>
            <w:proofErr w:type="gramStart"/>
            <w:r>
              <w:rPr>
                <w:sz w:val="18"/>
                <w:szCs w:val="18"/>
              </w:rPr>
              <w:t>na</w:t>
            </w:r>
            <w:proofErr w:type="spellEnd"/>
            <w:proofErr w:type="gramEnd"/>
            <w:r>
              <w:rPr>
                <w:sz w:val="18"/>
                <w:szCs w:val="18"/>
              </w:rPr>
              <w:t>” means data is not yet available in published reports.</w:t>
            </w:r>
          </w:p>
          <w:p w:rsidR="00FF1CAE" w:rsidRPr="00544122" w:rsidRDefault="00FF1CAE" w:rsidP="004C7EAD">
            <w:pPr>
              <w:rPr>
                <w:bCs/>
                <w:sz w:val="18"/>
                <w:szCs w:val="18"/>
              </w:rPr>
            </w:pPr>
            <w:r w:rsidRPr="00544122">
              <w:rPr>
                <w:sz w:val="18"/>
                <w:szCs w:val="18"/>
              </w:rPr>
              <w:t xml:space="preserve">Data Source: Louisiana Social Indicators - </w:t>
            </w:r>
            <w:hyperlink r:id="rId26" w:history="1">
              <w:r w:rsidRPr="00544122">
                <w:rPr>
                  <w:rStyle w:val="Hyperlink"/>
                  <w:sz w:val="18"/>
                  <w:szCs w:val="18"/>
                </w:rPr>
                <w:t>http://www.bach-harrison.com/lasocialindicators</w:t>
              </w:r>
            </w:hyperlink>
            <w:r w:rsidRPr="00544122">
              <w:rPr>
                <w:sz w:val="18"/>
                <w:szCs w:val="18"/>
              </w:rPr>
              <w:t xml:space="preserve"> (12/31/2013) as well as regional reports (</w:t>
            </w:r>
            <w:hyperlink r:id="rId27" w:history="1">
              <w:r w:rsidRPr="00544122">
                <w:rPr>
                  <w:rStyle w:val="Hyperlink"/>
                  <w:sz w:val="18"/>
                  <w:szCs w:val="18"/>
                </w:rPr>
                <w:t>http://uiswcmsweb.prod.lsu.edu/edco/lacasu/</w:t>
              </w:r>
            </w:hyperlink>
            <w:r w:rsidRPr="00544122">
              <w:rPr>
                <w:sz w:val="18"/>
                <w:szCs w:val="18"/>
              </w:rPr>
              <w:t xml:space="preserve"> ) and national reports (</w:t>
            </w:r>
            <w:hyperlink r:id="rId28" w:history="1">
              <w:r w:rsidRPr="00544122">
                <w:rPr>
                  <w:rStyle w:val="Hyperlink"/>
                  <w:sz w:val="18"/>
                  <w:szCs w:val="18"/>
                </w:rPr>
                <w:t>http://core.siu.edu/results/index.html</w:t>
              </w:r>
            </w:hyperlink>
            <w:r w:rsidRPr="00544122">
              <w:rPr>
                <w:sz w:val="18"/>
                <w:szCs w:val="18"/>
              </w:rPr>
              <w:t xml:space="preserve"> ).</w:t>
            </w:r>
          </w:p>
        </w:tc>
      </w:tr>
    </w:tbl>
    <w:p w:rsidR="00FF1CAE" w:rsidRDefault="00FF1CAE"/>
    <w:p w:rsidR="00BB3D61" w:rsidRPr="00BB3D61" w:rsidRDefault="00BB3D61" w:rsidP="00BB3D61">
      <w:r>
        <w:t>About one-in-twelve</w:t>
      </w:r>
      <w:r w:rsidRPr="00BB3D61">
        <w:t xml:space="preserve"> Greater New Orleans </w:t>
      </w:r>
      <w:proofErr w:type="gramStart"/>
      <w:r w:rsidRPr="00BB3D61">
        <w:t>college</w:t>
      </w:r>
      <w:proofErr w:type="gramEnd"/>
      <w:r w:rsidRPr="00BB3D61">
        <w:t xml:space="preserve"> students (</w:t>
      </w:r>
      <w:r>
        <w:t>8</w:t>
      </w:r>
      <w:r w:rsidRPr="00BB3D61">
        <w:t xml:space="preserve">%) </w:t>
      </w:r>
      <w:r w:rsidR="00CE571B">
        <w:t>have</w:t>
      </w:r>
      <w:r w:rsidRPr="00BB3D61">
        <w:t xml:space="preserve"> </w:t>
      </w:r>
      <w:r>
        <w:rPr>
          <w:u w:val="single"/>
        </w:rPr>
        <w:t>been taken advantage of sexually</w:t>
      </w:r>
      <w:r w:rsidRPr="00BB3D61">
        <w:t xml:space="preserve"> due to their drinking or drug use during the past year, based on the 2013 Core Institute Survey. Greater New Orleans students were </w:t>
      </w:r>
      <w:r w:rsidR="00CE571B">
        <w:t>about</w:t>
      </w:r>
      <w:r w:rsidRPr="00BB3D61">
        <w:t xml:space="preserve"> </w:t>
      </w:r>
      <w:r w:rsidR="00CE571B">
        <w:t xml:space="preserve">equally </w:t>
      </w:r>
      <w:r w:rsidRPr="00BB3D61">
        <w:t xml:space="preserve">likely to </w:t>
      </w:r>
      <w:r w:rsidR="00CE571B" w:rsidRPr="00CE571B">
        <w:t xml:space="preserve">have been taken advantage of sexually </w:t>
      </w:r>
      <w:r w:rsidRPr="00BB3D61">
        <w:t xml:space="preserve">due to substance use </w:t>
      </w:r>
      <w:r w:rsidR="00CE571B">
        <w:t>as</w:t>
      </w:r>
      <w:r w:rsidRPr="00BB3D61">
        <w:t xml:space="preserve"> students statewide (</w:t>
      </w:r>
      <w:r w:rsidR="00CE571B">
        <w:t xml:space="preserve">6%) and </w:t>
      </w:r>
      <w:r w:rsidRPr="00BB3D61">
        <w:t>in the 2011 national sample (</w:t>
      </w:r>
      <w:r w:rsidR="00CE571B">
        <w:t>8</w:t>
      </w:r>
      <w:r w:rsidRPr="00BB3D61">
        <w:t xml:space="preserve">%).  </w:t>
      </w:r>
    </w:p>
    <w:p w:rsidR="00FF1CAE" w:rsidRDefault="00FF1CAE"/>
    <w:p w:rsidR="00FF1CAE" w:rsidRPr="005B5EEB" w:rsidRDefault="00964887">
      <w:r w:rsidRPr="005B5EEB">
        <w:t xml:space="preserve">The use of alcohol and drugs makes Greater New Orleans college students more vulnerable to violence. </w:t>
      </w:r>
      <w:r w:rsidR="00CE571B" w:rsidRPr="005B5EEB">
        <w:t>Addition</w:t>
      </w:r>
      <w:r w:rsidR="00795A99" w:rsidRPr="005B5EEB">
        <w:t>al</w:t>
      </w:r>
      <w:r w:rsidR="00CE571B" w:rsidRPr="005B5EEB">
        <w:t xml:space="preserve"> questions about victimization are included in the Long Form version of the Core Institute Survey. </w:t>
      </w:r>
      <w:r w:rsidR="00795A99" w:rsidRPr="005B5EEB">
        <w:rPr>
          <w:i/>
        </w:rPr>
        <w:t>Responses to Long Form items were available at the state and regional levels for 2011, but</w:t>
      </w:r>
      <w:r w:rsidR="005B5EEB">
        <w:rPr>
          <w:i/>
        </w:rPr>
        <w:t xml:space="preserve"> are</w:t>
      </w:r>
      <w:r w:rsidR="00795A99" w:rsidRPr="005B5EEB">
        <w:rPr>
          <w:i/>
        </w:rPr>
        <w:t xml:space="preserve"> not</w:t>
      </w:r>
      <w:r w:rsidR="005B5EEB">
        <w:rPr>
          <w:i/>
        </w:rPr>
        <w:t xml:space="preserve"> available</w:t>
      </w:r>
      <w:r w:rsidR="00795A99" w:rsidRPr="005B5EEB">
        <w:rPr>
          <w:i/>
        </w:rPr>
        <w:t xml:space="preserve"> for the 2013</w:t>
      </w:r>
      <w:r w:rsidR="00795A99" w:rsidRPr="005B5EEB">
        <w:t>.</w:t>
      </w:r>
    </w:p>
    <w:p w:rsidR="00FF1CAE" w:rsidRDefault="00FF1CAE"/>
    <w:p w:rsidR="00A86304" w:rsidRPr="00A86304" w:rsidRDefault="00A86304" w:rsidP="00A86304">
      <w:r w:rsidRPr="00A86304">
        <w:t xml:space="preserve">In 2011, one-in-ten Greater New Orleans college students (11%) reported being subject to </w:t>
      </w:r>
      <w:r w:rsidRPr="00A86304">
        <w:rPr>
          <w:u w:val="single"/>
        </w:rPr>
        <w:t>threats of physical violence</w:t>
      </w:r>
      <w:r w:rsidRPr="00A86304">
        <w:t xml:space="preserve"> around campus in the last year. Of these, half (50%) had consumed alcohol or drugs shortly before the incident. Greater New Orleans college students were more likely to experience threats of violence than students statewide (7%) and in the 2009 national sample (8%) and, when they </w:t>
      </w:r>
      <w:proofErr w:type="gramStart"/>
      <w:r w:rsidRPr="00A86304">
        <w:t>did,</w:t>
      </w:r>
      <w:proofErr w:type="gramEnd"/>
      <w:r w:rsidRPr="00A86304">
        <w:t xml:space="preserve"> they were more likely to have been using alcohol or drugs than students statewide (40%) and in the 2009 national sample (44%). </w:t>
      </w:r>
    </w:p>
    <w:p w:rsidR="005B5EEB" w:rsidRDefault="005B5EEB"/>
    <w:p w:rsidR="00A86304" w:rsidRPr="00A86304" w:rsidRDefault="00A86304" w:rsidP="00A86304">
      <w:r w:rsidRPr="00A86304">
        <w:t xml:space="preserve">In 2011, six percent of Greater New Orleans college students reported experiencing </w:t>
      </w:r>
      <w:r w:rsidRPr="00A86304">
        <w:rPr>
          <w:u w:val="single"/>
        </w:rPr>
        <w:t>actual physical violence</w:t>
      </w:r>
      <w:r w:rsidRPr="00A86304">
        <w:t xml:space="preserve"> around campus in the past year. Of these, 60 percent had consumed alcohol or drugs shortly before the incident. Greater New Orleans college students were slightly more likely </w:t>
      </w:r>
      <w:r w:rsidRPr="00A86304">
        <w:lastRenderedPageBreak/>
        <w:t xml:space="preserve">to experience actual physical violence than students statewide (4%) and in the 2009 national sample (4%) and, when they </w:t>
      </w:r>
      <w:proofErr w:type="gramStart"/>
      <w:r w:rsidRPr="00A86304">
        <w:t>did,</w:t>
      </w:r>
      <w:proofErr w:type="gramEnd"/>
      <w:r w:rsidRPr="00A86304">
        <w:t xml:space="preserve"> they were more likely to have been using alcohol or drugs than students statewide (47%) or in the national sample (55%).</w:t>
      </w:r>
    </w:p>
    <w:p w:rsidR="00921CA7" w:rsidRDefault="00921CA7" w:rsidP="00A03E1E"/>
    <w:p w:rsidR="00A86304" w:rsidRPr="00A86304" w:rsidRDefault="00A86304" w:rsidP="00A86304">
      <w:r w:rsidRPr="00A86304">
        <w:t xml:space="preserve">In 2011, two percent of Greater New Orleans college students reported experiencing </w:t>
      </w:r>
      <w:r w:rsidRPr="00A86304">
        <w:rPr>
          <w:u w:val="single"/>
        </w:rPr>
        <w:t>theft involving force or threat of force [robbery]</w:t>
      </w:r>
      <w:r w:rsidRPr="00A86304">
        <w:t xml:space="preserve"> around campus in the past year. Of these, 35 percent had consumed alcohol or drugs shortly before the incident. Statewide and national sample statistics are similar to those for Greater New Orleans.</w:t>
      </w:r>
    </w:p>
    <w:p w:rsidR="00E44C27" w:rsidRDefault="00E44C27" w:rsidP="00A03E1E"/>
    <w:tbl>
      <w:tblPr>
        <w:tblpPr w:leftFromText="180" w:rightFromText="180" w:vertAnchor="text" w:horzAnchor="margin" w:tblpXSpec="right" w:tblpY="32"/>
        <w:tblW w:w="7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29" w:type="dxa"/>
        </w:tblCellMar>
        <w:tblLook w:val="04A0" w:firstRow="1" w:lastRow="0" w:firstColumn="1" w:lastColumn="0" w:noHBand="0" w:noVBand="1"/>
      </w:tblPr>
      <w:tblGrid>
        <w:gridCol w:w="1800"/>
        <w:gridCol w:w="969"/>
        <w:gridCol w:w="970"/>
        <w:gridCol w:w="970"/>
        <w:gridCol w:w="969"/>
        <w:gridCol w:w="970"/>
        <w:gridCol w:w="970"/>
      </w:tblGrid>
      <w:tr w:rsidR="006E7A98" w:rsidRPr="00B3022A" w:rsidTr="006E7A98">
        <w:trPr>
          <w:trHeight w:val="810"/>
        </w:trPr>
        <w:tc>
          <w:tcPr>
            <w:tcW w:w="7618" w:type="dxa"/>
            <w:gridSpan w:val="7"/>
            <w:tcBorders>
              <w:top w:val="nil"/>
              <w:left w:val="nil"/>
              <w:right w:val="nil"/>
            </w:tcBorders>
            <w:vAlign w:val="center"/>
          </w:tcPr>
          <w:p w:rsidR="006E7A98" w:rsidRPr="00B3022A" w:rsidRDefault="006E7A98" w:rsidP="006E7A98">
            <w:pPr>
              <w:jc w:val="center"/>
              <w:rPr>
                <w:b/>
                <w:bCs/>
                <w:sz w:val="20"/>
              </w:rPr>
            </w:pPr>
            <w:r>
              <w:rPr>
                <w:b/>
                <w:bCs/>
                <w:sz w:val="20"/>
              </w:rPr>
              <w:t xml:space="preserve">Table 5: Victimization – </w:t>
            </w:r>
            <w:r w:rsidRPr="00B3022A">
              <w:rPr>
                <w:b/>
                <w:bCs/>
                <w:sz w:val="20"/>
              </w:rPr>
              <w:t>Percent of College Students Experiencing Harassment</w:t>
            </w:r>
          </w:p>
          <w:p w:rsidR="006E7A98" w:rsidRDefault="006E7A98" w:rsidP="006E7A98">
            <w:pPr>
              <w:jc w:val="center"/>
              <w:rPr>
                <w:b/>
                <w:bCs/>
                <w:sz w:val="20"/>
              </w:rPr>
            </w:pPr>
            <w:r w:rsidRPr="00B3022A">
              <w:rPr>
                <w:b/>
                <w:bCs/>
                <w:sz w:val="20"/>
              </w:rPr>
              <w:t>or Violence and, Among These, the Percent Who Used  Alcohol</w:t>
            </w:r>
            <w:r>
              <w:rPr>
                <w:b/>
                <w:bCs/>
                <w:sz w:val="20"/>
              </w:rPr>
              <w:t xml:space="preserve"> </w:t>
            </w:r>
            <w:r w:rsidRPr="00B3022A">
              <w:rPr>
                <w:b/>
                <w:bCs/>
                <w:sz w:val="20"/>
              </w:rPr>
              <w:t xml:space="preserve">or </w:t>
            </w:r>
          </w:p>
          <w:p w:rsidR="006E7A98" w:rsidRPr="00B3022A" w:rsidRDefault="006E7A98" w:rsidP="006E7A98">
            <w:pPr>
              <w:jc w:val="center"/>
              <w:rPr>
                <w:sz w:val="20"/>
              </w:rPr>
            </w:pPr>
            <w:r w:rsidRPr="00B3022A">
              <w:rPr>
                <w:b/>
                <w:bCs/>
                <w:sz w:val="20"/>
              </w:rPr>
              <w:t xml:space="preserve">Drugs Shortly Before to the Incident, 2011 Core </w:t>
            </w:r>
            <w:r>
              <w:rPr>
                <w:b/>
                <w:bCs/>
                <w:sz w:val="20"/>
              </w:rPr>
              <w:t xml:space="preserve">Institute </w:t>
            </w:r>
            <w:r w:rsidRPr="00B3022A">
              <w:rPr>
                <w:b/>
                <w:bCs/>
                <w:sz w:val="20"/>
              </w:rPr>
              <w:t>Survey</w:t>
            </w:r>
          </w:p>
        </w:tc>
      </w:tr>
      <w:tr w:rsidR="006E7A98" w:rsidRPr="00B3022A" w:rsidTr="006E7A98">
        <w:trPr>
          <w:trHeight w:val="386"/>
        </w:trPr>
        <w:tc>
          <w:tcPr>
            <w:tcW w:w="1800" w:type="dxa"/>
            <w:vMerge w:val="restart"/>
            <w:shd w:val="clear" w:color="auto" w:fill="auto"/>
            <w:vAlign w:val="center"/>
          </w:tcPr>
          <w:p w:rsidR="006E7A98" w:rsidRPr="00B3022A" w:rsidRDefault="006E7A98" w:rsidP="006E7A98">
            <w:pPr>
              <w:jc w:val="center"/>
              <w:rPr>
                <w:sz w:val="20"/>
              </w:rPr>
            </w:pPr>
            <w:r w:rsidRPr="00B3022A">
              <w:rPr>
                <w:sz w:val="20"/>
              </w:rPr>
              <w:t xml:space="preserve">Type of </w:t>
            </w:r>
          </w:p>
          <w:p w:rsidR="006E7A98" w:rsidRPr="00B3022A" w:rsidRDefault="006E7A98" w:rsidP="006E7A98">
            <w:pPr>
              <w:jc w:val="center"/>
              <w:rPr>
                <w:sz w:val="20"/>
              </w:rPr>
            </w:pPr>
            <w:r w:rsidRPr="00B3022A">
              <w:rPr>
                <w:sz w:val="20"/>
              </w:rPr>
              <w:t>Harassment</w:t>
            </w:r>
          </w:p>
          <w:p w:rsidR="006E7A98" w:rsidRPr="00B3022A" w:rsidRDefault="006E7A98" w:rsidP="006E7A98">
            <w:pPr>
              <w:jc w:val="center"/>
              <w:rPr>
                <w:sz w:val="20"/>
              </w:rPr>
            </w:pPr>
            <w:r w:rsidRPr="00B3022A">
              <w:rPr>
                <w:sz w:val="20"/>
              </w:rPr>
              <w:t>or Violence</w:t>
            </w:r>
          </w:p>
          <w:p w:rsidR="006E7A98" w:rsidRPr="00B3022A" w:rsidRDefault="006E7A98" w:rsidP="006E7A98">
            <w:pPr>
              <w:jc w:val="center"/>
              <w:rPr>
                <w:sz w:val="20"/>
              </w:rPr>
            </w:pPr>
            <w:r w:rsidRPr="00B3022A">
              <w:rPr>
                <w:sz w:val="20"/>
              </w:rPr>
              <w:t xml:space="preserve">around campus </w:t>
            </w:r>
          </w:p>
          <w:p w:rsidR="006E7A98" w:rsidRPr="00B3022A" w:rsidRDefault="006E7A98" w:rsidP="006E7A98">
            <w:pPr>
              <w:jc w:val="center"/>
              <w:rPr>
                <w:sz w:val="20"/>
              </w:rPr>
            </w:pPr>
            <w:r w:rsidRPr="00B3022A">
              <w:rPr>
                <w:sz w:val="20"/>
              </w:rPr>
              <w:t>in past year</w:t>
            </w:r>
          </w:p>
        </w:tc>
        <w:tc>
          <w:tcPr>
            <w:tcW w:w="1939" w:type="dxa"/>
            <w:gridSpan w:val="2"/>
            <w:shd w:val="clear" w:color="auto" w:fill="auto"/>
            <w:vAlign w:val="center"/>
          </w:tcPr>
          <w:p w:rsidR="006E7A98" w:rsidRDefault="006E7A98" w:rsidP="006E7A98">
            <w:pPr>
              <w:jc w:val="center"/>
              <w:rPr>
                <w:sz w:val="20"/>
              </w:rPr>
            </w:pPr>
            <w:r>
              <w:rPr>
                <w:sz w:val="20"/>
              </w:rPr>
              <w:t>Greater New Orleans</w:t>
            </w:r>
          </w:p>
          <w:p w:rsidR="00A86304" w:rsidRPr="00B3022A" w:rsidRDefault="00A86304" w:rsidP="006E7A98">
            <w:pPr>
              <w:jc w:val="center"/>
              <w:rPr>
                <w:sz w:val="20"/>
              </w:rPr>
            </w:pPr>
            <w:r>
              <w:rPr>
                <w:sz w:val="20"/>
              </w:rPr>
              <w:t>2011</w:t>
            </w:r>
          </w:p>
        </w:tc>
        <w:tc>
          <w:tcPr>
            <w:tcW w:w="1939" w:type="dxa"/>
            <w:gridSpan w:val="2"/>
            <w:vAlign w:val="center"/>
          </w:tcPr>
          <w:p w:rsidR="006E7A98" w:rsidRDefault="006E7A98" w:rsidP="006E7A98">
            <w:pPr>
              <w:jc w:val="center"/>
              <w:rPr>
                <w:sz w:val="20"/>
              </w:rPr>
            </w:pPr>
            <w:r w:rsidRPr="00B3022A">
              <w:rPr>
                <w:sz w:val="20"/>
              </w:rPr>
              <w:t>Louisiana Statewide</w:t>
            </w:r>
          </w:p>
          <w:p w:rsidR="00A86304" w:rsidRPr="00B3022A" w:rsidRDefault="00A86304" w:rsidP="006E7A98">
            <w:pPr>
              <w:jc w:val="center"/>
              <w:rPr>
                <w:sz w:val="20"/>
              </w:rPr>
            </w:pPr>
            <w:r>
              <w:rPr>
                <w:sz w:val="20"/>
              </w:rPr>
              <w:t>2011</w:t>
            </w:r>
          </w:p>
        </w:tc>
        <w:tc>
          <w:tcPr>
            <w:tcW w:w="1940" w:type="dxa"/>
            <w:gridSpan w:val="2"/>
            <w:shd w:val="clear" w:color="auto" w:fill="auto"/>
            <w:vAlign w:val="center"/>
          </w:tcPr>
          <w:p w:rsidR="00A86304" w:rsidRDefault="006E7A98" w:rsidP="006E7A98">
            <w:pPr>
              <w:jc w:val="center"/>
              <w:rPr>
                <w:sz w:val="20"/>
              </w:rPr>
            </w:pPr>
            <w:r>
              <w:rPr>
                <w:sz w:val="20"/>
              </w:rPr>
              <w:t>National Sample</w:t>
            </w:r>
          </w:p>
          <w:p w:rsidR="006E7A98" w:rsidRPr="00B3022A" w:rsidRDefault="00A86304" w:rsidP="006E7A98">
            <w:pPr>
              <w:jc w:val="center"/>
              <w:rPr>
                <w:sz w:val="20"/>
              </w:rPr>
            </w:pPr>
            <w:r>
              <w:rPr>
                <w:sz w:val="20"/>
              </w:rPr>
              <w:t>2009</w:t>
            </w:r>
            <w:r w:rsidR="006E7A98">
              <w:rPr>
                <w:sz w:val="20"/>
              </w:rPr>
              <w:t>#</w:t>
            </w:r>
          </w:p>
        </w:tc>
      </w:tr>
      <w:tr w:rsidR="006E7A98" w:rsidRPr="00B3022A" w:rsidTr="006E7A98">
        <w:trPr>
          <w:trHeight w:val="620"/>
        </w:trPr>
        <w:tc>
          <w:tcPr>
            <w:tcW w:w="1800" w:type="dxa"/>
            <w:vMerge/>
            <w:shd w:val="clear" w:color="auto" w:fill="auto"/>
            <w:vAlign w:val="center"/>
          </w:tcPr>
          <w:p w:rsidR="006E7A98" w:rsidRPr="00B3022A" w:rsidRDefault="006E7A98" w:rsidP="006E7A98">
            <w:pPr>
              <w:jc w:val="center"/>
              <w:rPr>
                <w:sz w:val="20"/>
              </w:rPr>
            </w:pPr>
          </w:p>
        </w:tc>
        <w:tc>
          <w:tcPr>
            <w:tcW w:w="969" w:type="dxa"/>
            <w:shd w:val="clear" w:color="auto" w:fill="auto"/>
            <w:tcMar>
              <w:left w:w="14" w:type="dxa"/>
              <w:right w:w="0" w:type="dxa"/>
            </w:tcMar>
            <w:vAlign w:val="center"/>
          </w:tcPr>
          <w:p w:rsidR="006E7A98" w:rsidRPr="00B506C6" w:rsidRDefault="006E7A98" w:rsidP="006E7A98">
            <w:pPr>
              <w:jc w:val="center"/>
              <w:rPr>
                <w:sz w:val="18"/>
                <w:szCs w:val="18"/>
              </w:rPr>
            </w:pPr>
            <w:r w:rsidRPr="00B506C6">
              <w:rPr>
                <w:sz w:val="18"/>
                <w:szCs w:val="18"/>
              </w:rPr>
              <w:t>Experienced Harassment or Violence</w:t>
            </w:r>
          </w:p>
        </w:tc>
        <w:tc>
          <w:tcPr>
            <w:tcW w:w="970" w:type="dxa"/>
            <w:shd w:val="clear" w:color="auto" w:fill="auto"/>
            <w:tcMar>
              <w:left w:w="14" w:type="dxa"/>
              <w:right w:w="0" w:type="dxa"/>
            </w:tcMar>
            <w:vAlign w:val="center"/>
          </w:tcPr>
          <w:p w:rsidR="006E7A98" w:rsidRPr="00B506C6" w:rsidRDefault="006E7A98" w:rsidP="006E7A98">
            <w:pPr>
              <w:jc w:val="center"/>
              <w:rPr>
                <w:sz w:val="18"/>
                <w:szCs w:val="18"/>
              </w:rPr>
            </w:pPr>
            <w:r w:rsidRPr="00B506C6">
              <w:rPr>
                <w:sz w:val="18"/>
                <w:szCs w:val="18"/>
              </w:rPr>
              <w:t>Used Alcohol or Drugs Prior to Incident</w:t>
            </w:r>
          </w:p>
        </w:tc>
        <w:tc>
          <w:tcPr>
            <w:tcW w:w="970" w:type="dxa"/>
            <w:tcMar>
              <w:left w:w="14" w:type="dxa"/>
              <w:right w:w="0" w:type="dxa"/>
            </w:tcMar>
            <w:vAlign w:val="center"/>
          </w:tcPr>
          <w:p w:rsidR="006E7A98" w:rsidRPr="00B506C6" w:rsidRDefault="006E7A98" w:rsidP="006E7A98">
            <w:pPr>
              <w:jc w:val="center"/>
              <w:rPr>
                <w:sz w:val="18"/>
                <w:szCs w:val="18"/>
              </w:rPr>
            </w:pPr>
            <w:r w:rsidRPr="00B506C6">
              <w:rPr>
                <w:sz w:val="18"/>
                <w:szCs w:val="18"/>
              </w:rPr>
              <w:t>Experienced Harassment or Violence</w:t>
            </w:r>
          </w:p>
        </w:tc>
        <w:tc>
          <w:tcPr>
            <w:tcW w:w="969" w:type="dxa"/>
            <w:tcMar>
              <w:left w:w="14" w:type="dxa"/>
              <w:right w:w="0" w:type="dxa"/>
            </w:tcMar>
            <w:vAlign w:val="center"/>
          </w:tcPr>
          <w:p w:rsidR="006E7A98" w:rsidRPr="00B506C6" w:rsidRDefault="006E7A98" w:rsidP="006E7A98">
            <w:pPr>
              <w:jc w:val="center"/>
              <w:rPr>
                <w:sz w:val="18"/>
                <w:szCs w:val="18"/>
              </w:rPr>
            </w:pPr>
            <w:r w:rsidRPr="00B506C6">
              <w:rPr>
                <w:sz w:val="18"/>
                <w:szCs w:val="18"/>
              </w:rPr>
              <w:t>Used Alcohol or Drugs Prior to Incident</w:t>
            </w:r>
          </w:p>
        </w:tc>
        <w:tc>
          <w:tcPr>
            <w:tcW w:w="970" w:type="dxa"/>
            <w:shd w:val="clear" w:color="auto" w:fill="auto"/>
            <w:tcMar>
              <w:left w:w="14" w:type="dxa"/>
              <w:right w:w="0" w:type="dxa"/>
            </w:tcMar>
            <w:vAlign w:val="center"/>
          </w:tcPr>
          <w:p w:rsidR="006E7A98" w:rsidRPr="00B506C6" w:rsidRDefault="006E7A98" w:rsidP="006E7A98">
            <w:pPr>
              <w:jc w:val="center"/>
              <w:rPr>
                <w:sz w:val="18"/>
                <w:szCs w:val="18"/>
              </w:rPr>
            </w:pPr>
            <w:r w:rsidRPr="00B506C6">
              <w:rPr>
                <w:sz w:val="18"/>
                <w:szCs w:val="18"/>
              </w:rPr>
              <w:t>Experienced Harassment or Violence</w:t>
            </w:r>
          </w:p>
        </w:tc>
        <w:tc>
          <w:tcPr>
            <w:tcW w:w="970" w:type="dxa"/>
            <w:shd w:val="clear" w:color="auto" w:fill="auto"/>
            <w:tcMar>
              <w:left w:w="14" w:type="dxa"/>
              <w:right w:w="0" w:type="dxa"/>
            </w:tcMar>
            <w:vAlign w:val="center"/>
          </w:tcPr>
          <w:p w:rsidR="006E7A98" w:rsidRPr="00B506C6" w:rsidRDefault="006E7A98" w:rsidP="006E7A98">
            <w:pPr>
              <w:jc w:val="center"/>
              <w:rPr>
                <w:sz w:val="18"/>
                <w:szCs w:val="18"/>
              </w:rPr>
            </w:pPr>
            <w:r w:rsidRPr="00B506C6">
              <w:rPr>
                <w:sz w:val="18"/>
                <w:szCs w:val="18"/>
              </w:rPr>
              <w:t>Used Alcohol or Drugs Prior to Incident</w:t>
            </w:r>
          </w:p>
        </w:tc>
      </w:tr>
      <w:tr w:rsidR="006E7A98" w:rsidRPr="00B3022A" w:rsidTr="006E7A98">
        <w:trPr>
          <w:trHeight w:val="337"/>
        </w:trPr>
        <w:tc>
          <w:tcPr>
            <w:tcW w:w="1800" w:type="dxa"/>
            <w:shd w:val="clear" w:color="auto" w:fill="auto"/>
            <w:tcMar>
              <w:left w:w="29" w:type="dxa"/>
              <w:right w:w="0" w:type="dxa"/>
            </w:tcMar>
            <w:vAlign w:val="center"/>
          </w:tcPr>
          <w:p w:rsidR="006E7A98" w:rsidRPr="00B3022A" w:rsidRDefault="006E7A98" w:rsidP="006E7A98">
            <w:pPr>
              <w:rPr>
                <w:sz w:val="20"/>
              </w:rPr>
            </w:pPr>
            <w:r w:rsidRPr="00B3022A">
              <w:rPr>
                <w:sz w:val="20"/>
              </w:rPr>
              <w:t>Ethnic or racial harassment</w:t>
            </w:r>
          </w:p>
        </w:tc>
        <w:tc>
          <w:tcPr>
            <w:tcW w:w="969" w:type="dxa"/>
            <w:shd w:val="clear" w:color="auto" w:fill="auto"/>
            <w:vAlign w:val="center"/>
          </w:tcPr>
          <w:p w:rsidR="006E7A98" w:rsidRPr="00B3022A" w:rsidRDefault="006E7A98" w:rsidP="006E7A98">
            <w:pPr>
              <w:jc w:val="center"/>
              <w:rPr>
                <w:sz w:val="20"/>
              </w:rPr>
            </w:pPr>
            <w:r w:rsidRPr="00B3022A">
              <w:rPr>
                <w:sz w:val="20"/>
              </w:rPr>
              <w:t>8.6</w:t>
            </w:r>
          </w:p>
        </w:tc>
        <w:tc>
          <w:tcPr>
            <w:tcW w:w="970" w:type="dxa"/>
            <w:shd w:val="clear" w:color="auto" w:fill="auto"/>
            <w:vAlign w:val="center"/>
          </w:tcPr>
          <w:p w:rsidR="006E7A98" w:rsidRPr="00B3022A" w:rsidRDefault="006E7A98" w:rsidP="006E7A98">
            <w:pPr>
              <w:jc w:val="center"/>
              <w:rPr>
                <w:sz w:val="20"/>
              </w:rPr>
            </w:pPr>
            <w:r>
              <w:rPr>
                <w:sz w:val="20"/>
              </w:rPr>
              <w:t>9</w:t>
            </w:r>
            <w:r w:rsidRPr="00B3022A">
              <w:rPr>
                <w:sz w:val="20"/>
              </w:rPr>
              <w:t>.0</w:t>
            </w:r>
          </w:p>
        </w:tc>
        <w:tc>
          <w:tcPr>
            <w:tcW w:w="970" w:type="dxa"/>
            <w:vAlign w:val="center"/>
          </w:tcPr>
          <w:p w:rsidR="006E7A98" w:rsidRPr="00B3022A" w:rsidRDefault="006E7A98" w:rsidP="006E7A98">
            <w:pPr>
              <w:jc w:val="center"/>
              <w:rPr>
                <w:sz w:val="20"/>
              </w:rPr>
            </w:pPr>
            <w:r w:rsidRPr="00B3022A">
              <w:rPr>
                <w:sz w:val="20"/>
              </w:rPr>
              <w:t>7.0</w:t>
            </w:r>
          </w:p>
        </w:tc>
        <w:tc>
          <w:tcPr>
            <w:tcW w:w="969" w:type="dxa"/>
            <w:vAlign w:val="center"/>
          </w:tcPr>
          <w:p w:rsidR="006E7A98" w:rsidRPr="00B3022A" w:rsidRDefault="006E7A98" w:rsidP="006E7A98">
            <w:pPr>
              <w:jc w:val="center"/>
              <w:rPr>
                <w:sz w:val="20"/>
              </w:rPr>
            </w:pPr>
            <w:r w:rsidRPr="00B3022A">
              <w:rPr>
                <w:sz w:val="20"/>
              </w:rPr>
              <w:t>10.7</w:t>
            </w:r>
          </w:p>
        </w:tc>
        <w:tc>
          <w:tcPr>
            <w:tcW w:w="970" w:type="dxa"/>
            <w:shd w:val="clear" w:color="auto" w:fill="auto"/>
            <w:vAlign w:val="center"/>
          </w:tcPr>
          <w:p w:rsidR="006E7A98" w:rsidRPr="00B3022A" w:rsidRDefault="006E7A98" w:rsidP="006E7A98">
            <w:pPr>
              <w:jc w:val="center"/>
              <w:rPr>
                <w:sz w:val="20"/>
              </w:rPr>
            </w:pPr>
            <w:r>
              <w:rPr>
                <w:sz w:val="20"/>
              </w:rPr>
              <w:t>6.4</w:t>
            </w:r>
          </w:p>
        </w:tc>
        <w:tc>
          <w:tcPr>
            <w:tcW w:w="970" w:type="dxa"/>
            <w:shd w:val="clear" w:color="auto" w:fill="auto"/>
            <w:vAlign w:val="center"/>
          </w:tcPr>
          <w:p w:rsidR="006E7A98" w:rsidRPr="00B3022A" w:rsidRDefault="006E7A98" w:rsidP="006E7A98">
            <w:pPr>
              <w:jc w:val="center"/>
              <w:rPr>
                <w:sz w:val="20"/>
              </w:rPr>
            </w:pPr>
            <w:r>
              <w:rPr>
                <w:sz w:val="20"/>
              </w:rPr>
              <w:t>14.2</w:t>
            </w:r>
          </w:p>
        </w:tc>
      </w:tr>
      <w:tr w:rsidR="006E7A98" w:rsidRPr="00B3022A" w:rsidTr="006E7A98">
        <w:trPr>
          <w:trHeight w:val="337"/>
        </w:trPr>
        <w:tc>
          <w:tcPr>
            <w:tcW w:w="1800" w:type="dxa"/>
            <w:shd w:val="clear" w:color="auto" w:fill="auto"/>
            <w:tcMar>
              <w:left w:w="29" w:type="dxa"/>
              <w:right w:w="0" w:type="dxa"/>
            </w:tcMar>
            <w:vAlign w:val="center"/>
          </w:tcPr>
          <w:p w:rsidR="006E7A98" w:rsidRPr="00B3022A" w:rsidRDefault="006E7A98" w:rsidP="006E7A98">
            <w:pPr>
              <w:rPr>
                <w:sz w:val="20"/>
              </w:rPr>
            </w:pPr>
            <w:r w:rsidRPr="00B3022A">
              <w:rPr>
                <w:sz w:val="20"/>
              </w:rPr>
              <w:t>Threats of physical violence</w:t>
            </w:r>
          </w:p>
        </w:tc>
        <w:tc>
          <w:tcPr>
            <w:tcW w:w="969" w:type="dxa"/>
            <w:shd w:val="clear" w:color="auto" w:fill="auto"/>
            <w:vAlign w:val="center"/>
          </w:tcPr>
          <w:p w:rsidR="006E7A98" w:rsidRPr="00B3022A" w:rsidRDefault="006E7A98" w:rsidP="006E7A98">
            <w:pPr>
              <w:jc w:val="center"/>
              <w:rPr>
                <w:sz w:val="20"/>
              </w:rPr>
            </w:pPr>
            <w:r w:rsidRPr="00B3022A">
              <w:rPr>
                <w:sz w:val="20"/>
              </w:rPr>
              <w:t>10.6</w:t>
            </w:r>
          </w:p>
        </w:tc>
        <w:tc>
          <w:tcPr>
            <w:tcW w:w="970" w:type="dxa"/>
            <w:shd w:val="clear" w:color="auto" w:fill="auto"/>
            <w:vAlign w:val="center"/>
          </w:tcPr>
          <w:p w:rsidR="006E7A98" w:rsidRPr="00B3022A" w:rsidRDefault="006E7A98" w:rsidP="006E7A98">
            <w:pPr>
              <w:jc w:val="center"/>
              <w:rPr>
                <w:sz w:val="20"/>
              </w:rPr>
            </w:pPr>
            <w:r>
              <w:rPr>
                <w:sz w:val="20"/>
              </w:rPr>
              <w:t>49.7</w:t>
            </w:r>
          </w:p>
        </w:tc>
        <w:tc>
          <w:tcPr>
            <w:tcW w:w="970" w:type="dxa"/>
            <w:vAlign w:val="center"/>
          </w:tcPr>
          <w:p w:rsidR="006E7A98" w:rsidRPr="00B3022A" w:rsidRDefault="006E7A98" w:rsidP="006E7A98">
            <w:pPr>
              <w:jc w:val="center"/>
              <w:rPr>
                <w:sz w:val="20"/>
              </w:rPr>
            </w:pPr>
            <w:r w:rsidRPr="00B3022A">
              <w:rPr>
                <w:sz w:val="20"/>
              </w:rPr>
              <w:t>7.4</w:t>
            </w:r>
          </w:p>
        </w:tc>
        <w:tc>
          <w:tcPr>
            <w:tcW w:w="969" w:type="dxa"/>
            <w:vAlign w:val="center"/>
          </w:tcPr>
          <w:p w:rsidR="006E7A98" w:rsidRPr="00B3022A" w:rsidRDefault="006E7A98" w:rsidP="006E7A98">
            <w:pPr>
              <w:jc w:val="center"/>
              <w:rPr>
                <w:sz w:val="20"/>
              </w:rPr>
            </w:pPr>
            <w:r w:rsidRPr="00B3022A">
              <w:rPr>
                <w:sz w:val="20"/>
              </w:rPr>
              <w:t>39.5</w:t>
            </w:r>
          </w:p>
        </w:tc>
        <w:tc>
          <w:tcPr>
            <w:tcW w:w="970" w:type="dxa"/>
            <w:shd w:val="clear" w:color="auto" w:fill="auto"/>
            <w:vAlign w:val="center"/>
          </w:tcPr>
          <w:p w:rsidR="006E7A98" w:rsidRPr="00B3022A" w:rsidRDefault="006E7A98" w:rsidP="006E7A98">
            <w:pPr>
              <w:jc w:val="center"/>
              <w:rPr>
                <w:sz w:val="20"/>
              </w:rPr>
            </w:pPr>
            <w:r>
              <w:rPr>
                <w:sz w:val="20"/>
              </w:rPr>
              <w:t>8.0</w:t>
            </w:r>
          </w:p>
        </w:tc>
        <w:tc>
          <w:tcPr>
            <w:tcW w:w="970" w:type="dxa"/>
            <w:shd w:val="clear" w:color="auto" w:fill="auto"/>
            <w:vAlign w:val="center"/>
          </w:tcPr>
          <w:p w:rsidR="006E7A98" w:rsidRPr="00B3022A" w:rsidRDefault="006E7A98" w:rsidP="006E7A98">
            <w:pPr>
              <w:jc w:val="center"/>
              <w:rPr>
                <w:sz w:val="20"/>
              </w:rPr>
            </w:pPr>
            <w:r>
              <w:rPr>
                <w:sz w:val="20"/>
              </w:rPr>
              <w:t>43.7</w:t>
            </w:r>
          </w:p>
        </w:tc>
      </w:tr>
      <w:tr w:rsidR="006E7A98" w:rsidRPr="00B3022A" w:rsidTr="006E7A98">
        <w:trPr>
          <w:trHeight w:val="337"/>
        </w:trPr>
        <w:tc>
          <w:tcPr>
            <w:tcW w:w="1800" w:type="dxa"/>
            <w:shd w:val="clear" w:color="auto" w:fill="auto"/>
            <w:tcMar>
              <w:left w:w="29" w:type="dxa"/>
              <w:right w:w="0" w:type="dxa"/>
            </w:tcMar>
            <w:vAlign w:val="center"/>
          </w:tcPr>
          <w:p w:rsidR="006E7A98" w:rsidRPr="00B3022A" w:rsidRDefault="006E7A98" w:rsidP="006E7A98">
            <w:pPr>
              <w:rPr>
                <w:sz w:val="20"/>
              </w:rPr>
            </w:pPr>
            <w:r w:rsidRPr="00B3022A">
              <w:rPr>
                <w:sz w:val="20"/>
              </w:rPr>
              <w:t>Actual physical violence</w:t>
            </w:r>
          </w:p>
        </w:tc>
        <w:tc>
          <w:tcPr>
            <w:tcW w:w="969" w:type="dxa"/>
            <w:shd w:val="clear" w:color="auto" w:fill="auto"/>
            <w:vAlign w:val="center"/>
          </w:tcPr>
          <w:p w:rsidR="006E7A98" w:rsidRPr="00B3022A" w:rsidRDefault="006E7A98" w:rsidP="006E7A98">
            <w:pPr>
              <w:jc w:val="center"/>
              <w:rPr>
                <w:sz w:val="20"/>
              </w:rPr>
            </w:pPr>
            <w:r w:rsidRPr="00B3022A">
              <w:rPr>
                <w:sz w:val="20"/>
              </w:rPr>
              <w:t>5.9</w:t>
            </w:r>
          </w:p>
        </w:tc>
        <w:tc>
          <w:tcPr>
            <w:tcW w:w="970" w:type="dxa"/>
            <w:shd w:val="clear" w:color="auto" w:fill="auto"/>
            <w:vAlign w:val="center"/>
          </w:tcPr>
          <w:p w:rsidR="006E7A98" w:rsidRPr="00B3022A" w:rsidRDefault="006E7A98" w:rsidP="006E7A98">
            <w:pPr>
              <w:jc w:val="center"/>
              <w:rPr>
                <w:sz w:val="20"/>
              </w:rPr>
            </w:pPr>
            <w:r>
              <w:rPr>
                <w:sz w:val="20"/>
              </w:rPr>
              <w:t>60.2</w:t>
            </w:r>
          </w:p>
        </w:tc>
        <w:tc>
          <w:tcPr>
            <w:tcW w:w="970" w:type="dxa"/>
            <w:vAlign w:val="center"/>
          </w:tcPr>
          <w:p w:rsidR="006E7A98" w:rsidRPr="00B3022A" w:rsidRDefault="006E7A98" w:rsidP="006E7A98">
            <w:pPr>
              <w:jc w:val="center"/>
              <w:rPr>
                <w:sz w:val="20"/>
              </w:rPr>
            </w:pPr>
            <w:r w:rsidRPr="00B3022A">
              <w:rPr>
                <w:sz w:val="20"/>
              </w:rPr>
              <w:t>4.2</w:t>
            </w:r>
          </w:p>
        </w:tc>
        <w:tc>
          <w:tcPr>
            <w:tcW w:w="969" w:type="dxa"/>
            <w:vAlign w:val="center"/>
          </w:tcPr>
          <w:p w:rsidR="006E7A98" w:rsidRPr="00B3022A" w:rsidRDefault="006E7A98" w:rsidP="006E7A98">
            <w:pPr>
              <w:jc w:val="center"/>
              <w:rPr>
                <w:sz w:val="20"/>
              </w:rPr>
            </w:pPr>
            <w:r w:rsidRPr="00B3022A">
              <w:rPr>
                <w:sz w:val="20"/>
              </w:rPr>
              <w:t>47.0</w:t>
            </w:r>
          </w:p>
        </w:tc>
        <w:tc>
          <w:tcPr>
            <w:tcW w:w="970" w:type="dxa"/>
            <w:shd w:val="clear" w:color="auto" w:fill="auto"/>
            <w:vAlign w:val="center"/>
          </w:tcPr>
          <w:p w:rsidR="006E7A98" w:rsidRPr="00B3022A" w:rsidRDefault="006E7A98" w:rsidP="006E7A98">
            <w:pPr>
              <w:jc w:val="center"/>
              <w:rPr>
                <w:sz w:val="20"/>
              </w:rPr>
            </w:pPr>
            <w:r>
              <w:rPr>
                <w:sz w:val="20"/>
              </w:rPr>
              <w:t>4.0</w:t>
            </w:r>
          </w:p>
        </w:tc>
        <w:tc>
          <w:tcPr>
            <w:tcW w:w="970" w:type="dxa"/>
            <w:shd w:val="clear" w:color="auto" w:fill="auto"/>
            <w:vAlign w:val="center"/>
          </w:tcPr>
          <w:p w:rsidR="006E7A98" w:rsidRPr="00B3022A" w:rsidRDefault="006E7A98" w:rsidP="006E7A98">
            <w:pPr>
              <w:jc w:val="center"/>
              <w:rPr>
                <w:sz w:val="20"/>
              </w:rPr>
            </w:pPr>
            <w:r>
              <w:rPr>
                <w:sz w:val="20"/>
              </w:rPr>
              <w:t>54.7</w:t>
            </w:r>
          </w:p>
        </w:tc>
      </w:tr>
      <w:tr w:rsidR="006E7A98" w:rsidRPr="00B3022A" w:rsidTr="006E7A98">
        <w:trPr>
          <w:trHeight w:val="337"/>
        </w:trPr>
        <w:tc>
          <w:tcPr>
            <w:tcW w:w="1800" w:type="dxa"/>
            <w:shd w:val="clear" w:color="auto" w:fill="auto"/>
            <w:tcMar>
              <w:left w:w="29" w:type="dxa"/>
              <w:right w:w="0" w:type="dxa"/>
            </w:tcMar>
            <w:vAlign w:val="center"/>
          </w:tcPr>
          <w:p w:rsidR="006E7A98" w:rsidRPr="00B3022A" w:rsidRDefault="006E7A98" w:rsidP="006E7A98">
            <w:pPr>
              <w:rPr>
                <w:sz w:val="20"/>
              </w:rPr>
            </w:pPr>
            <w:r w:rsidRPr="00B3022A">
              <w:rPr>
                <w:sz w:val="20"/>
              </w:rPr>
              <w:t>Theft involving force or threat of force</w:t>
            </w:r>
          </w:p>
        </w:tc>
        <w:tc>
          <w:tcPr>
            <w:tcW w:w="969" w:type="dxa"/>
            <w:shd w:val="clear" w:color="auto" w:fill="auto"/>
            <w:vAlign w:val="center"/>
          </w:tcPr>
          <w:p w:rsidR="006E7A98" w:rsidRPr="00B3022A" w:rsidRDefault="006E7A98" w:rsidP="006E7A98">
            <w:pPr>
              <w:jc w:val="center"/>
              <w:rPr>
                <w:sz w:val="20"/>
              </w:rPr>
            </w:pPr>
            <w:r w:rsidRPr="00B3022A">
              <w:rPr>
                <w:sz w:val="20"/>
              </w:rPr>
              <w:t>2.0</w:t>
            </w:r>
          </w:p>
        </w:tc>
        <w:tc>
          <w:tcPr>
            <w:tcW w:w="970" w:type="dxa"/>
            <w:shd w:val="clear" w:color="auto" w:fill="auto"/>
            <w:vAlign w:val="center"/>
          </w:tcPr>
          <w:p w:rsidR="006E7A98" w:rsidRPr="00B3022A" w:rsidRDefault="006E7A98" w:rsidP="006E7A98">
            <w:pPr>
              <w:jc w:val="center"/>
              <w:rPr>
                <w:sz w:val="20"/>
              </w:rPr>
            </w:pPr>
            <w:r>
              <w:rPr>
                <w:sz w:val="20"/>
              </w:rPr>
              <w:t>34.8</w:t>
            </w:r>
          </w:p>
        </w:tc>
        <w:tc>
          <w:tcPr>
            <w:tcW w:w="970" w:type="dxa"/>
            <w:vAlign w:val="center"/>
          </w:tcPr>
          <w:p w:rsidR="006E7A98" w:rsidRPr="00B3022A" w:rsidRDefault="006E7A98" w:rsidP="006E7A98">
            <w:pPr>
              <w:jc w:val="center"/>
              <w:rPr>
                <w:sz w:val="20"/>
              </w:rPr>
            </w:pPr>
            <w:r w:rsidRPr="00B3022A">
              <w:rPr>
                <w:sz w:val="20"/>
              </w:rPr>
              <w:t>1.7</w:t>
            </w:r>
          </w:p>
        </w:tc>
        <w:tc>
          <w:tcPr>
            <w:tcW w:w="969" w:type="dxa"/>
            <w:vAlign w:val="center"/>
          </w:tcPr>
          <w:p w:rsidR="006E7A98" w:rsidRPr="00B3022A" w:rsidRDefault="006E7A98" w:rsidP="006E7A98">
            <w:pPr>
              <w:jc w:val="center"/>
              <w:rPr>
                <w:sz w:val="20"/>
              </w:rPr>
            </w:pPr>
            <w:r w:rsidRPr="00B3022A">
              <w:rPr>
                <w:sz w:val="20"/>
              </w:rPr>
              <w:t>41.4</w:t>
            </w:r>
          </w:p>
        </w:tc>
        <w:tc>
          <w:tcPr>
            <w:tcW w:w="970" w:type="dxa"/>
            <w:shd w:val="clear" w:color="auto" w:fill="auto"/>
            <w:vAlign w:val="center"/>
          </w:tcPr>
          <w:p w:rsidR="006E7A98" w:rsidRPr="00B3022A" w:rsidRDefault="006E7A98" w:rsidP="006E7A98">
            <w:pPr>
              <w:jc w:val="center"/>
              <w:rPr>
                <w:sz w:val="20"/>
              </w:rPr>
            </w:pPr>
            <w:r>
              <w:rPr>
                <w:sz w:val="20"/>
              </w:rPr>
              <w:t>1.7</w:t>
            </w:r>
          </w:p>
        </w:tc>
        <w:tc>
          <w:tcPr>
            <w:tcW w:w="970" w:type="dxa"/>
            <w:shd w:val="clear" w:color="auto" w:fill="auto"/>
            <w:vAlign w:val="center"/>
          </w:tcPr>
          <w:p w:rsidR="006E7A98" w:rsidRPr="00B3022A" w:rsidRDefault="006E7A98" w:rsidP="006E7A98">
            <w:pPr>
              <w:jc w:val="center"/>
              <w:rPr>
                <w:sz w:val="20"/>
              </w:rPr>
            </w:pPr>
            <w:r>
              <w:rPr>
                <w:sz w:val="20"/>
              </w:rPr>
              <w:t>33.5</w:t>
            </w:r>
          </w:p>
        </w:tc>
      </w:tr>
      <w:tr w:rsidR="006E7A98" w:rsidRPr="00B3022A" w:rsidTr="006E7A98">
        <w:trPr>
          <w:trHeight w:val="337"/>
        </w:trPr>
        <w:tc>
          <w:tcPr>
            <w:tcW w:w="1800" w:type="dxa"/>
            <w:shd w:val="clear" w:color="auto" w:fill="auto"/>
            <w:tcMar>
              <w:left w:w="29" w:type="dxa"/>
              <w:right w:w="0" w:type="dxa"/>
            </w:tcMar>
            <w:vAlign w:val="center"/>
          </w:tcPr>
          <w:p w:rsidR="006E7A98" w:rsidRPr="00B3022A" w:rsidRDefault="006E7A98" w:rsidP="006E7A98">
            <w:pPr>
              <w:rPr>
                <w:sz w:val="20"/>
              </w:rPr>
            </w:pPr>
            <w:r w:rsidRPr="00B3022A">
              <w:rPr>
                <w:sz w:val="20"/>
              </w:rPr>
              <w:t>Forced sexual touching or fondling</w:t>
            </w:r>
          </w:p>
        </w:tc>
        <w:tc>
          <w:tcPr>
            <w:tcW w:w="969" w:type="dxa"/>
            <w:shd w:val="clear" w:color="auto" w:fill="auto"/>
            <w:vAlign w:val="center"/>
          </w:tcPr>
          <w:p w:rsidR="006E7A98" w:rsidRPr="00B3022A" w:rsidRDefault="006E7A98" w:rsidP="006E7A98">
            <w:pPr>
              <w:jc w:val="center"/>
              <w:rPr>
                <w:sz w:val="20"/>
              </w:rPr>
            </w:pPr>
            <w:r w:rsidRPr="00B3022A">
              <w:rPr>
                <w:sz w:val="20"/>
              </w:rPr>
              <w:t>5.6</w:t>
            </w:r>
          </w:p>
        </w:tc>
        <w:tc>
          <w:tcPr>
            <w:tcW w:w="970" w:type="dxa"/>
            <w:shd w:val="clear" w:color="auto" w:fill="auto"/>
            <w:vAlign w:val="center"/>
          </w:tcPr>
          <w:p w:rsidR="006E7A98" w:rsidRPr="00B3022A" w:rsidRDefault="006E7A98" w:rsidP="006E7A98">
            <w:pPr>
              <w:jc w:val="center"/>
              <w:rPr>
                <w:sz w:val="20"/>
              </w:rPr>
            </w:pPr>
            <w:r>
              <w:rPr>
                <w:sz w:val="20"/>
              </w:rPr>
              <w:t>68.6</w:t>
            </w:r>
          </w:p>
        </w:tc>
        <w:tc>
          <w:tcPr>
            <w:tcW w:w="970" w:type="dxa"/>
            <w:vAlign w:val="center"/>
          </w:tcPr>
          <w:p w:rsidR="006E7A98" w:rsidRPr="00B3022A" w:rsidRDefault="006E7A98" w:rsidP="006E7A98">
            <w:pPr>
              <w:jc w:val="center"/>
              <w:rPr>
                <w:sz w:val="20"/>
              </w:rPr>
            </w:pPr>
            <w:r w:rsidRPr="00B3022A">
              <w:rPr>
                <w:sz w:val="20"/>
              </w:rPr>
              <w:t>3.2</w:t>
            </w:r>
          </w:p>
        </w:tc>
        <w:tc>
          <w:tcPr>
            <w:tcW w:w="969" w:type="dxa"/>
            <w:vAlign w:val="center"/>
          </w:tcPr>
          <w:p w:rsidR="006E7A98" w:rsidRPr="00B3022A" w:rsidRDefault="006E7A98" w:rsidP="006E7A98">
            <w:pPr>
              <w:jc w:val="center"/>
              <w:rPr>
                <w:sz w:val="20"/>
              </w:rPr>
            </w:pPr>
            <w:r w:rsidRPr="00B3022A">
              <w:rPr>
                <w:sz w:val="20"/>
              </w:rPr>
              <w:t>58.7</w:t>
            </w:r>
          </w:p>
        </w:tc>
        <w:tc>
          <w:tcPr>
            <w:tcW w:w="970" w:type="dxa"/>
            <w:shd w:val="clear" w:color="auto" w:fill="auto"/>
            <w:vAlign w:val="center"/>
          </w:tcPr>
          <w:p w:rsidR="006E7A98" w:rsidRPr="00B3022A" w:rsidRDefault="006E7A98" w:rsidP="006E7A98">
            <w:pPr>
              <w:jc w:val="center"/>
              <w:rPr>
                <w:sz w:val="20"/>
              </w:rPr>
            </w:pPr>
            <w:r>
              <w:rPr>
                <w:sz w:val="20"/>
              </w:rPr>
              <w:t>4.2</w:t>
            </w:r>
          </w:p>
        </w:tc>
        <w:tc>
          <w:tcPr>
            <w:tcW w:w="970" w:type="dxa"/>
            <w:shd w:val="clear" w:color="auto" w:fill="auto"/>
            <w:vAlign w:val="center"/>
          </w:tcPr>
          <w:p w:rsidR="006E7A98" w:rsidRPr="00B3022A" w:rsidRDefault="006E7A98" w:rsidP="006E7A98">
            <w:pPr>
              <w:jc w:val="center"/>
              <w:rPr>
                <w:sz w:val="20"/>
              </w:rPr>
            </w:pPr>
            <w:r>
              <w:rPr>
                <w:sz w:val="20"/>
              </w:rPr>
              <w:t>66.2</w:t>
            </w:r>
          </w:p>
        </w:tc>
      </w:tr>
      <w:tr w:rsidR="006E7A98" w:rsidRPr="00B3022A" w:rsidTr="006E7A98">
        <w:trPr>
          <w:trHeight w:val="337"/>
        </w:trPr>
        <w:tc>
          <w:tcPr>
            <w:tcW w:w="1800" w:type="dxa"/>
            <w:tcBorders>
              <w:bottom w:val="single" w:sz="4" w:space="0" w:color="auto"/>
            </w:tcBorders>
            <w:shd w:val="clear" w:color="auto" w:fill="auto"/>
            <w:tcMar>
              <w:left w:w="29" w:type="dxa"/>
              <w:right w:w="0" w:type="dxa"/>
            </w:tcMar>
            <w:vAlign w:val="center"/>
          </w:tcPr>
          <w:p w:rsidR="006E7A98" w:rsidRPr="00B3022A" w:rsidRDefault="006E7A98" w:rsidP="006E7A98">
            <w:pPr>
              <w:rPr>
                <w:sz w:val="20"/>
              </w:rPr>
            </w:pPr>
            <w:r w:rsidRPr="00B3022A">
              <w:rPr>
                <w:sz w:val="20"/>
              </w:rPr>
              <w:t>Unwanted sexual intercourse</w:t>
            </w:r>
          </w:p>
        </w:tc>
        <w:tc>
          <w:tcPr>
            <w:tcW w:w="969" w:type="dxa"/>
            <w:tcBorders>
              <w:bottom w:val="single" w:sz="4" w:space="0" w:color="auto"/>
            </w:tcBorders>
            <w:shd w:val="clear" w:color="auto" w:fill="auto"/>
            <w:vAlign w:val="center"/>
          </w:tcPr>
          <w:p w:rsidR="006E7A98" w:rsidRPr="00B3022A" w:rsidRDefault="006E7A98" w:rsidP="006E7A98">
            <w:pPr>
              <w:jc w:val="center"/>
              <w:rPr>
                <w:sz w:val="20"/>
              </w:rPr>
            </w:pPr>
            <w:r w:rsidRPr="00B3022A">
              <w:rPr>
                <w:sz w:val="20"/>
              </w:rPr>
              <w:t>4.5</w:t>
            </w:r>
          </w:p>
        </w:tc>
        <w:tc>
          <w:tcPr>
            <w:tcW w:w="970" w:type="dxa"/>
            <w:tcBorders>
              <w:bottom w:val="single" w:sz="4" w:space="0" w:color="auto"/>
            </w:tcBorders>
            <w:shd w:val="clear" w:color="auto" w:fill="auto"/>
            <w:vAlign w:val="center"/>
          </w:tcPr>
          <w:p w:rsidR="006E7A98" w:rsidRPr="00B3022A" w:rsidRDefault="006E7A98" w:rsidP="006E7A98">
            <w:pPr>
              <w:jc w:val="center"/>
              <w:rPr>
                <w:sz w:val="20"/>
              </w:rPr>
            </w:pPr>
            <w:r>
              <w:rPr>
                <w:sz w:val="20"/>
              </w:rPr>
              <w:t>71.9</w:t>
            </w:r>
          </w:p>
        </w:tc>
        <w:tc>
          <w:tcPr>
            <w:tcW w:w="970" w:type="dxa"/>
            <w:tcBorders>
              <w:bottom w:val="single" w:sz="4" w:space="0" w:color="auto"/>
            </w:tcBorders>
            <w:vAlign w:val="center"/>
          </w:tcPr>
          <w:p w:rsidR="006E7A98" w:rsidRPr="00B3022A" w:rsidRDefault="006E7A98" w:rsidP="006E7A98">
            <w:pPr>
              <w:jc w:val="center"/>
              <w:rPr>
                <w:sz w:val="20"/>
              </w:rPr>
            </w:pPr>
            <w:r w:rsidRPr="00B3022A">
              <w:rPr>
                <w:sz w:val="20"/>
              </w:rPr>
              <w:t>2.7</w:t>
            </w:r>
          </w:p>
        </w:tc>
        <w:tc>
          <w:tcPr>
            <w:tcW w:w="969" w:type="dxa"/>
            <w:tcBorders>
              <w:bottom w:val="single" w:sz="4" w:space="0" w:color="auto"/>
            </w:tcBorders>
            <w:vAlign w:val="center"/>
          </w:tcPr>
          <w:p w:rsidR="006E7A98" w:rsidRPr="00B3022A" w:rsidRDefault="006E7A98" w:rsidP="006E7A98">
            <w:pPr>
              <w:jc w:val="center"/>
              <w:rPr>
                <w:sz w:val="20"/>
              </w:rPr>
            </w:pPr>
            <w:r w:rsidRPr="00B3022A">
              <w:rPr>
                <w:sz w:val="20"/>
              </w:rPr>
              <w:t>67.1</w:t>
            </w:r>
          </w:p>
        </w:tc>
        <w:tc>
          <w:tcPr>
            <w:tcW w:w="970" w:type="dxa"/>
            <w:tcBorders>
              <w:bottom w:val="single" w:sz="4" w:space="0" w:color="auto"/>
            </w:tcBorders>
            <w:shd w:val="clear" w:color="auto" w:fill="auto"/>
            <w:vAlign w:val="center"/>
          </w:tcPr>
          <w:p w:rsidR="006E7A98" w:rsidRPr="00B3022A" w:rsidRDefault="006E7A98" w:rsidP="006E7A98">
            <w:pPr>
              <w:jc w:val="center"/>
              <w:rPr>
                <w:sz w:val="20"/>
              </w:rPr>
            </w:pPr>
            <w:r>
              <w:rPr>
                <w:sz w:val="20"/>
              </w:rPr>
              <w:t>2.7</w:t>
            </w:r>
          </w:p>
        </w:tc>
        <w:tc>
          <w:tcPr>
            <w:tcW w:w="970" w:type="dxa"/>
            <w:tcBorders>
              <w:bottom w:val="single" w:sz="4" w:space="0" w:color="auto"/>
            </w:tcBorders>
            <w:shd w:val="clear" w:color="auto" w:fill="auto"/>
            <w:vAlign w:val="center"/>
          </w:tcPr>
          <w:p w:rsidR="006E7A98" w:rsidRPr="00B3022A" w:rsidRDefault="006E7A98" w:rsidP="006E7A98">
            <w:pPr>
              <w:jc w:val="center"/>
              <w:rPr>
                <w:sz w:val="20"/>
              </w:rPr>
            </w:pPr>
            <w:r>
              <w:rPr>
                <w:sz w:val="20"/>
              </w:rPr>
              <w:t>75.6</w:t>
            </w:r>
          </w:p>
        </w:tc>
      </w:tr>
      <w:tr w:rsidR="006E7A98" w:rsidRPr="00B3022A" w:rsidTr="006E7A98">
        <w:trPr>
          <w:trHeight w:val="439"/>
        </w:trPr>
        <w:tc>
          <w:tcPr>
            <w:tcW w:w="7618" w:type="dxa"/>
            <w:gridSpan w:val="7"/>
            <w:tcBorders>
              <w:left w:val="nil"/>
              <w:bottom w:val="nil"/>
              <w:right w:val="nil"/>
            </w:tcBorders>
            <w:shd w:val="clear" w:color="auto" w:fill="auto"/>
            <w:tcMar>
              <w:left w:w="29" w:type="dxa"/>
              <w:right w:w="0" w:type="dxa"/>
            </w:tcMar>
            <w:vAlign w:val="center"/>
          </w:tcPr>
          <w:p w:rsidR="006E7A98" w:rsidRDefault="006E7A98" w:rsidP="006E7A98">
            <w:pPr>
              <w:rPr>
                <w:color w:val="000000"/>
                <w:sz w:val="16"/>
                <w:szCs w:val="16"/>
              </w:rPr>
            </w:pPr>
            <w:r w:rsidRPr="00A016C9">
              <w:rPr>
                <w:color w:val="000000"/>
                <w:sz w:val="14"/>
                <w:szCs w:val="14"/>
              </w:rPr>
              <w:t>#These figures are from the 2009 national sample; figures for 2011 have not been published online.</w:t>
            </w:r>
            <w:r>
              <w:rPr>
                <w:color w:val="000000"/>
                <w:sz w:val="16"/>
                <w:szCs w:val="16"/>
              </w:rPr>
              <w:t xml:space="preserve"> </w:t>
            </w:r>
          </w:p>
          <w:p w:rsidR="006E7A98" w:rsidRPr="00BC7CCD" w:rsidRDefault="006E7A98" w:rsidP="006E7A98">
            <w:pPr>
              <w:rPr>
                <w:sz w:val="14"/>
                <w:szCs w:val="14"/>
              </w:rPr>
            </w:pPr>
            <w:r>
              <w:rPr>
                <w:color w:val="000000"/>
                <w:sz w:val="16"/>
                <w:szCs w:val="16"/>
              </w:rPr>
              <w:t xml:space="preserve"> </w:t>
            </w:r>
            <w:r w:rsidRPr="001F6A6D">
              <w:rPr>
                <w:sz w:val="18"/>
                <w:szCs w:val="18"/>
              </w:rPr>
              <w:t xml:space="preserve"> </w:t>
            </w:r>
            <w:r w:rsidRPr="001F6A6D">
              <w:rPr>
                <w:color w:val="000000"/>
                <w:sz w:val="16"/>
                <w:szCs w:val="16"/>
              </w:rPr>
              <w:t xml:space="preserve">Data Source: </w:t>
            </w:r>
            <w:r w:rsidRPr="008723FC">
              <w:rPr>
                <w:sz w:val="18"/>
                <w:szCs w:val="18"/>
                <w:lang w:val="en"/>
              </w:rPr>
              <w:t xml:space="preserve"> </w:t>
            </w:r>
            <w:r w:rsidRPr="008723FC">
              <w:rPr>
                <w:color w:val="000000"/>
                <w:sz w:val="16"/>
                <w:szCs w:val="16"/>
                <w:lang w:val="en"/>
              </w:rPr>
              <w:t>Louisiana Center Addressing Substance Use</w:t>
            </w:r>
            <w:r>
              <w:rPr>
                <w:color w:val="000000"/>
                <w:sz w:val="16"/>
                <w:szCs w:val="16"/>
              </w:rPr>
              <w:t xml:space="preserve">, 2012 </w:t>
            </w:r>
            <w:r w:rsidRPr="001F6A6D">
              <w:rPr>
                <w:color w:val="000000"/>
                <w:sz w:val="16"/>
                <w:szCs w:val="16"/>
              </w:rPr>
              <w:t>(</w:t>
            </w:r>
            <w:hyperlink r:id="rId29" w:history="1">
              <w:r w:rsidRPr="001F6A6D">
                <w:rPr>
                  <w:rStyle w:val="Hyperlink"/>
                  <w:sz w:val="16"/>
                  <w:szCs w:val="16"/>
                </w:rPr>
                <w:t>http://uiswcmsweb.prod.lsu.edu/edco/lacasu/</w:t>
              </w:r>
            </w:hyperlink>
            <w:r w:rsidRPr="001F6A6D">
              <w:rPr>
                <w:color w:val="000000"/>
                <w:sz w:val="16"/>
                <w:szCs w:val="16"/>
              </w:rPr>
              <w:t xml:space="preserve"> </w:t>
            </w:r>
          </w:p>
        </w:tc>
      </w:tr>
    </w:tbl>
    <w:p w:rsidR="005A59B2" w:rsidRPr="005A59B2" w:rsidRDefault="005A59B2" w:rsidP="005A59B2">
      <w:r w:rsidRPr="005A59B2">
        <w:t xml:space="preserve">In 2011, six percent of Greater New Orleans </w:t>
      </w:r>
      <w:proofErr w:type="gramStart"/>
      <w:r w:rsidRPr="005A59B2">
        <w:t>college</w:t>
      </w:r>
      <w:proofErr w:type="gramEnd"/>
      <w:r w:rsidRPr="005A59B2">
        <w:t xml:space="preserve"> students were subjected to </w:t>
      </w:r>
      <w:r w:rsidRPr="005A59B2">
        <w:rPr>
          <w:u w:val="single"/>
        </w:rPr>
        <w:t>forced sexual touching or fondling</w:t>
      </w:r>
      <w:r w:rsidRPr="005A59B2">
        <w:t xml:space="preserve"> around campus in the past year. In 69 percent of these cases the victim had consumed alcohol or drugs shortly before the incident. Greater New Orleans students were slightly more likely to experience forced touching or fondling than students statewide (3%) and in the 2009 national sample (4%), but the involvement of alcohol and drugs was similar for those cases statewide (59%) and in the national sample (66%).</w:t>
      </w:r>
    </w:p>
    <w:p w:rsidR="007C7D3B" w:rsidRDefault="007C7D3B" w:rsidP="00A03E1E"/>
    <w:p w:rsidR="005A59B2" w:rsidRPr="005A59B2" w:rsidRDefault="005A59B2" w:rsidP="005A59B2">
      <w:r w:rsidRPr="005A59B2">
        <w:t xml:space="preserve">In 2011, </w:t>
      </w:r>
      <w:r w:rsidRPr="005A59B2">
        <w:rPr>
          <w:i/>
        </w:rPr>
        <w:t xml:space="preserve">five percent of Greater New Orleans college students were subjected to </w:t>
      </w:r>
      <w:r w:rsidRPr="005A59B2">
        <w:rPr>
          <w:i/>
          <w:u w:val="single"/>
        </w:rPr>
        <w:t>unwanted sexual intercourse</w:t>
      </w:r>
      <w:r w:rsidRPr="005A59B2">
        <w:rPr>
          <w:i/>
        </w:rPr>
        <w:t xml:space="preserve"> around campus in the past year. In 72 percent of these cases the victim had consumed alcohol or drugs shortly before the incident</w:t>
      </w:r>
      <w:r w:rsidRPr="005A59B2">
        <w:t>. Greater New Orleans students were slightly more likely to experience unwanted intercourse than students statewide (3%) and in the 2009 national sample (3%), while the involvement of alcohol and drugs was similar for those students statewide (67%) and in the national sample (76%).</w:t>
      </w:r>
    </w:p>
    <w:p w:rsidR="00A03E1E" w:rsidRDefault="00A03E1E" w:rsidP="00A03E1E"/>
    <w:p w:rsidR="00A03E1E" w:rsidRDefault="00A03E1E" w:rsidP="00A03E1E"/>
    <w:p w:rsidR="00E52F1B" w:rsidRPr="00E52F1B" w:rsidRDefault="00E52F1B">
      <w:pPr>
        <w:rPr>
          <w:b/>
        </w:rPr>
      </w:pPr>
      <w:r w:rsidRPr="00E52F1B">
        <w:rPr>
          <w:b/>
        </w:rPr>
        <w:t>Risk and Protective Factors</w:t>
      </w:r>
    </w:p>
    <w:p w:rsidR="00E52F1B" w:rsidRDefault="00E52F1B"/>
    <w:p w:rsidR="006D2C57" w:rsidRDefault="00E52F1B">
      <w:r>
        <w:t xml:space="preserve">Risk and protective factors </w:t>
      </w:r>
      <w:r w:rsidR="00CA6D86">
        <w:t xml:space="preserve">are characteristics of the community and school environment, friends, family or the individual that put </w:t>
      </w:r>
      <w:r w:rsidR="003A0647">
        <w:t xml:space="preserve">the </w:t>
      </w:r>
      <w:r w:rsidR="00CA6D86">
        <w:t>person at risk, or reduce the risk, of developing substance</w:t>
      </w:r>
      <w:r w:rsidR="003A0647">
        <w:t xml:space="preserve"> use behaviors and </w:t>
      </w:r>
      <w:r w:rsidR="00496A64">
        <w:t>subsequent</w:t>
      </w:r>
      <w:r w:rsidR="003A0647">
        <w:t xml:space="preserve"> consequences. The Long Form version of the Core Institute Survey </w:t>
      </w:r>
      <w:r w:rsidR="003A0647">
        <w:lastRenderedPageBreak/>
        <w:t xml:space="preserve">includes substantial content addressing school policy, campus environment, beliefs about substance use, </w:t>
      </w:r>
      <w:r w:rsidR="006D2C57">
        <w:t>perception of risk and peer attitudes</w:t>
      </w:r>
      <w:r w:rsidR="00C53EB4" w:rsidRPr="00C53EB4">
        <w:t>, while the Short Form version includes little data addressing  risk and protective factors</w:t>
      </w:r>
      <w:r w:rsidR="006D2C57">
        <w:t xml:space="preserve">. </w:t>
      </w:r>
      <w:r w:rsidR="006D2C57" w:rsidRPr="006D2C57">
        <w:rPr>
          <w:i/>
        </w:rPr>
        <w:t>Responses to Long Form items were available at the state and regional levels for 2011, but are not available for the 2013</w:t>
      </w:r>
      <w:r w:rsidR="006D2C57" w:rsidRPr="006D2C57">
        <w:t>.</w:t>
      </w:r>
    </w:p>
    <w:p w:rsidR="006D2C57" w:rsidRDefault="006D2C57"/>
    <w:p w:rsidR="006D2C57" w:rsidRPr="006D2C57" w:rsidRDefault="006D2C57" w:rsidP="006D2C57">
      <w:pPr>
        <w:rPr>
          <w:u w:val="single"/>
        </w:rPr>
      </w:pPr>
      <w:r w:rsidRPr="006D2C57">
        <w:rPr>
          <w:u w:val="single"/>
        </w:rPr>
        <w:t>Risk Factors</w:t>
      </w:r>
    </w:p>
    <w:p w:rsidR="006D2C57" w:rsidRPr="006D2C57" w:rsidRDefault="006D2C57" w:rsidP="006D2C57"/>
    <w:p w:rsidR="00496A64" w:rsidRDefault="006D2C57" w:rsidP="006D2C57">
      <w:r w:rsidRPr="00496A64">
        <w:t xml:space="preserve">In 2011, </w:t>
      </w:r>
      <w:r w:rsidR="00496A64">
        <w:t>o</w:t>
      </w:r>
      <w:r w:rsidRPr="00496A64">
        <w:t xml:space="preserve">ver one-third of </w:t>
      </w:r>
      <w:r w:rsidR="00496A64" w:rsidRPr="00496A64">
        <w:t xml:space="preserve">Greater New Orleans </w:t>
      </w:r>
      <w:r w:rsidRPr="00496A64">
        <w:t>college students</w:t>
      </w:r>
      <w:r w:rsidR="00496A64">
        <w:t xml:space="preserve"> </w:t>
      </w:r>
      <w:r w:rsidR="00496A64" w:rsidRPr="00496A64">
        <w:t xml:space="preserve">(37%) </w:t>
      </w:r>
      <w:r w:rsidRPr="00496A64">
        <w:t xml:space="preserve">indicated that the social environment on their campus </w:t>
      </w:r>
      <w:r w:rsidRPr="00496A64">
        <w:rPr>
          <w:u w:val="single"/>
        </w:rPr>
        <w:t>promoted drug use</w:t>
      </w:r>
      <w:r w:rsidRPr="00496A64">
        <w:t xml:space="preserve"> while 63 percent indicated that the social environment </w:t>
      </w:r>
      <w:r w:rsidRPr="00496A64">
        <w:rPr>
          <w:u w:val="single"/>
        </w:rPr>
        <w:t>promoted alcohol use</w:t>
      </w:r>
      <w:r w:rsidRPr="00496A64">
        <w:t xml:space="preserve">. These figures are substantially higher than those for the state as a whole (17% and 34%) and the </w:t>
      </w:r>
      <w:r w:rsidR="00C53EB4">
        <w:t xml:space="preserve">2009 </w:t>
      </w:r>
      <w:r w:rsidRPr="00496A64">
        <w:t xml:space="preserve">national </w:t>
      </w:r>
      <w:r w:rsidR="00C9219B">
        <w:t>sample</w:t>
      </w:r>
      <w:r w:rsidRPr="00496A64">
        <w:t xml:space="preserve"> (20% and 48%). </w:t>
      </w:r>
    </w:p>
    <w:p w:rsidR="00496A64" w:rsidRDefault="00496A64" w:rsidP="006D2C57"/>
    <w:p w:rsidR="00D46F1C" w:rsidRDefault="00C9219B" w:rsidP="006D2C57">
      <w:r>
        <w:t>In 2011, o</w:t>
      </w:r>
      <w:r w:rsidR="006D2C57" w:rsidRPr="00496A64">
        <w:t xml:space="preserve">ver one-third of </w:t>
      </w:r>
      <w:r w:rsidR="00496A64" w:rsidRPr="00496A64">
        <w:t xml:space="preserve">Greater New Orleans </w:t>
      </w:r>
      <w:r w:rsidR="006D2C57" w:rsidRPr="00496A64">
        <w:t xml:space="preserve">college students </w:t>
      </w:r>
      <w:r w:rsidRPr="00C9219B">
        <w:t xml:space="preserve">(38%) </w:t>
      </w:r>
      <w:r w:rsidR="006D2C57" w:rsidRPr="00496A64">
        <w:t xml:space="preserve">indicated they had experienced </w:t>
      </w:r>
      <w:r w:rsidR="006D2C57" w:rsidRPr="00496A64">
        <w:rPr>
          <w:u w:val="single"/>
        </w:rPr>
        <w:t>peer pressure</w:t>
      </w:r>
      <w:r w:rsidR="006D2C57" w:rsidRPr="00496A64">
        <w:t xml:space="preserve"> to drink or use drugs.</w:t>
      </w:r>
      <w:r>
        <w:t xml:space="preserve"> Greater New Orleans students were more likely to experience peer pressure to drink or use drugs than students statewide (26%), but were </w:t>
      </w:r>
      <w:r w:rsidR="00BB3809">
        <w:t xml:space="preserve">about </w:t>
      </w:r>
      <w:r>
        <w:t>equally likely in comparison to students in the 2009 national sample (36%).</w:t>
      </w:r>
    </w:p>
    <w:p w:rsidR="00A03E1E" w:rsidRDefault="00A03E1E" w:rsidP="00A03E1E"/>
    <w:tbl>
      <w:tblPr>
        <w:tblW w:w="9508" w:type="dxa"/>
        <w:jc w:val="right"/>
        <w:tblInd w:w="-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29" w:type="dxa"/>
        </w:tblCellMar>
        <w:tblLook w:val="04A0" w:firstRow="1" w:lastRow="0" w:firstColumn="1" w:lastColumn="0" w:noHBand="0" w:noVBand="1"/>
      </w:tblPr>
      <w:tblGrid>
        <w:gridCol w:w="29"/>
        <w:gridCol w:w="6210"/>
        <w:gridCol w:w="1089"/>
        <w:gridCol w:w="1090"/>
        <w:gridCol w:w="1061"/>
        <w:gridCol w:w="29"/>
      </w:tblGrid>
      <w:tr w:rsidR="00B650C8" w:rsidRPr="008024F0" w:rsidTr="008024F0">
        <w:trPr>
          <w:gridAfter w:val="1"/>
          <w:wAfter w:w="29" w:type="dxa"/>
          <w:trHeight w:val="602"/>
          <w:jc w:val="right"/>
        </w:trPr>
        <w:tc>
          <w:tcPr>
            <w:tcW w:w="9479" w:type="dxa"/>
            <w:gridSpan w:val="5"/>
            <w:tcBorders>
              <w:top w:val="nil"/>
              <w:left w:val="nil"/>
              <w:right w:val="nil"/>
            </w:tcBorders>
            <w:shd w:val="clear" w:color="auto" w:fill="auto"/>
            <w:vAlign w:val="center"/>
          </w:tcPr>
          <w:p w:rsidR="00340D35" w:rsidRDefault="00340D35" w:rsidP="00B650C8">
            <w:pPr>
              <w:jc w:val="center"/>
              <w:rPr>
                <w:b/>
                <w:bCs/>
                <w:sz w:val="20"/>
              </w:rPr>
            </w:pPr>
            <w:r>
              <w:rPr>
                <w:b/>
                <w:bCs/>
                <w:sz w:val="20"/>
              </w:rPr>
              <w:t>Table 6: Risk Factors –</w:t>
            </w:r>
            <w:r w:rsidR="00B650C8" w:rsidRPr="008024F0">
              <w:rPr>
                <w:b/>
                <w:bCs/>
                <w:sz w:val="20"/>
              </w:rPr>
              <w:t xml:space="preserve"> Percent of College Students Agreeing with Statements about </w:t>
            </w:r>
          </w:p>
          <w:p w:rsidR="00B650C8" w:rsidRPr="008024F0" w:rsidRDefault="00B650C8" w:rsidP="00B650C8">
            <w:pPr>
              <w:jc w:val="center"/>
              <w:rPr>
                <w:b/>
                <w:bCs/>
                <w:sz w:val="20"/>
              </w:rPr>
            </w:pPr>
            <w:r w:rsidRPr="008024F0">
              <w:rPr>
                <w:b/>
                <w:bCs/>
                <w:sz w:val="20"/>
              </w:rPr>
              <w:t>Campus Environment, Al</w:t>
            </w:r>
            <w:r w:rsidR="00340D35">
              <w:rPr>
                <w:b/>
                <w:bCs/>
                <w:sz w:val="20"/>
              </w:rPr>
              <w:t>cohol Beliefs and School Policy, 2011 Core Institute Survey</w:t>
            </w:r>
          </w:p>
        </w:tc>
      </w:tr>
      <w:tr w:rsidR="009106ED" w:rsidRPr="00142D1C" w:rsidTr="009106ED">
        <w:trPr>
          <w:gridBefore w:val="1"/>
          <w:wBefore w:w="29" w:type="dxa"/>
          <w:trHeight w:val="251"/>
          <w:jc w:val="right"/>
        </w:trPr>
        <w:tc>
          <w:tcPr>
            <w:tcW w:w="6210" w:type="dxa"/>
            <w:shd w:val="clear" w:color="auto" w:fill="auto"/>
            <w:tcMar>
              <w:left w:w="29" w:type="dxa"/>
            </w:tcMar>
            <w:vAlign w:val="center"/>
          </w:tcPr>
          <w:p w:rsidR="009106ED" w:rsidRPr="008024F0" w:rsidRDefault="009106ED" w:rsidP="008024F0">
            <w:pPr>
              <w:jc w:val="center"/>
              <w:rPr>
                <w:b/>
                <w:sz w:val="20"/>
              </w:rPr>
            </w:pPr>
            <w:r w:rsidRPr="008024F0">
              <w:rPr>
                <w:b/>
                <w:sz w:val="20"/>
              </w:rPr>
              <w:t>Percent in Agreement</w:t>
            </w:r>
          </w:p>
        </w:tc>
        <w:tc>
          <w:tcPr>
            <w:tcW w:w="1089" w:type="dxa"/>
            <w:shd w:val="clear" w:color="auto" w:fill="auto"/>
            <w:tcMar>
              <w:left w:w="29" w:type="dxa"/>
            </w:tcMar>
            <w:vAlign w:val="center"/>
          </w:tcPr>
          <w:p w:rsidR="009106ED" w:rsidRDefault="009106ED" w:rsidP="00B650C8">
            <w:pPr>
              <w:jc w:val="center"/>
              <w:rPr>
                <w:sz w:val="20"/>
              </w:rPr>
            </w:pPr>
            <w:r>
              <w:rPr>
                <w:sz w:val="20"/>
              </w:rPr>
              <w:t>Greater New Orleans</w:t>
            </w:r>
          </w:p>
          <w:p w:rsidR="00C53EB4" w:rsidRPr="008024F0" w:rsidRDefault="00C53EB4" w:rsidP="00B650C8">
            <w:pPr>
              <w:jc w:val="center"/>
              <w:rPr>
                <w:sz w:val="20"/>
              </w:rPr>
            </w:pPr>
            <w:r>
              <w:rPr>
                <w:sz w:val="20"/>
              </w:rPr>
              <w:t>2011</w:t>
            </w:r>
          </w:p>
        </w:tc>
        <w:tc>
          <w:tcPr>
            <w:tcW w:w="1090" w:type="dxa"/>
            <w:shd w:val="clear" w:color="auto" w:fill="auto"/>
            <w:tcMar>
              <w:left w:w="29" w:type="dxa"/>
            </w:tcMar>
            <w:vAlign w:val="center"/>
          </w:tcPr>
          <w:p w:rsidR="00C53EB4" w:rsidRDefault="009106ED" w:rsidP="0076079D">
            <w:pPr>
              <w:jc w:val="center"/>
              <w:rPr>
                <w:sz w:val="20"/>
              </w:rPr>
            </w:pPr>
            <w:r w:rsidRPr="008024F0">
              <w:rPr>
                <w:sz w:val="20"/>
              </w:rPr>
              <w:t>L</w:t>
            </w:r>
            <w:r w:rsidR="00C9219B">
              <w:rPr>
                <w:sz w:val="20"/>
              </w:rPr>
              <w:t>ouisi</w:t>
            </w:r>
            <w:r w:rsidRPr="008024F0">
              <w:rPr>
                <w:sz w:val="20"/>
              </w:rPr>
              <w:t>ana</w:t>
            </w:r>
          </w:p>
          <w:p w:rsidR="009106ED" w:rsidRPr="008024F0" w:rsidRDefault="00C53EB4" w:rsidP="00C53EB4">
            <w:pPr>
              <w:jc w:val="center"/>
              <w:rPr>
                <w:sz w:val="20"/>
              </w:rPr>
            </w:pPr>
            <w:r>
              <w:rPr>
                <w:sz w:val="20"/>
              </w:rPr>
              <w:t>2011</w:t>
            </w:r>
          </w:p>
        </w:tc>
        <w:tc>
          <w:tcPr>
            <w:tcW w:w="1090" w:type="dxa"/>
            <w:gridSpan w:val="2"/>
            <w:shd w:val="clear" w:color="auto" w:fill="auto"/>
            <w:tcMar>
              <w:left w:w="29" w:type="dxa"/>
            </w:tcMar>
            <w:vAlign w:val="center"/>
          </w:tcPr>
          <w:p w:rsidR="00C53EB4" w:rsidRDefault="00C9219B" w:rsidP="0076079D">
            <w:pPr>
              <w:jc w:val="center"/>
              <w:rPr>
                <w:sz w:val="20"/>
              </w:rPr>
            </w:pPr>
            <w:r>
              <w:rPr>
                <w:sz w:val="20"/>
              </w:rPr>
              <w:t>Nation</w:t>
            </w:r>
            <w:r w:rsidR="009106ED" w:rsidRPr="008024F0">
              <w:rPr>
                <w:sz w:val="20"/>
              </w:rPr>
              <w:t>al</w:t>
            </w:r>
          </w:p>
          <w:p w:rsidR="009106ED" w:rsidRPr="008024F0" w:rsidRDefault="00C53EB4" w:rsidP="0076079D">
            <w:pPr>
              <w:jc w:val="center"/>
              <w:rPr>
                <w:sz w:val="20"/>
              </w:rPr>
            </w:pPr>
            <w:r>
              <w:rPr>
                <w:sz w:val="20"/>
              </w:rPr>
              <w:t>2009</w:t>
            </w:r>
            <w:r w:rsidR="009106ED" w:rsidRPr="008024F0">
              <w:rPr>
                <w:sz w:val="20"/>
              </w:rPr>
              <w:t>#</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b/>
                <w:sz w:val="20"/>
              </w:rPr>
            </w:pPr>
            <w:r w:rsidRPr="008024F0">
              <w:rPr>
                <w:b/>
                <w:sz w:val="20"/>
              </w:rPr>
              <w:t>Campus Environment</w:t>
            </w:r>
          </w:p>
        </w:tc>
        <w:tc>
          <w:tcPr>
            <w:tcW w:w="1089" w:type="dxa"/>
            <w:shd w:val="clear" w:color="auto" w:fill="auto"/>
            <w:tcMar>
              <w:left w:w="29" w:type="dxa"/>
            </w:tcMar>
            <w:vAlign w:val="center"/>
          </w:tcPr>
          <w:p w:rsidR="00B650C8" w:rsidRPr="008024F0" w:rsidRDefault="00B650C8" w:rsidP="00B650C8">
            <w:pPr>
              <w:jc w:val="center"/>
              <w:rPr>
                <w:sz w:val="20"/>
              </w:rPr>
            </w:pPr>
          </w:p>
        </w:tc>
        <w:tc>
          <w:tcPr>
            <w:tcW w:w="1090" w:type="dxa"/>
            <w:shd w:val="clear" w:color="auto" w:fill="auto"/>
            <w:tcMar>
              <w:left w:w="29" w:type="dxa"/>
            </w:tcMar>
            <w:vAlign w:val="center"/>
          </w:tcPr>
          <w:p w:rsidR="00B650C8" w:rsidRPr="008024F0" w:rsidRDefault="00B650C8" w:rsidP="00B650C8">
            <w:pPr>
              <w:jc w:val="center"/>
              <w:rPr>
                <w:sz w:val="20"/>
              </w:rPr>
            </w:pPr>
          </w:p>
        </w:tc>
        <w:tc>
          <w:tcPr>
            <w:tcW w:w="1090" w:type="dxa"/>
            <w:gridSpan w:val="2"/>
            <w:shd w:val="clear" w:color="auto" w:fill="auto"/>
            <w:tcMar>
              <w:left w:w="29" w:type="dxa"/>
            </w:tcMar>
            <w:vAlign w:val="center"/>
          </w:tcPr>
          <w:p w:rsidR="00B650C8" w:rsidRPr="008024F0" w:rsidRDefault="00B650C8" w:rsidP="00B650C8">
            <w:pPr>
              <w:jc w:val="center"/>
              <w:rPr>
                <w:sz w:val="20"/>
              </w:rPr>
            </w:pP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Social environment on campus promotes </w:t>
            </w:r>
            <w:r w:rsidRPr="008024F0">
              <w:rPr>
                <w:i/>
                <w:sz w:val="20"/>
              </w:rPr>
              <w:t>drug use</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36.7</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17.1</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19.5</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Social environment on campus promotes </w:t>
            </w:r>
            <w:r w:rsidRPr="008024F0">
              <w:rPr>
                <w:i/>
                <w:sz w:val="20"/>
              </w:rPr>
              <w:t>alcohol use</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62.7</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33.5</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47.7</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Drinking is a central part of social life for </w:t>
            </w:r>
            <w:r w:rsidRPr="008024F0">
              <w:rPr>
                <w:i/>
                <w:sz w:val="20"/>
              </w:rPr>
              <w:t xml:space="preserve">male </w:t>
            </w:r>
            <w:r w:rsidRPr="008024F0">
              <w:rPr>
                <w:sz w:val="20"/>
              </w:rPr>
              <w:t>students</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84.9</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73.7</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80.0</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Drinking is a central part of social life for </w:t>
            </w:r>
            <w:r w:rsidRPr="008024F0">
              <w:rPr>
                <w:i/>
                <w:sz w:val="20"/>
              </w:rPr>
              <w:t xml:space="preserve">female </w:t>
            </w:r>
            <w:r w:rsidRPr="008024F0">
              <w:rPr>
                <w:sz w:val="20"/>
              </w:rPr>
              <w:t>students</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80.6</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63.9</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71.9</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[You] experienced peer pressure to </w:t>
            </w:r>
            <w:r w:rsidRPr="008024F0">
              <w:rPr>
                <w:i/>
                <w:sz w:val="20"/>
              </w:rPr>
              <w:t>drink or use drugs</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37.7</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26.2</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35.9</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[You] held a drink to have people stop bothering you about why you weren’t drinking</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15.6</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10.0</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13.2</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b/>
                <w:sz w:val="20"/>
              </w:rPr>
            </w:pPr>
            <w:r w:rsidRPr="008024F0">
              <w:rPr>
                <w:b/>
                <w:sz w:val="20"/>
              </w:rPr>
              <w:t>Beliefs About Alcohol</w:t>
            </w:r>
          </w:p>
        </w:tc>
        <w:tc>
          <w:tcPr>
            <w:tcW w:w="1089" w:type="dxa"/>
            <w:shd w:val="clear" w:color="auto" w:fill="auto"/>
            <w:tcMar>
              <w:left w:w="29" w:type="dxa"/>
            </w:tcMar>
            <w:vAlign w:val="center"/>
          </w:tcPr>
          <w:p w:rsidR="00B650C8" w:rsidRPr="008024F0" w:rsidRDefault="00B650C8" w:rsidP="00B650C8">
            <w:pPr>
              <w:jc w:val="center"/>
              <w:rPr>
                <w:sz w:val="20"/>
              </w:rPr>
            </w:pPr>
          </w:p>
        </w:tc>
        <w:tc>
          <w:tcPr>
            <w:tcW w:w="1090" w:type="dxa"/>
            <w:shd w:val="clear" w:color="auto" w:fill="auto"/>
            <w:tcMar>
              <w:left w:w="29" w:type="dxa"/>
            </w:tcMar>
            <w:vAlign w:val="center"/>
          </w:tcPr>
          <w:p w:rsidR="00B650C8" w:rsidRPr="008024F0" w:rsidRDefault="00B650C8" w:rsidP="00B650C8">
            <w:pPr>
              <w:jc w:val="center"/>
              <w:rPr>
                <w:sz w:val="20"/>
              </w:rPr>
            </w:pPr>
          </w:p>
        </w:tc>
        <w:tc>
          <w:tcPr>
            <w:tcW w:w="1090" w:type="dxa"/>
            <w:gridSpan w:val="2"/>
            <w:shd w:val="clear" w:color="auto" w:fill="auto"/>
            <w:tcMar>
              <w:left w:w="29" w:type="dxa"/>
            </w:tcMar>
            <w:vAlign w:val="center"/>
          </w:tcPr>
          <w:p w:rsidR="00B650C8" w:rsidRPr="008024F0" w:rsidRDefault="00B650C8" w:rsidP="00B650C8">
            <w:pPr>
              <w:jc w:val="center"/>
              <w:rPr>
                <w:sz w:val="20"/>
              </w:rPr>
            </w:pP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Enhances </w:t>
            </w:r>
            <w:r w:rsidRPr="008024F0">
              <w:rPr>
                <w:i/>
                <w:sz w:val="20"/>
              </w:rPr>
              <w:t>social</w:t>
            </w:r>
            <w:r w:rsidRPr="008024F0">
              <w:rPr>
                <w:sz w:val="20"/>
              </w:rPr>
              <w:t xml:space="preserve"> activities</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79.6</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67.2</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74.0</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Facilitates </w:t>
            </w:r>
            <w:r w:rsidRPr="008024F0">
              <w:rPr>
                <w:i/>
                <w:sz w:val="20"/>
              </w:rPr>
              <w:t>connection</w:t>
            </w:r>
            <w:r w:rsidRPr="008024F0">
              <w:rPr>
                <w:sz w:val="20"/>
              </w:rPr>
              <w:t xml:space="preserve"> with peers</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65.2</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50.3</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60.0</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Gives people </w:t>
            </w:r>
            <w:r w:rsidRPr="008024F0">
              <w:rPr>
                <w:i/>
                <w:sz w:val="20"/>
              </w:rPr>
              <w:t>something to do</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73.1</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61.8</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71.6</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Makes it easier to deal with </w:t>
            </w:r>
            <w:r w:rsidRPr="008024F0">
              <w:rPr>
                <w:i/>
                <w:sz w:val="20"/>
              </w:rPr>
              <w:t>stress</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45.5</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42.5</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42.6</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b/>
                <w:sz w:val="20"/>
              </w:rPr>
            </w:pPr>
            <w:r w:rsidRPr="008024F0">
              <w:rPr>
                <w:b/>
                <w:sz w:val="20"/>
              </w:rPr>
              <w:t>School Policy and Prevention</w:t>
            </w:r>
          </w:p>
        </w:tc>
        <w:tc>
          <w:tcPr>
            <w:tcW w:w="1089" w:type="dxa"/>
            <w:shd w:val="clear" w:color="auto" w:fill="auto"/>
            <w:tcMar>
              <w:left w:w="29" w:type="dxa"/>
            </w:tcMar>
            <w:vAlign w:val="center"/>
          </w:tcPr>
          <w:p w:rsidR="00B650C8" w:rsidRPr="008024F0" w:rsidRDefault="00B650C8" w:rsidP="00B650C8">
            <w:pPr>
              <w:jc w:val="center"/>
              <w:rPr>
                <w:sz w:val="20"/>
              </w:rPr>
            </w:pPr>
          </w:p>
        </w:tc>
        <w:tc>
          <w:tcPr>
            <w:tcW w:w="1090" w:type="dxa"/>
            <w:shd w:val="clear" w:color="auto" w:fill="auto"/>
            <w:tcMar>
              <w:left w:w="29" w:type="dxa"/>
            </w:tcMar>
            <w:vAlign w:val="center"/>
          </w:tcPr>
          <w:p w:rsidR="00B650C8" w:rsidRPr="008024F0" w:rsidRDefault="00B650C8" w:rsidP="00B650C8">
            <w:pPr>
              <w:jc w:val="center"/>
              <w:rPr>
                <w:sz w:val="20"/>
              </w:rPr>
            </w:pPr>
          </w:p>
        </w:tc>
        <w:tc>
          <w:tcPr>
            <w:tcW w:w="1090" w:type="dxa"/>
            <w:gridSpan w:val="2"/>
            <w:shd w:val="clear" w:color="auto" w:fill="auto"/>
            <w:tcMar>
              <w:left w:w="29" w:type="dxa"/>
            </w:tcMar>
            <w:vAlign w:val="center"/>
          </w:tcPr>
          <w:p w:rsidR="00B650C8" w:rsidRPr="008024F0" w:rsidRDefault="00B650C8" w:rsidP="00B650C8">
            <w:pPr>
              <w:jc w:val="center"/>
              <w:rPr>
                <w:sz w:val="20"/>
              </w:rPr>
            </w:pP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Campus has </w:t>
            </w:r>
            <w:r w:rsidRPr="008024F0">
              <w:rPr>
                <w:i/>
                <w:sz w:val="20"/>
              </w:rPr>
              <w:t>alcohol and drug policies</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89.4</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81.5</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88.4</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Campus is </w:t>
            </w:r>
            <w:r w:rsidRPr="008024F0">
              <w:rPr>
                <w:i/>
                <w:sz w:val="20"/>
              </w:rPr>
              <w:t>concerned</w:t>
            </w:r>
            <w:r w:rsidRPr="008024F0">
              <w:rPr>
                <w:sz w:val="20"/>
              </w:rPr>
              <w:t xml:space="preserve"> about prevention of drug and alcohol use</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62.9</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63.8</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74.9</w:t>
            </w:r>
          </w:p>
        </w:tc>
      </w:tr>
      <w:tr w:rsidR="008024F0" w:rsidRPr="00142D1C" w:rsidTr="009106ED">
        <w:trPr>
          <w:gridBefore w:val="1"/>
          <w:wBefore w:w="29" w:type="dxa"/>
          <w:trHeight w:val="251"/>
          <w:jc w:val="right"/>
        </w:trPr>
        <w:tc>
          <w:tcPr>
            <w:tcW w:w="6210" w:type="dxa"/>
            <w:shd w:val="clear" w:color="auto" w:fill="auto"/>
            <w:tcMar>
              <w:left w:w="29" w:type="dxa"/>
            </w:tcMar>
            <w:vAlign w:val="center"/>
          </w:tcPr>
          <w:p w:rsidR="00B650C8" w:rsidRPr="008024F0" w:rsidRDefault="00B650C8" w:rsidP="00B650C8">
            <w:pPr>
              <w:rPr>
                <w:sz w:val="20"/>
              </w:rPr>
            </w:pPr>
            <w:r w:rsidRPr="008024F0">
              <w:rPr>
                <w:sz w:val="20"/>
              </w:rPr>
              <w:t xml:space="preserve">Campus has a drug and alcohol </w:t>
            </w:r>
            <w:r w:rsidRPr="008024F0">
              <w:rPr>
                <w:i/>
                <w:sz w:val="20"/>
              </w:rPr>
              <w:t>prevention program</w:t>
            </w:r>
          </w:p>
        </w:tc>
        <w:tc>
          <w:tcPr>
            <w:tcW w:w="1089" w:type="dxa"/>
            <w:shd w:val="clear" w:color="auto" w:fill="auto"/>
            <w:tcMar>
              <w:left w:w="29" w:type="dxa"/>
            </w:tcMar>
            <w:vAlign w:val="center"/>
          </w:tcPr>
          <w:p w:rsidR="00B650C8" w:rsidRPr="008024F0" w:rsidRDefault="00B650C8" w:rsidP="00B650C8">
            <w:pPr>
              <w:jc w:val="center"/>
              <w:rPr>
                <w:sz w:val="20"/>
              </w:rPr>
            </w:pPr>
            <w:r w:rsidRPr="008024F0">
              <w:rPr>
                <w:sz w:val="20"/>
              </w:rPr>
              <w:t>39.8</w:t>
            </w:r>
          </w:p>
        </w:tc>
        <w:tc>
          <w:tcPr>
            <w:tcW w:w="1090" w:type="dxa"/>
            <w:shd w:val="clear" w:color="auto" w:fill="auto"/>
            <w:tcMar>
              <w:left w:w="29" w:type="dxa"/>
            </w:tcMar>
            <w:vAlign w:val="center"/>
          </w:tcPr>
          <w:p w:rsidR="00B650C8" w:rsidRPr="008024F0" w:rsidRDefault="00B650C8" w:rsidP="00B650C8">
            <w:pPr>
              <w:jc w:val="center"/>
              <w:rPr>
                <w:sz w:val="20"/>
              </w:rPr>
            </w:pPr>
            <w:r w:rsidRPr="008024F0">
              <w:rPr>
                <w:sz w:val="20"/>
              </w:rPr>
              <w:t>29.4</w:t>
            </w:r>
          </w:p>
        </w:tc>
        <w:tc>
          <w:tcPr>
            <w:tcW w:w="1090" w:type="dxa"/>
            <w:gridSpan w:val="2"/>
            <w:shd w:val="clear" w:color="auto" w:fill="auto"/>
            <w:tcMar>
              <w:left w:w="29" w:type="dxa"/>
            </w:tcMar>
            <w:vAlign w:val="center"/>
          </w:tcPr>
          <w:p w:rsidR="00B650C8" w:rsidRPr="008024F0" w:rsidRDefault="00B650C8" w:rsidP="00B650C8">
            <w:pPr>
              <w:jc w:val="center"/>
              <w:rPr>
                <w:sz w:val="20"/>
              </w:rPr>
            </w:pPr>
            <w:r w:rsidRPr="008024F0">
              <w:rPr>
                <w:sz w:val="20"/>
              </w:rPr>
              <w:t>46.8</w:t>
            </w:r>
          </w:p>
        </w:tc>
      </w:tr>
      <w:tr w:rsidR="00B650C8" w:rsidRPr="00BC7CCD" w:rsidTr="008024F0">
        <w:trPr>
          <w:gridAfter w:val="1"/>
          <w:wAfter w:w="29" w:type="dxa"/>
          <w:trHeight w:val="548"/>
          <w:jc w:val="right"/>
        </w:trPr>
        <w:tc>
          <w:tcPr>
            <w:tcW w:w="9479" w:type="dxa"/>
            <w:gridSpan w:val="5"/>
            <w:tcBorders>
              <w:left w:val="nil"/>
              <w:bottom w:val="nil"/>
              <w:right w:val="nil"/>
            </w:tcBorders>
            <w:shd w:val="clear" w:color="auto" w:fill="auto"/>
            <w:vAlign w:val="center"/>
          </w:tcPr>
          <w:p w:rsidR="00B650C8" w:rsidRDefault="00B650C8" w:rsidP="00B650C8">
            <w:pPr>
              <w:rPr>
                <w:color w:val="000000"/>
                <w:sz w:val="18"/>
                <w:szCs w:val="18"/>
              </w:rPr>
            </w:pPr>
            <w:r w:rsidRPr="008024F0">
              <w:rPr>
                <w:color w:val="000000"/>
                <w:sz w:val="18"/>
                <w:szCs w:val="18"/>
              </w:rPr>
              <w:t>#These figures are from the 2009 national sample; figures for 2011 h</w:t>
            </w:r>
            <w:r w:rsidR="00C9219B">
              <w:rPr>
                <w:color w:val="000000"/>
                <w:sz w:val="18"/>
                <w:szCs w:val="18"/>
              </w:rPr>
              <w:t xml:space="preserve">ave not been published online. </w:t>
            </w:r>
          </w:p>
          <w:p w:rsidR="00C9219B" w:rsidRPr="008024F0" w:rsidRDefault="00C9219B" w:rsidP="00B650C8">
            <w:pPr>
              <w:rPr>
                <w:sz w:val="18"/>
                <w:szCs w:val="18"/>
              </w:rPr>
            </w:pPr>
            <w:r w:rsidRPr="00C9219B">
              <w:rPr>
                <w:color w:val="000000"/>
                <w:sz w:val="18"/>
                <w:szCs w:val="18"/>
              </w:rPr>
              <w:t xml:space="preserve">Data Source: </w:t>
            </w:r>
            <w:r w:rsidRPr="00C9219B">
              <w:rPr>
                <w:color w:val="000000"/>
                <w:sz w:val="18"/>
                <w:szCs w:val="18"/>
                <w:lang w:val="en"/>
              </w:rPr>
              <w:t xml:space="preserve"> Louisiana Center Addressing Substance Use</w:t>
            </w:r>
            <w:r w:rsidRPr="00C9219B">
              <w:rPr>
                <w:color w:val="000000"/>
                <w:sz w:val="18"/>
                <w:szCs w:val="18"/>
              </w:rPr>
              <w:t>, 2012 (</w:t>
            </w:r>
            <w:hyperlink r:id="rId30" w:history="1">
              <w:r w:rsidRPr="00C9219B">
                <w:rPr>
                  <w:rStyle w:val="Hyperlink"/>
                  <w:sz w:val="18"/>
                  <w:szCs w:val="18"/>
                </w:rPr>
                <w:t>http://uiswcmsweb.prod.lsu.edu/edco/lacasu/</w:t>
              </w:r>
            </w:hyperlink>
          </w:p>
        </w:tc>
      </w:tr>
    </w:tbl>
    <w:p w:rsidR="00A03E1E" w:rsidRDefault="00A03E1E" w:rsidP="00A03E1E"/>
    <w:p w:rsidR="00A03E1E" w:rsidRDefault="00C82A35" w:rsidP="00A03E1E">
      <w:r>
        <w:t>In 2011, four-in-five</w:t>
      </w:r>
      <w:r w:rsidR="00A03E1E">
        <w:t xml:space="preserve"> </w:t>
      </w:r>
      <w:r w:rsidR="00340D35" w:rsidRPr="00340D35">
        <w:t xml:space="preserve">Greater New Orleans </w:t>
      </w:r>
      <w:r w:rsidR="00A03E1E">
        <w:t xml:space="preserve">college students </w:t>
      </w:r>
      <w:r>
        <w:t xml:space="preserve">(80%) </w:t>
      </w:r>
      <w:r w:rsidR="00A03E1E">
        <w:t xml:space="preserve">believed that alcohol </w:t>
      </w:r>
      <w:r w:rsidR="00A03E1E" w:rsidRPr="0068588B">
        <w:rPr>
          <w:u w:val="single"/>
        </w:rPr>
        <w:t>enhances social activities</w:t>
      </w:r>
      <w:r w:rsidR="00A03E1E">
        <w:t xml:space="preserve"> and </w:t>
      </w:r>
      <w:r>
        <w:t xml:space="preserve">65 percent believed that alcohol </w:t>
      </w:r>
      <w:r w:rsidR="00A03E1E" w:rsidRPr="00BB3809">
        <w:rPr>
          <w:u w:val="single"/>
        </w:rPr>
        <w:t>facilitates connection with peers</w:t>
      </w:r>
      <w:r>
        <w:t xml:space="preserve">. </w:t>
      </w:r>
      <w:r w:rsidR="00A03E1E">
        <w:t xml:space="preserve">These figures are substantially higher than for the state as a whole (67% and 50%) and slightly higher than for the </w:t>
      </w:r>
      <w:r w:rsidR="00BC7C71">
        <w:t>200</w:t>
      </w:r>
      <w:r>
        <w:t xml:space="preserve">9 </w:t>
      </w:r>
      <w:r w:rsidR="00A03E1E">
        <w:t xml:space="preserve">national </w:t>
      </w:r>
      <w:r>
        <w:t>sample</w:t>
      </w:r>
      <w:r w:rsidR="00A03E1E">
        <w:t xml:space="preserve"> (74% and 60%). Three-quarters of </w:t>
      </w:r>
      <w:r w:rsidRPr="00C82A35">
        <w:t xml:space="preserve">Greater New Orleans </w:t>
      </w:r>
      <w:r>
        <w:t xml:space="preserve">college </w:t>
      </w:r>
      <w:r w:rsidR="00A03E1E">
        <w:t xml:space="preserve">students </w:t>
      </w:r>
      <w:r w:rsidRPr="00C82A35">
        <w:t xml:space="preserve">(73%) </w:t>
      </w:r>
      <w:r w:rsidR="00A03E1E">
        <w:t xml:space="preserve">indicated that alcohol </w:t>
      </w:r>
      <w:r w:rsidR="00A03E1E" w:rsidRPr="0068588B">
        <w:rPr>
          <w:u w:val="single"/>
        </w:rPr>
        <w:t>gave people something to do</w:t>
      </w:r>
      <w:r>
        <w:t xml:space="preserve"> and a</w:t>
      </w:r>
      <w:r w:rsidR="00A03E1E">
        <w:t xml:space="preserve">lmost half (46%) believed that alcohol made it easier to </w:t>
      </w:r>
      <w:r w:rsidR="00A03E1E" w:rsidRPr="0068588B">
        <w:rPr>
          <w:u w:val="single"/>
        </w:rPr>
        <w:t>deal with stress</w:t>
      </w:r>
      <w:r w:rsidR="00A03E1E">
        <w:t>.</w:t>
      </w:r>
      <w:r w:rsidR="00BB3809" w:rsidRPr="00BB3809">
        <w:t xml:space="preserve"> These figures are substantially higher </w:t>
      </w:r>
      <w:r w:rsidR="00BB3809" w:rsidRPr="00BB3809">
        <w:lastRenderedPageBreak/>
        <w:t>t</w:t>
      </w:r>
      <w:r w:rsidR="00FF4BDA">
        <w:t>han for the state as a whole (62</w:t>
      </w:r>
      <w:r w:rsidR="00BB3809" w:rsidRPr="00BB3809">
        <w:t xml:space="preserve">% and </w:t>
      </w:r>
      <w:r w:rsidR="00FF4BDA">
        <w:t>43</w:t>
      </w:r>
      <w:r w:rsidR="00BB3809" w:rsidRPr="00BB3809">
        <w:t xml:space="preserve">%) </w:t>
      </w:r>
      <w:r w:rsidR="00FF4BDA">
        <w:t>but similar to those for</w:t>
      </w:r>
      <w:r w:rsidR="00BB3809" w:rsidRPr="00BB3809">
        <w:t xml:space="preserve"> the 2009 national sample</w:t>
      </w:r>
      <w:r w:rsidR="00FF4BDA">
        <w:t xml:space="preserve"> (72</w:t>
      </w:r>
      <w:r w:rsidR="00BB3809" w:rsidRPr="00BB3809">
        <w:t xml:space="preserve">% and </w:t>
      </w:r>
      <w:r w:rsidR="00FF4BDA">
        <w:t>43</w:t>
      </w:r>
      <w:r w:rsidR="00BB3809" w:rsidRPr="00BB3809">
        <w:t>%).</w:t>
      </w:r>
    </w:p>
    <w:p w:rsidR="00A03E1E" w:rsidRDefault="00A03E1E" w:rsidP="00A03E1E"/>
    <w:p w:rsidR="00A03E1E" w:rsidRDefault="00C82A35" w:rsidP="00A03E1E">
      <w:r>
        <w:t>In 2011, n</w:t>
      </w:r>
      <w:r w:rsidR="00A03E1E">
        <w:t xml:space="preserve">ine-of-ten </w:t>
      </w:r>
      <w:r w:rsidRPr="00C82A35">
        <w:t xml:space="preserve">Greater New Orleans </w:t>
      </w:r>
      <w:r w:rsidR="00A03E1E">
        <w:t xml:space="preserve">college students </w:t>
      </w:r>
      <w:r w:rsidR="00A03E1E" w:rsidRPr="006303FF">
        <w:t xml:space="preserve">(89%) </w:t>
      </w:r>
      <w:r w:rsidR="00A03E1E">
        <w:t xml:space="preserve">indicated that their campus has alcohol and drug policies. This </w:t>
      </w:r>
      <w:r w:rsidR="00A03E1E" w:rsidRPr="000F7559">
        <w:rPr>
          <w:i/>
        </w:rPr>
        <w:t>implies that 10 percent of students were unaware of school policies</w:t>
      </w:r>
      <w:r w:rsidR="00A03E1E">
        <w:t xml:space="preserve">. Two-thirds of </w:t>
      </w:r>
      <w:r w:rsidR="000F7559" w:rsidRPr="000F7559">
        <w:t xml:space="preserve">Greater New Orleans </w:t>
      </w:r>
      <w:r w:rsidR="000F7559">
        <w:t xml:space="preserve">college </w:t>
      </w:r>
      <w:r w:rsidR="00A03E1E">
        <w:t xml:space="preserve">students </w:t>
      </w:r>
      <w:r w:rsidR="000F7559" w:rsidRPr="000F7559">
        <w:t xml:space="preserve">(63%) </w:t>
      </w:r>
      <w:r w:rsidR="00A03E1E">
        <w:t>thought there was concern</w:t>
      </w:r>
      <w:r w:rsidR="000F7559">
        <w:t xml:space="preserve"> on campus</w:t>
      </w:r>
      <w:r w:rsidR="00A03E1E">
        <w:t xml:space="preserve"> about </w:t>
      </w:r>
      <w:r w:rsidR="000F7559">
        <w:t xml:space="preserve">prevention of </w:t>
      </w:r>
      <w:r w:rsidR="00A03E1E">
        <w:t xml:space="preserve">alcohol and drug use, but only 40 percent were aware of a prevention program on campus. This </w:t>
      </w:r>
      <w:r w:rsidR="00A03E1E" w:rsidRPr="000F7559">
        <w:rPr>
          <w:i/>
        </w:rPr>
        <w:t>implies that 60 percent were unaware of an existing prevention program or that there was no prevention program</w:t>
      </w:r>
      <w:r w:rsidR="00A03E1E">
        <w:t>.</w:t>
      </w:r>
    </w:p>
    <w:p w:rsidR="00A03E1E" w:rsidRPr="00CF2753" w:rsidRDefault="00A03E1E" w:rsidP="00A03E1E"/>
    <w:p w:rsidR="00A03E1E" w:rsidRDefault="00A03E1E" w:rsidP="00A03E1E">
      <w:r>
        <w:t>Protective Factors</w:t>
      </w:r>
    </w:p>
    <w:p w:rsidR="00A03E1E" w:rsidRDefault="00A03E1E" w:rsidP="00A03E1E"/>
    <w:p w:rsidR="00A03E1E" w:rsidRDefault="00A03E1E" w:rsidP="00A03E1E">
      <w:r>
        <w:t xml:space="preserve">Substance use can be deterred or moderated by a student’s perception of risk associated with substance use or the </w:t>
      </w:r>
      <w:r w:rsidRPr="005330ED">
        <w:t xml:space="preserve">belief that close friends would </w:t>
      </w:r>
      <w:r>
        <w:t xml:space="preserve">disapprove. </w:t>
      </w:r>
      <w:r w:rsidR="00CB1438">
        <w:t>In 2011, o</w:t>
      </w:r>
      <w:r>
        <w:t xml:space="preserve">nly one-quarter (27%) of </w:t>
      </w:r>
      <w:r w:rsidR="000F7559" w:rsidRPr="000F7559">
        <w:t>Greater New Orleans</w:t>
      </w:r>
      <w:r>
        <w:t xml:space="preserve"> college students perceived great risk from </w:t>
      </w:r>
      <w:r w:rsidRPr="005330ED">
        <w:rPr>
          <w:u w:val="single"/>
        </w:rPr>
        <w:t>regular use of marijuana</w:t>
      </w:r>
      <w:r>
        <w:t xml:space="preserve">, and only 62 percent thought their close friends would disapprove if they were to use marijuana regularly.  Perception of risk and friends’ disapproval were substantially greater for the state as a whole </w:t>
      </w:r>
      <w:r w:rsidR="00B027C7">
        <w:t xml:space="preserve">(40%) </w:t>
      </w:r>
      <w:r>
        <w:t xml:space="preserve">and the </w:t>
      </w:r>
      <w:r w:rsidR="00BC7C71">
        <w:t xml:space="preserve">2009 </w:t>
      </w:r>
      <w:r>
        <w:t>national sample</w:t>
      </w:r>
      <w:r w:rsidR="00B027C7">
        <w:t xml:space="preserve"> (42%)</w:t>
      </w:r>
      <w:r>
        <w:t>.</w:t>
      </w:r>
    </w:p>
    <w:p w:rsidR="00CB1438" w:rsidRDefault="00CB1438" w:rsidP="00A03E1E"/>
    <w:tbl>
      <w:tblPr>
        <w:tblW w:w="9403" w:type="dxa"/>
        <w:jc w:val="right"/>
        <w:tblInd w:w="-4590" w:type="dxa"/>
        <w:tblLayout w:type="fixed"/>
        <w:tblCellMar>
          <w:left w:w="43" w:type="dxa"/>
          <w:right w:w="29" w:type="dxa"/>
        </w:tblCellMar>
        <w:tblLook w:val="04A0" w:firstRow="1" w:lastRow="0" w:firstColumn="1" w:lastColumn="0" w:noHBand="0" w:noVBand="1"/>
      </w:tblPr>
      <w:tblGrid>
        <w:gridCol w:w="3240"/>
        <w:gridCol w:w="1027"/>
        <w:gridCol w:w="1027"/>
        <w:gridCol w:w="1027"/>
        <w:gridCol w:w="1027"/>
        <w:gridCol w:w="1027"/>
        <w:gridCol w:w="1028"/>
      </w:tblGrid>
      <w:tr w:rsidR="00A03E1E" w:rsidRPr="00A40ADA" w:rsidTr="00387B0B">
        <w:trPr>
          <w:trHeight w:val="612"/>
          <w:jc w:val="right"/>
        </w:trPr>
        <w:tc>
          <w:tcPr>
            <w:tcW w:w="9403" w:type="dxa"/>
            <w:gridSpan w:val="7"/>
            <w:tcBorders>
              <w:bottom w:val="single" w:sz="4" w:space="0" w:color="auto"/>
            </w:tcBorders>
            <w:shd w:val="clear" w:color="auto" w:fill="auto"/>
            <w:noWrap/>
            <w:vAlign w:val="center"/>
          </w:tcPr>
          <w:p w:rsidR="00B93243" w:rsidRDefault="00CB1438" w:rsidP="006614F5">
            <w:pPr>
              <w:jc w:val="center"/>
              <w:rPr>
                <w:b/>
                <w:color w:val="000000"/>
                <w:sz w:val="20"/>
              </w:rPr>
            </w:pPr>
            <w:r w:rsidRPr="00CB1438">
              <w:rPr>
                <w:b/>
                <w:color w:val="000000"/>
                <w:sz w:val="20"/>
              </w:rPr>
              <w:t xml:space="preserve">Table 7: Protective Factors – </w:t>
            </w:r>
            <w:r w:rsidR="00A03E1E" w:rsidRPr="00CB1438">
              <w:rPr>
                <w:b/>
                <w:color w:val="000000"/>
                <w:sz w:val="20"/>
              </w:rPr>
              <w:t xml:space="preserve"> Percent of College Students Perceiving Great Risk </w:t>
            </w:r>
            <w:r w:rsidR="00B93243">
              <w:rPr>
                <w:b/>
                <w:color w:val="000000"/>
                <w:sz w:val="20"/>
              </w:rPr>
              <w:t xml:space="preserve">from, </w:t>
            </w:r>
            <w:r w:rsidR="00A03E1E" w:rsidRPr="00CB1438">
              <w:rPr>
                <w:b/>
                <w:color w:val="000000"/>
                <w:sz w:val="20"/>
              </w:rPr>
              <w:t xml:space="preserve">and </w:t>
            </w:r>
          </w:p>
          <w:p w:rsidR="00A03E1E" w:rsidRPr="00CB1438" w:rsidRDefault="00A03E1E" w:rsidP="00B93243">
            <w:pPr>
              <w:jc w:val="center"/>
              <w:rPr>
                <w:b/>
                <w:color w:val="000000"/>
                <w:sz w:val="20"/>
              </w:rPr>
            </w:pPr>
            <w:r w:rsidRPr="00CB1438">
              <w:rPr>
                <w:b/>
                <w:color w:val="000000"/>
                <w:sz w:val="20"/>
              </w:rPr>
              <w:t xml:space="preserve">Friends’ Disapproval </w:t>
            </w:r>
            <w:r w:rsidR="00B93243">
              <w:rPr>
                <w:b/>
                <w:color w:val="000000"/>
                <w:sz w:val="20"/>
              </w:rPr>
              <w:t>of,</w:t>
            </w:r>
            <w:r w:rsidRPr="00CB1438">
              <w:rPr>
                <w:b/>
                <w:color w:val="000000"/>
                <w:sz w:val="20"/>
              </w:rPr>
              <w:t xml:space="preserve"> Substance Use Behaviors</w:t>
            </w:r>
            <w:r w:rsidR="00CB1438" w:rsidRPr="00CB1438">
              <w:rPr>
                <w:b/>
                <w:bCs/>
                <w:color w:val="000000"/>
                <w:sz w:val="20"/>
              </w:rPr>
              <w:t>, 2011 Core Institute Survey</w:t>
            </w:r>
          </w:p>
        </w:tc>
      </w:tr>
      <w:tr w:rsidR="00A03E1E" w:rsidRPr="00A40ADA" w:rsidTr="00387B0B">
        <w:trPr>
          <w:trHeight w:val="321"/>
          <w:jc w:val="right"/>
        </w:trPr>
        <w:tc>
          <w:tcPr>
            <w:tcW w:w="3240" w:type="dxa"/>
            <w:vMerge w:val="restart"/>
            <w:tcBorders>
              <w:top w:val="single" w:sz="4" w:space="0" w:color="auto"/>
              <w:left w:val="single" w:sz="4" w:space="0" w:color="auto"/>
              <w:right w:val="single" w:sz="4" w:space="0" w:color="auto"/>
            </w:tcBorders>
            <w:shd w:val="clear" w:color="auto" w:fill="auto"/>
            <w:noWrap/>
            <w:vAlign w:val="center"/>
          </w:tcPr>
          <w:p w:rsidR="00A03E1E" w:rsidRPr="00B93243" w:rsidRDefault="00A03E1E" w:rsidP="006614F5">
            <w:pPr>
              <w:jc w:val="center"/>
              <w:rPr>
                <w:b/>
                <w:color w:val="000000"/>
                <w:sz w:val="20"/>
              </w:rPr>
            </w:pPr>
            <w:r w:rsidRPr="00B93243">
              <w:rPr>
                <w:b/>
                <w:color w:val="000000"/>
                <w:sz w:val="20"/>
              </w:rPr>
              <w:t>Substance Use Behavior</w:t>
            </w:r>
          </w:p>
        </w:tc>
        <w:tc>
          <w:tcPr>
            <w:tcW w:w="3081" w:type="dxa"/>
            <w:gridSpan w:val="3"/>
            <w:tcBorders>
              <w:top w:val="single" w:sz="4" w:space="0" w:color="auto"/>
              <w:left w:val="single" w:sz="4" w:space="0" w:color="auto"/>
              <w:bottom w:val="single" w:sz="4" w:space="0" w:color="auto"/>
              <w:right w:val="single" w:sz="4" w:space="0" w:color="auto"/>
            </w:tcBorders>
            <w:vAlign w:val="center"/>
          </w:tcPr>
          <w:p w:rsidR="00387B0B" w:rsidRDefault="00A03E1E" w:rsidP="006614F5">
            <w:pPr>
              <w:jc w:val="center"/>
              <w:rPr>
                <w:b/>
                <w:sz w:val="20"/>
              </w:rPr>
            </w:pPr>
            <w:r w:rsidRPr="00B93243">
              <w:rPr>
                <w:b/>
                <w:sz w:val="20"/>
              </w:rPr>
              <w:t xml:space="preserve">People are in </w:t>
            </w:r>
            <w:r w:rsidRPr="00B93243">
              <w:rPr>
                <w:b/>
                <w:sz w:val="20"/>
                <w:u w:val="single"/>
              </w:rPr>
              <w:t>great risk</w:t>
            </w:r>
            <w:r w:rsidRPr="00B93243">
              <w:rPr>
                <w:b/>
                <w:sz w:val="20"/>
              </w:rPr>
              <w:t xml:space="preserve"> of </w:t>
            </w:r>
          </w:p>
          <w:p w:rsidR="00A03E1E" w:rsidRPr="00B93243" w:rsidRDefault="00A03E1E" w:rsidP="00387B0B">
            <w:pPr>
              <w:jc w:val="center"/>
              <w:rPr>
                <w:b/>
                <w:color w:val="000000"/>
                <w:sz w:val="20"/>
              </w:rPr>
            </w:pPr>
            <w:proofErr w:type="gramStart"/>
            <w:r w:rsidRPr="00B93243">
              <w:rPr>
                <w:b/>
                <w:sz w:val="20"/>
              </w:rPr>
              <w:t>harm</w:t>
            </w:r>
            <w:proofErr w:type="gramEnd"/>
            <w:r w:rsidRPr="00B93243">
              <w:rPr>
                <w:b/>
                <w:sz w:val="20"/>
              </w:rPr>
              <w:t xml:space="preserve"> if they…</w:t>
            </w: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87B0B" w:rsidRDefault="00A03E1E" w:rsidP="006614F5">
            <w:pPr>
              <w:jc w:val="center"/>
              <w:rPr>
                <w:b/>
                <w:color w:val="000000"/>
                <w:sz w:val="20"/>
                <w:u w:val="single"/>
              </w:rPr>
            </w:pPr>
            <w:r w:rsidRPr="00B93243">
              <w:rPr>
                <w:b/>
                <w:color w:val="000000"/>
                <w:sz w:val="20"/>
              </w:rPr>
              <w:t xml:space="preserve">My close </w:t>
            </w:r>
            <w:r w:rsidRPr="00B93243">
              <w:rPr>
                <w:b/>
                <w:color w:val="000000"/>
                <w:sz w:val="20"/>
                <w:u w:val="single"/>
              </w:rPr>
              <w:t xml:space="preserve">friends would </w:t>
            </w:r>
          </w:p>
          <w:p w:rsidR="00A03E1E" w:rsidRPr="00B93243" w:rsidRDefault="00A03E1E" w:rsidP="006614F5">
            <w:pPr>
              <w:jc w:val="center"/>
              <w:rPr>
                <w:b/>
                <w:color w:val="000000"/>
                <w:sz w:val="20"/>
              </w:rPr>
            </w:pPr>
            <w:proofErr w:type="gramStart"/>
            <w:r w:rsidRPr="00B93243">
              <w:rPr>
                <w:b/>
                <w:color w:val="000000"/>
                <w:sz w:val="20"/>
                <w:u w:val="single"/>
              </w:rPr>
              <w:t>disapprove</w:t>
            </w:r>
            <w:proofErr w:type="gramEnd"/>
            <w:r w:rsidRPr="00B93243">
              <w:rPr>
                <w:b/>
                <w:color w:val="000000"/>
                <w:sz w:val="20"/>
              </w:rPr>
              <w:t xml:space="preserve"> if I…</w:t>
            </w:r>
          </w:p>
        </w:tc>
      </w:tr>
      <w:tr w:rsidR="00B027C7" w:rsidRPr="00A40ADA" w:rsidTr="00387B0B">
        <w:trPr>
          <w:trHeight w:val="321"/>
          <w:jc w:val="right"/>
        </w:trPr>
        <w:tc>
          <w:tcPr>
            <w:tcW w:w="3240" w:type="dxa"/>
            <w:vMerge/>
            <w:tcBorders>
              <w:left w:val="single" w:sz="4" w:space="0" w:color="auto"/>
              <w:bottom w:val="single" w:sz="4" w:space="0" w:color="auto"/>
              <w:right w:val="single" w:sz="4" w:space="0" w:color="auto"/>
            </w:tcBorders>
            <w:shd w:val="clear" w:color="auto" w:fill="auto"/>
            <w:noWrap/>
            <w:vAlign w:val="center"/>
          </w:tcPr>
          <w:p w:rsidR="00B027C7" w:rsidRPr="00B93243" w:rsidRDefault="00B027C7" w:rsidP="006614F5">
            <w:pPr>
              <w:rPr>
                <w:b/>
                <w:color w:val="000000"/>
                <w:sz w:val="20"/>
              </w:rPr>
            </w:pPr>
          </w:p>
        </w:tc>
        <w:tc>
          <w:tcPr>
            <w:tcW w:w="1027" w:type="dxa"/>
            <w:tcBorders>
              <w:top w:val="single" w:sz="4" w:space="0" w:color="auto"/>
              <w:left w:val="single" w:sz="4" w:space="0" w:color="auto"/>
              <w:bottom w:val="single" w:sz="4" w:space="0" w:color="auto"/>
              <w:right w:val="single" w:sz="4" w:space="0" w:color="auto"/>
            </w:tcBorders>
            <w:vAlign w:val="center"/>
          </w:tcPr>
          <w:p w:rsidR="00B027C7" w:rsidRDefault="00B027C7" w:rsidP="006614F5">
            <w:pPr>
              <w:jc w:val="center"/>
              <w:rPr>
                <w:b/>
                <w:color w:val="000000"/>
                <w:sz w:val="18"/>
                <w:szCs w:val="18"/>
              </w:rPr>
            </w:pPr>
            <w:r>
              <w:rPr>
                <w:b/>
                <w:color w:val="000000"/>
                <w:sz w:val="18"/>
                <w:szCs w:val="18"/>
              </w:rPr>
              <w:t>Greater New Orleans</w:t>
            </w:r>
          </w:p>
          <w:p w:rsidR="00B027C7" w:rsidRPr="00B93243" w:rsidRDefault="00B027C7" w:rsidP="006614F5">
            <w:pPr>
              <w:jc w:val="center"/>
              <w:rPr>
                <w:b/>
                <w:color w:val="000000"/>
                <w:sz w:val="18"/>
                <w:szCs w:val="18"/>
              </w:rPr>
            </w:pPr>
            <w:r>
              <w:rPr>
                <w:b/>
                <w:color w:val="000000"/>
                <w:sz w:val="18"/>
                <w:szCs w:val="18"/>
              </w:rPr>
              <w:t>2011</w:t>
            </w:r>
          </w:p>
        </w:tc>
        <w:tc>
          <w:tcPr>
            <w:tcW w:w="1027" w:type="dxa"/>
            <w:tcBorders>
              <w:top w:val="single" w:sz="4" w:space="0" w:color="auto"/>
              <w:left w:val="single" w:sz="4" w:space="0" w:color="auto"/>
              <w:bottom w:val="single" w:sz="4" w:space="0" w:color="auto"/>
              <w:right w:val="single" w:sz="4" w:space="0" w:color="auto"/>
            </w:tcBorders>
            <w:vAlign w:val="center"/>
          </w:tcPr>
          <w:p w:rsidR="00B027C7" w:rsidRDefault="00B027C7" w:rsidP="006614F5">
            <w:pPr>
              <w:jc w:val="center"/>
              <w:rPr>
                <w:b/>
                <w:color w:val="000000"/>
                <w:sz w:val="18"/>
                <w:szCs w:val="18"/>
              </w:rPr>
            </w:pPr>
            <w:r w:rsidRPr="00B93243">
              <w:rPr>
                <w:b/>
                <w:color w:val="000000"/>
                <w:sz w:val="18"/>
                <w:szCs w:val="18"/>
              </w:rPr>
              <w:t>Louisiana</w:t>
            </w:r>
          </w:p>
          <w:p w:rsidR="00B027C7" w:rsidRPr="00B93243" w:rsidRDefault="00B027C7" w:rsidP="006614F5">
            <w:pPr>
              <w:jc w:val="center"/>
              <w:rPr>
                <w:b/>
                <w:color w:val="000000"/>
                <w:sz w:val="18"/>
                <w:szCs w:val="18"/>
              </w:rPr>
            </w:pPr>
            <w:r>
              <w:rPr>
                <w:b/>
                <w:color w:val="000000"/>
                <w:sz w:val="18"/>
                <w:szCs w:val="18"/>
              </w:rPr>
              <w:t>2011</w:t>
            </w:r>
          </w:p>
        </w:tc>
        <w:tc>
          <w:tcPr>
            <w:tcW w:w="1027" w:type="dxa"/>
            <w:tcBorders>
              <w:top w:val="single" w:sz="4" w:space="0" w:color="auto"/>
              <w:left w:val="single" w:sz="4" w:space="0" w:color="auto"/>
              <w:bottom w:val="single" w:sz="4" w:space="0" w:color="auto"/>
              <w:right w:val="single" w:sz="4" w:space="0" w:color="auto"/>
            </w:tcBorders>
            <w:vAlign w:val="center"/>
          </w:tcPr>
          <w:p w:rsidR="00B027C7" w:rsidRDefault="00B027C7" w:rsidP="006614F5">
            <w:pPr>
              <w:jc w:val="center"/>
              <w:rPr>
                <w:b/>
                <w:color w:val="000000"/>
                <w:sz w:val="18"/>
                <w:szCs w:val="18"/>
              </w:rPr>
            </w:pPr>
            <w:r w:rsidRPr="00B93243">
              <w:rPr>
                <w:b/>
                <w:color w:val="000000"/>
                <w:sz w:val="18"/>
                <w:szCs w:val="18"/>
              </w:rPr>
              <w:t>National</w:t>
            </w:r>
          </w:p>
          <w:p w:rsidR="00B027C7" w:rsidRPr="00B93243" w:rsidRDefault="00B027C7" w:rsidP="006614F5">
            <w:pPr>
              <w:jc w:val="center"/>
              <w:rPr>
                <w:b/>
                <w:color w:val="000000"/>
                <w:sz w:val="18"/>
                <w:szCs w:val="18"/>
              </w:rPr>
            </w:pPr>
            <w:r>
              <w:rPr>
                <w:b/>
                <w:color w:val="000000"/>
                <w:sz w:val="18"/>
                <w:szCs w:val="18"/>
              </w:rPr>
              <w:t>2009#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7C7" w:rsidRDefault="00B027C7" w:rsidP="00AD0CD9">
            <w:pPr>
              <w:jc w:val="center"/>
              <w:rPr>
                <w:b/>
                <w:color w:val="000000"/>
                <w:sz w:val="18"/>
                <w:szCs w:val="18"/>
              </w:rPr>
            </w:pPr>
            <w:r>
              <w:rPr>
                <w:b/>
                <w:color w:val="000000"/>
                <w:sz w:val="18"/>
                <w:szCs w:val="18"/>
              </w:rPr>
              <w:t>Greater New Orleans</w:t>
            </w:r>
          </w:p>
          <w:p w:rsidR="00B027C7" w:rsidRPr="00B93243" w:rsidRDefault="00B027C7" w:rsidP="00AD0CD9">
            <w:pPr>
              <w:jc w:val="center"/>
              <w:rPr>
                <w:b/>
                <w:color w:val="000000"/>
                <w:sz w:val="18"/>
                <w:szCs w:val="18"/>
              </w:rPr>
            </w:pPr>
            <w:r>
              <w:rPr>
                <w:b/>
                <w:color w:val="000000"/>
                <w:sz w:val="18"/>
                <w:szCs w:val="18"/>
              </w:rPr>
              <w:t>2011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7C7" w:rsidRDefault="00B027C7" w:rsidP="00AD0CD9">
            <w:pPr>
              <w:jc w:val="center"/>
              <w:rPr>
                <w:b/>
                <w:color w:val="000000"/>
                <w:sz w:val="18"/>
                <w:szCs w:val="18"/>
              </w:rPr>
            </w:pPr>
            <w:r w:rsidRPr="00B93243">
              <w:rPr>
                <w:b/>
                <w:color w:val="000000"/>
                <w:sz w:val="18"/>
                <w:szCs w:val="18"/>
              </w:rPr>
              <w:t>Louisiana</w:t>
            </w:r>
          </w:p>
          <w:p w:rsidR="00B027C7" w:rsidRPr="00B93243" w:rsidRDefault="00B027C7" w:rsidP="00AD0CD9">
            <w:pPr>
              <w:jc w:val="center"/>
              <w:rPr>
                <w:b/>
                <w:color w:val="000000"/>
                <w:sz w:val="18"/>
                <w:szCs w:val="18"/>
              </w:rPr>
            </w:pPr>
            <w:r>
              <w:rPr>
                <w:b/>
                <w:color w:val="000000"/>
                <w:sz w:val="18"/>
                <w:szCs w:val="18"/>
              </w:rPr>
              <w:t>2011</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7C7" w:rsidRDefault="00B027C7" w:rsidP="00AD0CD9">
            <w:pPr>
              <w:jc w:val="center"/>
              <w:rPr>
                <w:b/>
                <w:color w:val="000000"/>
                <w:sz w:val="18"/>
                <w:szCs w:val="18"/>
              </w:rPr>
            </w:pPr>
            <w:r w:rsidRPr="00B93243">
              <w:rPr>
                <w:b/>
                <w:color w:val="000000"/>
                <w:sz w:val="18"/>
                <w:szCs w:val="18"/>
              </w:rPr>
              <w:t>National</w:t>
            </w:r>
          </w:p>
          <w:p w:rsidR="00B027C7" w:rsidRPr="00B93243" w:rsidRDefault="00B027C7" w:rsidP="00AD0CD9">
            <w:pPr>
              <w:jc w:val="center"/>
              <w:rPr>
                <w:b/>
                <w:color w:val="000000"/>
                <w:sz w:val="18"/>
                <w:szCs w:val="18"/>
              </w:rPr>
            </w:pPr>
            <w:r>
              <w:rPr>
                <w:b/>
                <w:color w:val="000000"/>
                <w:sz w:val="18"/>
                <w:szCs w:val="18"/>
              </w:rPr>
              <w:t>2009#</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Try marijuana once or twice</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7.6</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14.8</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11.3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30.3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52.8</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46.6</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Smoke marijuana occasionally</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10.2</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20.9</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17.7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38.9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62.6</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59.6</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Smoke marijuana regularly</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26.5</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39.6</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41.6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62.3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77.1</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79.2</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Try cocaine once or twice</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37.1</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49.0</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46.6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75.1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88.2</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88.8</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Take cocaine regularly</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74.6</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74.6</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79.2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95.3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95.7</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96.8</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Try LSD once or twice</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39.6</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52.9</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52.8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71.9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86.7</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87.8</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Take LSD regularly</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71.9</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72.7</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77.4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94.5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95.1</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96.4</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Try amphetamines once or twice</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39.3</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47.3</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48.6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Take amphetamines regularly</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69.2</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66.4</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73.4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Take 1 or 2 drinks every day</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20.2</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26.7</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22.0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53.1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60.8</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61.0</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Take 4 or 5 drinks every day</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60.7</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59.5</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61.6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87.6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jc w:val="center"/>
              <w:rPr>
                <w:sz w:val="20"/>
              </w:rPr>
            </w:pPr>
            <w:r w:rsidRPr="00CB1438">
              <w:rPr>
                <w:sz w:val="20"/>
              </w:rPr>
              <w:t>87.5</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88.5</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rPr>
                <w:sz w:val="20"/>
              </w:rPr>
            </w:pPr>
            <w:r w:rsidRPr="00CB1438">
              <w:rPr>
                <w:sz w:val="20"/>
              </w:rPr>
              <w:t>Have five or more drinks at one sitting</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42.4</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55.0</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jc w:val="center"/>
              <w:rPr>
                <w:sz w:val="20"/>
              </w:rPr>
            </w:pPr>
            <w:r w:rsidRPr="00CB1438">
              <w:rPr>
                <w:sz w:val="20"/>
              </w:rPr>
              <w:t>49.6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r w:rsidRPr="00CB1438">
              <w:rPr>
                <w:sz w:val="20"/>
              </w:rPr>
              <w:t>49.8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r w:rsidRPr="00CB1438">
              <w:rPr>
                <w:sz w:val="20"/>
              </w:rPr>
              <w:t>66.2</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r w:rsidRPr="00CB1438">
              <w:rPr>
                <w:color w:val="000000"/>
                <w:sz w:val="20"/>
              </w:rPr>
              <w:t>57.7</w:t>
            </w:r>
          </w:p>
        </w:tc>
      </w:tr>
      <w:tr w:rsidR="00A03E1E" w:rsidRPr="00A40ADA" w:rsidTr="00387B0B">
        <w:trPr>
          <w:trHeight w:val="368"/>
          <w:jc w:val="right"/>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autoSpaceDE w:val="0"/>
              <w:autoSpaceDN w:val="0"/>
              <w:adjustRightInd w:val="0"/>
              <w:rPr>
                <w:sz w:val="20"/>
              </w:rPr>
            </w:pPr>
            <w:r w:rsidRPr="00CB1438">
              <w:rPr>
                <w:sz w:val="20"/>
              </w:rPr>
              <w:t>Take steroids for athletic performance</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53.2</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autoSpaceDE w:val="0"/>
              <w:autoSpaceDN w:val="0"/>
              <w:adjustRightInd w:val="0"/>
              <w:jc w:val="center"/>
              <w:rPr>
                <w:sz w:val="20"/>
              </w:rPr>
            </w:pPr>
            <w:r w:rsidRPr="00CB1438">
              <w:rPr>
                <w:sz w:val="20"/>
              </w:rPr>
              <w:t>57.1</w:t>
            </w:r>
          </w:p>
        </w:tc>
        <w:tc>
          <w:tcPr>
            <w:tcW w:w="1027" w:type="dxa"/>
            <w:tcBorders>
              <w:top w:val="single" w:sz="4" w:space="0" w:color="auto"/>
              <w:left w:val="single" w:sz="4" w:space="0" w:color="auto"/>
              <w:bottom w:val="single" w:sz="4" w:space="0" w:color="auto"/>
              <w:right w:val="single" w:sz="4" w:space="0" w:color="auto"/>
            </w:tcBorders>
            <w:vAlign w:val="center"/>
          </w:tcPr>
          <w:p w:rsidR="00A03E1E" w:rsidRPr="00CB1438" w:rsidRDefault="00A03E1E" w:rsidP="006614F5">
            <w:pPr>
              <w:jc w:val="center"/>
              <w:rPr>
                <w:color w:val="000000"/>
                <w:sz w:val="20"/>
              </w:rPr>
            </w:pPr>
            <w:r w:rsidRPr="00CB1438">
              <w:rPr>
                <w:color w:val="000000"/>
                <w:sz w:val="20"/>
              </w:rPr>
              <w:t>56.2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sz w:val="20"/>
              </w:rPr>
            </w:pPr>
            <w:proofErr w:type="spellStart"/>
            <w:r w:rsidRPr="00CB1438">
              <w:rPr>
                <w:color w:val="000000"/>
                <w:sz w:val="20"/>
              </w:rPr>
              <w:t>na</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E1E" w:rsidRPr="00CB1438" w:rsidRDefault="00A03E1E" w:rsidP="006614F5">
            <w:pPr>
              <w:jc w:val="center"/>
              <w:rPr>
                <w:color w:val="000000"/>
                <w:sz w:val="20"/>
              </w:rPr>
            </w:pPr>
            <w:proofErr w:type="spellStart"/>
            <w:r w:rsidRPr="00CB1438">
              <w:rPr>
                <w:color w:val="000000"/>
                <w:sz w:val="20"/>
              </w:rPr>
              <w:t>na</w:t>
            </w:r>
            <w:proofErr w:type="spellEnd"/>
          </w:p>
        </w:tc>
      </w:tr>
      <w:tr w:rsidR="00387B0B" w:rsidRPr="00A40ADA" w:rsidTr="00387B0B">
        <w:trPr>
          <w:trHeight w:val="321"/>
          <w:jc w:val="right"/>
        </w:trPr>
        <w:tc>
          <w:tcPr>
            <w:tcW w:w="9403" w:type="dxa"/>
            <w:gridSpan w:val="7"/>
            <w:tcBorders>
              <w:top w:val="single" w:sz="4" w:space="0" w:color="auto"/>
            </w:tcBorders>
            <w:shd w:val="clear" w:color="auto" w:fill="auto"/>
            <w:noWrap/>
            <w:vAlign w:val="center"/>
          </w:tcPr>
          <w:p w:rsidR="00387B0B" w:rsidRDefault="00387B0B" w:rsidP="00773B3D">
            <w:pPr>
              <w:rPr>
                <w:color w:val="000000"/>
                <w:sz w:val="18"/>
                <w:szCs w:val="18"/>
              </w:rPr>
            </w:pPr>
            <w:r w:rsidRPr="008024F0">
              <w:rPr>
                <w:color w:val="000000"/>
                <w:sz w:val="18"/>
                <w:szCs w:val="18"/>
              </w:rPr>
              <w:t>#These figures are from the 2009 national sample; figures for 2011 h</w:t>
            </w:r>
            <w:r>
              <w:rPr>
                <w:color w:val="000000"/>
                <w:sz w:val="18"/>
                <w:szCs w:val="18"/>
              </w:rPr>
              <w:t xml:space="preserve">ave not been published online. </w:t>
            </w:r>
          </w:p>
          <w:p w:rsidR="00387B0B" w:rsidRPr="008024F0" w:rsidRDefault="00387B0B" w:rsidP="00773B3D">
            <w:pPr>
              <w:rPr>
                <w:sz w:val="18"/>
                <w:szCs w:val="18"/>
              </w:rPr>
            </w:pPr>
            <w:r w:rsidRPr="00C9219B">
              <w:rPr>
                <w:color w:val="000000"/>
                <w:sz w:val="18"/>
                <w:szCs w:val="18"/>
              </w:rPr>
              <w:t xml:space="preserve">Data Source: </w:t>
            </w:r>
            <w:r w:rsidRPr="00C9219B">
              <w:rPr>
                <w:color w:val="000000"/>
                <w:sz w:val="18"/>
                <w:szCs w:val="18"/>
                <w:lang w:val="en"/>
              </w:rPr>
              <w:t xml:space="preserve"> Louisiana Center Addressing Substance Use</w:t>
            </w:r>
            <w:r w:rsidRPr="00C9219B">
              <w:rPr>
                <w:color w:val="000000"/>
                <w:sz w:val="18"/>
                <w:szCs w:val="18"/>
              </w:rPr>
              <w:t>, 2012 (</w:t>
            </w:r>
            <w:hyperlink r:id="rId31" w:history="1">
              <w:r w:rsidRPr="00C9219B">
                <w:rPr>
                  <w:rStyle w:val="Hyperlink"/>
                  <w:sz w:val="18"/>
                  <w:szCs w:val="18"/>
                </w:rPr>
                <w:t>http://uiswcmsweb.prod.lsu.edu/edco/lacasu/</w:t>
              </w:r>
            </w:hyperlink>
          </w:p>
        </w:tc>
      </w:tr>
    </w:tbl>
    <w:p w:rsidR="00A03E1E" w:rsidRDefault="00A03E1E" w:rsidP="00A03E1E"/>
    <w:p w:rsidR="00BC7C71" w:rsidRPr="00BC7C71" w:rsidRDefault="00BC7C71" w:rsidP="00BC7C71">
      <w:r w:rsidRPr="00BC7C71">
        <w:lastRenderedPageBreak/>
        <w:t xml:space="preserve">Greater risk and disapproval was attributed to cocaine use. </w:t>
      </w:r>
      <w:r w:rsidR="00D3147A">
        <w:t>In</w:t>
      </w:r>
      <w:r w:rsidR="00187D10">
        <w:t xml:space="preserve"> 2011, t</w:t>
      </w:r>
      <w:r w:rsidRPr="00BC7C71">
        <w:t xml:space="preserve">hree-quarters of Greater New Orleans college </w:t>
      </w:r>
      <w:r w:rsidR="00187D10" w:rsidRPr="00BC7C71">
        <w:t>students</w:t>
      </w:r>
      <w:r w:rsidR="00187D10" w:rsidRPr="00187D10">
        <w:t xml:space="preserve"> (75%)</w:t>
      </w:r>
      <w:r w:rsidRPr="00BC7C71">
        <w:t xml:space="preserve"> perceived great risk from </w:t>
      </w:r>
      <w:r w:rsidRPr="00BC7C71">
        <w:rPr>
          <w:u w:val="single"/>
        </w:rPr>
        <w:t>regular use of cocaine</w:t>
      </w:r>
      <w:r w:rsidRPr="00BC7C71">
        <w:t xml:space="preserve">. But this means 25 percent did not believe that the risk was that great. Almost all Greater New Orleans </w:t>
      </w:r>
      <w:r w:rsidR="00187D10">
        <w:t xml:space="preserve">college </w:t>
      </w:r>
      <w:r w:rsidRPr="00BC7C71">
        <w:t xml:space="preserve">students (95%) thought their close friends would disapprove </w:t>
      </w:r>
      <w:r w:rsidR="00187D10">
        <w:t xml:space="preserve">of regular use of cocaine. </w:t>
      </w:r>
      <w:r w:rsidR="00D3147A">
        <w:t>T</w:t>
      </w:r>
      <w:r w:rsidRPr="00BC7C71">
        <w:t xml:space="preserve">here was </w:t>
      </w:r>
      <w:r w:rsidRPr="00BC7C71">
        <w:rPr>
          <w:u w:val="single"/>
        </w:rPr>
        <w:t>no</w:t>
      </w:r>
      <w:r w:rsidRPr="00BC7C71">
        <w:t xml:space="preserve"> substantial difference </w:t>
      </w:r>
      <w:r w:rsidR="004C044B" w:rsidRPr="004C044B">
        <w:t xml:space="preserve">in perceptions of great risk and friends’ disapproval of </w:t>
      </w:r>
      <w:r w:rsidR="004C044B">
        <w:t xml:space="preserve">regular cocaine use </w:t>
      </w:r>
      <w:r w:rsidRPr="00BC7C71">
        <w:t xml:space="preserve">among </w:t>
      </w:r>
      <w:r w:rsidR="00187D10">
        <w:t>student in</w:t>
      </w:r>
      <w:r w:rsidRPr="00BC7C71">
        <w:t xml:space="preserve"> Greater New Orleans, the state as a whole and the </w:t>
      </w:r>
      <w:r w:rsidR="004C044B">
        <w:t xml:space="preserve">2009 </w:t>
      </w:r>
      <w:r w:rsidRPr="00BC7C71">
        <w:t xml:space="preserve">national sample. </w:t>
      </w:r>
    </w:p>
    <w:p w:rsidR="00BC7C71" w:rsidRDefault="00BC7C71" w:rsidP="00A03E1E"/>
    <w:p w:rsidR="00A03E1E" w:rsidRPr="00674D7B" w:rsidRDefault="00A03E1E" w:rsidP="00A03E1E">
      <w:r>
        <w:t xml:space="preserve">The perception of risk from regular amphetamine use was only slightly lower than for cocaine. </w:t>
      </w:r>
      <w:r w:rsidR="000B6EEC">
        <w:t>In 2011, o</w:t>
      </w:r>
      <w:r>
        <w:t xml:space="preserve">ver two-thirds of </w:t>
      </w:r>
      <w:r w:rsidR="00387B0B" w:rsidRPr="00387B0B">
        <w:t xml:space="preserve">Greater New Orleans </w:t>
      </w:r>
      <w:r>
        <w:t xml:space="preserve">college students </w:t>
      </w:r>
      <w:r w:rsidR="00D3147A" w:rsidRPr="00D3147A">
        <w:t xml:space="preserve">(69%) </w:t>
      </w:r>
      <w:r>
        <w:t xml:space="preserve">perceived great risk from </w:t>
      </w:r>
      <w:r w:rsidRPr="000B6EEC">
        <w:rPr>
          <w:u w:val="single"/>
        </w:rPr>
        <w:t xml:space="preserve">regular </w:t>
      </w:r>
      <w:r w:rsidR="000B6EEC">
        <w:rPr>
          <w:u w:val="single"/>
        </w:rPr>
        <w:t xml:space="preserve">use of </w:t>
      </w:r>
      <w:r w:rsidR="000B6EEC" w:rsidRPr="000B6EEC">
        <w:rPr>
          <w:u w:val="single"/>
        </w:rPr>
        <w:t>amphetamines</w:t>
      </w:r>
      <w:r>
        <w:t xml:space="preserve">. </w:t>
      </w:r>
      <w:r w:rsidR="000B6EEC">
        <w:t>T</w:t>
      </w:r>
      <w:r>
        <w:t xml:space="preserve">here was </w:t>
      </w:r>
      <w:r w:rsidRPr="00674D7B">
        <w:rPr>
          <w:u w:val="single"/>
        </w:rPr>
        <w:t>no</w:t>
      </w:r>
      <w:r w:rsidRPr="00674D7B">
        <w:t xml:space="preserve"> substantial difference</w:t>
      </w:r>
      <w:r w:rsidR="000B6EEC" w:rsidRPr="000B6EEC">
        <w:t xml:space="preserve"> in perceptions of </w:t>
      </w:r>
      <w:r w:rsidR="000B6EEC">
        <w:t xml:space="preserve">great </w:t>
      </w:r>
      <w:r w:rsidR="00D3147A">
        <w:t xml:space="preserve">of regular amphetamine use </w:t>
      </w:r>
      <w:r w:rsidRPr="00674D7B">
        <w:t xml:space="preserve">among </w:t>
      </w:r>
      <w:r w:rsidR="00D3147A">
        <w:t xml:space="preserve">college students in </w:t>
      </w:r>
      <w:r w:rsidR="00387B0B" w:rsidRPr="00387B0B">
        <w:t>Greater New Orleans</w:t>
      </w:r>
      <w:r w:rsidRPr="00674D7B">
        <w:t>, the state as a whole and the</w:t>
      </w:r>
      <w:r w:rsidR="00D3147A">
        <w:t xml:space="preserve"> 2009</w:t>
      </w:r>
      <w:r w:rsidRPr="00674D7B">
        <w:t xml:space="preserve"> national sample. </w:t>
      </w:r>
    </w:p>
    <w:p w:rsidR="00A03E1E" w:rsidRPr="00387266" w:rsidRDefault="00A03E1E" w:rsidP="00A03E1E"/>
    <w:p w:rsidR="00A03E1E" w:rsidRPr="00387266" w:rsidRDefault="004C044B" w:rsidP="00A03E1E">
      <w:r>
        <w:t>In 2011, l</w:t>
      </w:r>
      <w:r w:rsidR="00A03E1E" w:rsidRPr="00387266">
        <w:t xml:space="preserve">ess than two-thirds </w:t>
      </w:r>
      <w:r w:rsidR="00A03E1E">
        <w:t xml:space="preserve">of </w:t>
      </w:r>
      <w:r w:rsidR="00387B0B" w:rsidRPr="00387B0B">
        <w:t xml:space="preserve">Greater New Orleans </w:t>
      </w:r>
      <w:r w:rsidR="00A03E1E">
        <w:t xml:space="preserve">college students </w:t>
      </w:r>
      <w:r w:rsidR="00584B91" w:rsidRPr="00584B91">
        <w:t xml:space="preserve">(61%) </w:t>
      </w:r>
      <w:r w:rsidR="00A03E1E">
        <w:t xml:space="preserve">perceived great risk from taking </w:t>
      </w:r>
      <w:r w:rsidR="00A03E1E" w:rsidRPr="006146CB">
        <w:rPr>
          <w:u w:val="single"/>
        </w:rPr>
        <w:t>4 or 5 drinks every day</w:t>
      </w:r>
      <w:r w:rsidR="00A03E1E">
        <w:t>, meaning that 39 percent did not believe that the risk was that great. However, 88 percent thought their close friends would disapprove if they were to drink this much. These rates are almost identical for the state as a whole and the national comparison sample.</w:t>
      </w:r>
      <w:r w:rsidR="008C19A8">
        <w:t xml:space="preserve"> [</w:t>
      </w:r>
      <w:r w:rsidR="006146CB">
        <w:t>Regarding binge drinking (</w:t>
      </w:r>
      <w:r w:rsidR="008C19A8">
        <w:t>5 or more drinks per siting)</w:t>
      </w:r>
      <w:r w:rsidR="006146CB">
        <w:t>, note that perception of risk and disapproval are lower</w:t>
      </w:r>
      <w:r w:rsidR="008C19A8">
        <w:t xml:space="preserve"> than for “4 or 5 drinks”</w:t>
      </w:r>
      <w:r w:rsidR="006146CB">
        <w:t>; this is likely be</w:t>
      </w:r>
      <w:r w:rsidR="008C19A8">
        <w:t>cause the survey question did not include the frequency of binge drinking.]</w:t>
      </w:r>
    </w:p>
    <w:p w:rsidR="00A03E1E" w:rsidRDefault="00A03E1E" w:rsidP="00A03E1E"/>
    <w:sectPr w:rsidR="00A03E1E" w:rsidSect="0081343A">
      <w:footerReference w:type="default" r:id="rId3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00" w:rsidRDefault="00006C00" w:rsidP="001B31CC">
      <w:r>
        <w:separator/>
      </w:r>
    </w:p>
  </w:endnote>
  <w:endnote w:type="continuationSeparator" w:id="0">
    <w:p w:rsidR="00006C00" w:rsidRDefault="00006C00"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72" w:rsidRDefault="00006C00">
    <w:pPr>
      <w:pStyle w:val="Footer"/>
    </w:pPr>
    <w:r>
      <w:fldChar w:fldCharType="begin"/>
    </w:r>
    <w:r>
      <w:instrText xml:space="preserve"> FILENAME   \* MERGEFORMAT </w:instrText>
    </w:r>
    <w:r>
      <w:fldChar w:fldCharType="separate"/>
    </w:r>
    <w:r w:rsidR="00AE4172" w:rsidRPr="00773B3D">
      <w:rPr>
        <w:noProof/>
        <w:sz w:val="18"/>
        <w:szCs w:val="18"/>
      </w:rPr>
      <w:t>Summary_Core_20140401.docx</w:t>
    </w:r>
    <w:r>
      <w:rPr>
        <w:noProof/>
        <w:sz w:val="18"/>
        <w:szCs w:val="18"/>
      </w:rPr>
      <w:fldChar w:fldCharType="end"/>
    </w:r>
    <w:r w:rsidR="00AE4172">
      <w:tab/>
    </w:r>
  </w:p>
  <w:p w:rsidR="00AE4172" w:rsidRDefault="00AE4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72" w:rsidRDefault="00006C00">
    <w:pPr>
      <w:pStyle w:val="Footer"/>
    </w:pPr>
    <w:r>
      <w:fldChar w:fldCharType="begin"/>
    </w:r>
    <w:r>
      <w:instrText xml:space="preserve"> FILENAME   \* MERGEFORMAT </w:instrText>
    </w:r>
    <w:r>
      <w:fldChar w:fldCharType="separate"/>
    </w:r>
    <w:r w:rsidR="005A59B2" w:rsidRPr="005A59B2">
      <w:rPr>
        <w:noProof/>
        <w:sz w:val="18"/>
        <w:szCs w:val="18"/>
      </w:rPr>
      <w:t>Summary_Core_20140630.docx</w:t>
    </w:r>
    <w:r>
      <w:rPr>
        <w:noProof/>
        <w:sz w:val="18"/>
        <w:szCs w:val="18"/>
      </w:rPr>
      <w:fldChar w:fldCharType="end"/>
    </w:r>
    <w:r w:rsidR="00AE4172">
      <w:tab/>
    </w:r>
    <w:r w:rsidR="00AE4172">
      <w:fldChar w:fldCharType="begin"/>
    </w:r>
    <w:r w:rsidR="00AE4172">
      <w:instrText xml:space="preserve"> PAGE   \* MERGEFORMAT </w:instrText>
    </w:r>
    <w:r w:rsidR="00AE4172">
      <w:fldChar w:fldCharType="separate"/>
    </w:r>
    <w:r w:rsidR="00D7605B">
      <w:rPr>
        <w:noProof/>
      </w:rPr>
      <w:t>1</w:t>
    </w:r>
    <w:r w:rsidR="00AE4172">
      <w:fldChar w:fldCharType="end"/>
    </w:r>
    <w:r w:rsidR="00AE4172">
      <w:t xml:space="preserve"> of </w:t>
    </w:r>
    <w:r>
      <w:fldChar w:fldCharType="begin"/>
    </w:r>
    <w:r>
      <w:instrText xml:space="preserve"> SECTIONPAGES   \* MERGEFORMAT </w:instrText>
    </w:r>
    <w:r>
      <w:fldChar w:fldCharType="separate"/>
    </w:r>
    <w:r w:rsidR="00D7605B">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00" w:rsidRDefault="00006C00" w:rsidP="001B31CC">
      <w:r>
        <w:separator/>
      </w:r>
    </w:p>
  </w:footnote>
  <w:footnote w:type="continuationSeparator" w:id="0">
    <w:p w:rsidR="00006C00" w:rsidRDefault="00006C00" w:rsidP="001B3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A9B"/>
    <w:multiLevelType w:val="hybridMultilevel"/>
    <w:tmpl w:val="FB94E2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944D7"/>
    <w:multiLevelType w:val="hybridMultilevel"/>
    <w:tmpl w:val="BBF355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70011A"/>
    <w:multiLevelType w:val="hybridMultilevel"/>
    <w:tmpl w:val="BF06D3E2"/>
    <w:lvl w:ilvl="0" w:tplc="FAA2B744">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00F60"/>
    <w:multiLevelType w:val="hybridMultilevel"/>
    <w:tmpl w:val="0732655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7">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266AE1"/>
    <w:multiLevelType w:val="hybridMultilevel"/>
    <w:tmpl w:val="1A824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9309D"/>
    <w:multiLevelType w:val="hybridMultilevel"/>
    <w:tmpl w:val="64884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BC3C68"/>
    <w:multiLevelType w:val="hybridMultilevel"/>
    <w:tmpl w:val="2BEC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B57997"/>
    <w:multiLevelType w:val="hybridMultilevel"/>
    <w:tmpl w:val="F2BE1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3596E"/>
    <w:multiLevelType w:val="hybridMultilevel"/>
    <w:tmpl w:val="1FA8C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D1823"/>
    <w:multiLevelType w:val="hybridMultilevel"/>
    <w:tmpl w:val="3EB0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67812"/>
    <w:multiLevelType w:val="hybridMultilevel"/>
    <w:tmpl w:val="1A8E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990D91"/>
    <w:multiLevelType w:val="hybridMultilevel"/>
    <w:tmpl w:val="6856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5A72F1"/>
    <w:multiLevelType w:val="hybridMultilevel"/>
    <w:tmpl w:val="D070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0"/>
  </w:num>
  <w:num w:numId="3">
    <w:abstractNumId w:val="19"/>
  </w:num>
  <w:num w:numId="4">
    <w:abstractNumId w:val="10"/>
  </w:num>
  <w:num w:numId="5">
    <w:abstractNumId w:val="22"/>
  </w:num>
  <w:num w:numId="6">
    <w:abstractNumId w:val="1"/>
  </w:num>
  <w:num w:numId="7">
    <w:abstractNumId w:val="23"/>
  </w:num>
  <w:num w:numId="8">
    <w:abstractNumId w:val="8"/>
  </w:num>
  <w:num w:numId="9">
    <w:abstractNumId w:val="14"/>
  </w:num>
  <w:num w:numId="10">
    <w:abstractNumId w:val="7"/>
  </w:num>
  <w:num w:numId="11">
    <w:abstractNumId w:val="4"/>
  </w:num>
  <w:num w:numId="12">
    <w:abstractNumId w:val="17"/>
  </w:num>
  <w:num w:numId="13">
    <w:abstractNumId w:val="12"/>
  </w:num>
  <w:num w:numId="14">
    <w:abstractNumId w:val="11"/>
  </w:num>
  <w:num w:numId="15">
    <w:abstractNumId w:val="13"/>
  </w:num>
  <w:num w:numId="16">
    <w:abstractNumId w:val="15"/>
  </w:num>
  <w:num w:numId="17">
    <w:abstractNumId w:val="5"/>
  </w:num>
  <w:num w:numId="18">
    <w:abstractNumId w:val="9"/>
  </w:num>
  <w:num w:numId="19">
    <w:abstractNumId w:val="16"/>
  </w:num>
  <w:num w:numId="20">
    <w:abstractNumId w:val="3"/>
  </w:num>
  <w:num w:numId="21">
    <w:abstractNumId w:val="18"/>
  </w:num>
  <w:num w:numId="22">
    <w:abstractNumId w:val="21"/>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06C00"/>
    <w:rsid w:val="000105D1"/>
    <w:rsid w:val="00011BB0"/>
    <w:rsid w:val="000231AC"/>
    <w:rsid w:val="00034184"/>
    <w:rsid w:val="00036CA5"/>
    <w:rsid w:val="0004249E"/>
    <w:rsid w:val="00047859"/>
    <w:rsid w:val="0005363D"/>
    <w:rsid w:val="00067C01"/>
    <w:rsid w:val="000726C0"/>
    <w:rsid w:val="000B6D8A"/>
    <w:rsid w:val="000B6EEC"/>
    <w:rsid w:val="000C092D"/>
    <w:rsid w:val="000D188F"/>
    <w:rsid w:val="000E3853"/>
    <w:rsid w:val="000F3280"/>
    <w:rsid w:val="000F7559"/>
    <w:rsid w:val="000F7581"/>
    <w:rsid w:val="00112A98"/>
    <w:rsid w:val="00116E70"/>
    <w:rsid w:val="001440D4"/>
    <w:rsid w:val="0015747A"/>
    <w:rsid w:val="001614DD"/>
    <w:rsid w:val="00164D4D"/>
    <w:rsid w:val="00181754"/>
    <w:rsid w:val="00181B2F"/>
    <w:rsid w:val="00183E17"/>
    <w:rsid w:val="00187D10"/>
    <w:rsid w:val="001A1ADD"/>
    <w:rsid w:val="001A51AD"/>
    <w:rsid w:val="001B31CC"/>
    <w:rsid w:val="001B3898"/>
    <w:rsid w:val="001B7AC3"/>
    <w:rsid w:val="001E7474"/>
    <w:rsid w:val="001F6A6D"/>
    <w:rsid w:val="00201801"/>
    <w:rsid w:val="00202AD8"/>
    <w:rsid w:val="00213B5A"/>
    <w:rsid w:val="00215377"/>
    <w:rsid w:val="00220ED3"/>
    <w:rsid w:val="002315F0"/>
    <w:rsid w:val="002318EB"/>
    <w:rsid w:val="0024791A"/>
    <w:rsid w:val="002517AA"/>
    <w:rsid w:val="002838EF"/>
    <w:rsid w:val="0028675C"/>
    <w:rsid w:val="002A3E73"/>
    <w:rsid w:val="002A6A3F"/>
    <w:rsid w:val="002B140C"/>
    <w:rsid w:val="002C5D2D"/>
    <w:rsid w:val="002D4C7A"/>
    <w:rsid w:val="00302423"/>
    <w:rsid w:val="00322772"/>
    <w:rsid w:val="003348D2"/>
    <w:rsid w:val="00340D35"/>
    <w:rsid w:val="003423C9"/>
    <w:rsid w:val="00343483"/>
    <w:rsid w:val="0034368B"/>
    <w:rsid w:val="00360F83"/>
    <w:rsid w:val="0036519E"/>
    <w:rsid w:val="00387B0B"/>
    <w:rsid w:val="00392126"/>
    <w:rsid w:val="0039218D"/>
    <w:rsid w:val="003961C1"/>
    <w:rsid w:val="003A0647"/>
    <w:rsid w:val="003A1F2E"/>
    <w:rsid w:val="003D3E0E"/>
    <w:rsid w:val="003D7190"/>
    <w:rsid w:val="003F565C"/>
    <w:rsid w:val="00404F29"/>
    <w:rsid w:val="00415766"/>
    <w:rsid w:val="00421E70"/>
    <w:rsid w:val="00431AE3"/>
    <w:rsid w:val="004336DF"/>
    <w:rsid w:val="00440A0A"/>
    <w:rsid w:val="0046162A"/>
    <w:rsid w:val="0047739B"/>
    <w:rsid w:val="004844E5"/>
    <w:rsid w:val="00496A64"/>
    <w:rsid w:val="004A22CE"/>
    <w:rsid w:val="004A474C"/>
    <w:rsid w:val="004A47A9"/>
    <w:rsid w:val="004B17A9"/>
    <w:rsid w:val="004C044B"/>
    <w:rsid w:val="004C6C43"/>
    <w:rsid w:val="004C7EAD"/>
    <w:rsid w:val="004D0567"/>
    <w:rsid w:val="004D57B2"/>
    <w:rsid w:val="004E09F0"/>
    <w:rsid w:val="004E7EF2"/>
    <w:rsid w:val="004F4264"/>
    <w:rsid w:val="00530976"/>
    <w:rsid w:val="00540F81"/>
    <w:rsid w:val="00544122"/>
    <w:rsid w:val="00546230"/>
    <w:rsid w:val="00563573"/>
    <w:rsid w:val="005657F5"/>
    <w:rsid w:val="00581638"/>
    <w:rsid w:val="00584B91"/>
    <w:rsid w:val="005917EF"/>
    <w:rsid w:val="00596657"/>
    <w:rsid w:val="005A59B2"/>
    <w:rsid w:val="005B4087"/>
    <w:rsid w:val="005B5EEB"/>
    <w:rsid w:val="005B6E00"/>
    <w:rsid w:val="005B6E6A"/>
    <w:rsid w:val="005C5BA1"/>
    <w:rsid w:val="005C687B"/>
    <w:rsid w:val="005D06F6"/>
    <w:rsid w:val="005F6FA8"/>
    <w:rsid w:val="0060239C"/>
    <w:rsid w:val="006146CB"/>
    <w:rsid w:val="00634F30"/>
    <w:rsid w:val="0064758C"/>
    <w:rsid w:val="00650C16"/>
    <w:rsid w:val="00656D7F"/>
    <w:rsid w:val="006614F5"/>
    <w:rsid w:val="00670606"/>
    <w:rsid w:val="006778AC"/>
    <w:rsid w:val="00684CF0"/>
    <w:rsid w:val="00693644"/>
    <w:rsid w:val="00693BBB"/>
    <w:rsid w:val="00694BCF"/>
    <w:rsid w:val="0069748D"/>
    <w:rsid w:val="006A65C8"/>
    <w:rsid w:val="006B22A9"/>
    <w:rsid w:val="006B2887"/>
    <w:rsid w:val="006B4748"/>
    <w:rsid w:val="006C7162"/>
    <w:rsid w:val="006D2C57"/>
    <w:rsid w:val="006D3B4D"/>
    <w:rsid w:val="006D4F96"/>
    <w:rsid w:val="006E4BC1"/>
    <w:rsid w:val="006E6142"/>
    <w:rsid w:val="006E7A98"/>
    <w:rsid w:val="006F127C"/>
    <w:rsid w:val="006F3070"/>
    <w:rsid w:val="006F611A"/>
    <w:rsid w:val="0071355A"/>
    <w:rsid w:val="00713F0D"/>
    <w:rsid w:val="0071706A"/>
    <w:rsid w:val="007214C6"/>
    <w:rsid w:val="00722A7F"/>
    <w:rsid w:val="007439F1"/>
    <w:rsid w:val="00752489"/>
    <w:rsid w:val="0075355D"/>
    <w:rsid w:val="0076079D"/>
    <w:rsid w:val="007619DF"/>
    <w:rsid w:val="00761DCE"/>
    <w:rsid w:val="00773314"/>
    <w:rsid w:val="00773B3D"/>
    <w:rsid w:val="00795A99"/>
    <w:rsid w:val="007A023C"/>
    <w:rsid w:val="007A3F05"/>
    <w:rsid w:val="007C321D"/>
    <w:rsid w:val="007C7D3B"/>
    <w:rsid w:val="007E2CD4"/>
    <w:rsid w:val="007E5AC6"/>
    <w:rsid w:val="008020DA"/>
    <w:rsid w:val="008024F0"/>
    <w:rsid w:val="00812E90"/>
    <w:rsid w:val="0081343A"/>
    <w:rsid w:val="008302C3"/>
    <w:rsid w:val="008324A9"/>
    <w:rsid w:val="00833A57"/>
    <w:rsid w:val="00843D1D"/>
    <w:rsid w:val="00856F6A"/>
    <w:rsid w:val="00862080"/>
    <w:rsid w:val="008661DA"/>
    <w:rsid w:val="008723FC"/>
    <w:rsid w:val="00873FE6"/>
    <w:rsid w:val="008835BB"/>
    <w:rsid w:val="008924E4"/>
    <w:rsid w:val="008A1418"/>
    <w:rsid w:val="008A2A2D"/>
    <w:rsid w:val="008A4266"/>
    <w:rsid w:val="008B13B3"/>
    <w:rsid w:val="008B7BB8"/>
    <w:rsid w:val="008C19A8"/>
    <w:rsid w:val="008D578E"/>
    <w:rsid w:val="008F74AA"/>
    <w:rsid w:val="009106ED"/>
    <w:rsid w:val="00914685"/>
    <w:rsid w:val="00921CA7"/>
    <w:rsid w:val="0094555E"/>
    <w:rsid w:val="00952A84"/>
    <w:rsid w:val="0096217B"/>
    <w:rsid w:val="00962F2E"/>
    <w:rsid w:val="00964887"/>
    <w:rsid w:val="00975E1E"/>
    <w:rsid w:val="0098060D"/>
    <w:rsid w:val="00981C6D"/>
    <w:rsid w:val="00985016"/>
    <w:rsid w:val="0098701E"/>
    <w:rsid w:val="009A3576"/>
    <w:rsid w:val="009A7902"/>
    <w:rsid w:val="009C039F"/>
    <w:rsid w:val="009C2A28"/>
    <w:rsid w:val="009C534C"/>
    <w:rsid w:val="009D1DAB"/>
    <w:rsid w:val="009D6445"/>
    <w:rsid w:val="009E292F"/>
    <w:rsid w:val="009E2E42"/>
    <w:rsid w:val="009E5C48"/>
    <w:rsid w:val="00A02D06"/>
    <w:rsid w:val="00A03E1E"/>
    <w:rsid w:val="00A06288"/>
    <w:rsid w:val="00A20216"/>
    <w:rsid w:val="00A32F0C"/>
    <w:rsid w:val="00A37AD2"/>
    <w:rsid w:val="00A4227B"/>
    <w:rsid w:val="00A454F4"/>
    <w:rsid w:val="00A6515B"/>
    <w:rsid w:val="00A702D6"/>
    <w:rsid w:val="00A85D4E"/>
    <w:rsid w:val="00A86304"/>
    <w:rsid w:val="00A8644E"/>
    <w:rsid w:val="00A86BF5"/>
    <w:rsid w:val="00AB1135"/>
    <w:rsid w:val="00AB44E8"/>
    <w:rsid w:val="00AB7E1C"/>
    <w:rsid w:val="00AC3FD1"/>
    <w:rsid w:val="00AD6173"/>
    <w:rsid w:val="00AE4172"/>
    <w:rsid w:val="00AF5A02"/>
    <w:rsid w:val="00B01F0C"/>
    <w:rsid w:val="00B027C7"/>
    <w:rsid w:val="00B02ABD"/>
    <w:rsid w:val="00B03D3C"/>
    <w:rsid w:val="00B172CA"/>
    <w:rsid w:val="00B232E4"/>
    <w:rsid w:val="00B3022A"/>
    <w:rsid w:val="00B5067B"/>
    <w:rsid w:val="00B506C6"/>
    <w:rsid w:val="00B50892"/>
    <w:rsid w:val="00B62EBF"/>
    <w:rsid w:val="00B650C8"/>
    <w:rsid w:val="00B85281"/>
    <w:rsid w:val="00B93243"/>
    <w:rsid w:val="00B95A08"/>
    <w:rsid w:val="00B964DB"/>
    <w:rsid w:val="00BB36AD"/>
    <w:rsid w:val="00BB3809"/>
    <w:rsid w:val="00BB3D61"/>
    <w:rsid w:val="00BC0572"/>
    <w:rsid w:val="00BC7C71"/>
    <w:rsid w:val="00BD41FF"/>
    <w:rsid w:val="00BD6B67"/>
    <w:rsid w:val="00BF79BD"/>
    <w:rsid w:val="00C01FEF"/>
    <w:rsid w:val="00C073A7"/>
    <w:rsid w:val="00C13A65"/>
    <w:rsid w:val="00C17E6A"/>
    <w:rsid w:val="00C24070"/>
    <w:rsid w:val="00C26DD8"/>
    <w:rsid w:val="00C33589"/>
    <w:rsid w:val="00C338CA"/>
    <w:rsid w:val="00C42104"/>
    <w:rsid w:val="00C52D2C"/>
    <w:rsid w:val="00C53EB4"/>
    <w:rsid w:val="00C551C5"/>
    <w:rsid w:val="00C607D5"/>
    <w:rsid w:val="00C610BD"/>
    <w:rsid w:val="00C64A71"/>
    <w:rsid w:val="00C81ED2"/>
    <w:rsid w:val="00C82A35"/>
    <w:rsid w:val="00C8315B"/>
    <w:rsid w:val="00C9219B"/>
    <w:rsid w:val="00C94AF2"/>
    <w:rsid w:val="00CA6D86"/>
    <w:rsid w:val="00CB1438"/>
    <w:rsid w:val="00CB19AA"/>
    <w:rsid w:val="00CC58D0"/>
    <w:rsid w:val="00CE571B"/>
    <w:rsid w:val="00CF0353"/>
    <w:rsid w:val="00CF2B29"/>
    <w:rsid w:val="00CF5D44"/>
    <w:rsid w:val="00D044A2"/>
    <w:rsid w:val="00D0635A"/>
    <w:rsid w:val="00D146B2"/>
    <w:rsid w:val="00D14C48"/>
    <w:rsid w:val="00D268C4"/>
    <w:rsid w:val="00D3147A"/>
    <w:rsid w:val="00D33FFE"/>
    <w:rsid w:val="00D46F1C"/>
    <w:rsid w:val="00D66870"/>
    <w:rsid w:val="00D7605B"/>
    <w:rsid w:val="00D8377A"/>
    <w:rsid w:val="00D858E5"/>
    <w:rsid w:val="00D9100B"/>
    <w:rsid w:val="00DB1FE5"/>
    <w:rsid w:val="00DC0DE1"/>
    <w:rsid w:val="00DD1E24"/>
    <w:rsid w:val="00DF1139"/>
    <w:rsid w:val="00DF4BBC"/>
    <w:rsid w:val="00DF7C96"/>
    <w:rsid w:val="00E44C27"/>
    <w:rsid w:val="00E466FD"/>
    <w:rsid w:val="00E469E9"/>
    <w:rsid w:val="00E47CDF"/>
    <w:rsid w:val="00E52F1B"/>
    <w:rsid w:val="00E552B8"/>
    <w:rsid w:val="00E6679D"/>
    <w:rsid w:val="00E77285"/>
    <w:rsid w:val="00E81BD9"/>
    <w:rsid w:val="00E82620"/>
    <w:rsid w:val="00E8313B"/>
    <w:rsid w:val="00E8405F"/>
    <w:rsid w:val="00E91FB5"/>
    <w:rsid w:val="00E95D8C"/>
    <w:rsid w:val="00EA3749"/>
    <w:rsid w:val="00EA430E"/>
    <w:rsid w:val="00EA4DEE"/>
    <w:rsid w:val="00EB2A9A"/>
    <w:rsid w:val="00EB71B1"/>
    <w:rsid w:val="00EB7D2B"/>
    <w:rsid w:val="00EC04F1"/>
    <w:rsid w:val="00EC2193"/>
    <w:rsid w:val="00EC4CCA"/>
    <w:rsid w:val="00EC5CFD"/>
    <w:rsid w:val="00ED123B"/>
    <w:rsid w:val="00EE0769"/>
    <w:rsid w:val="00EE6935"/>
    <w:rsid w:val="00EF0510"/>
    <w:rsid w:val="00EF6D17"/>
    <w:rsid w:val="00F14CE1"/>
    <w:rsid w:val="00F24B2E"/>
    <w:rsid w:val="00F322CF"/>
    <w:rsid w:val="00F50ED0"/>
    <w:rsid w:val="00F66281"/>
    <w:rsid w:val="00F6657B"/>
    <w:rsid w:val="00F750A8"/>
    <w:rsid w:val="00F7602E"/>
    <w:rsid w:val="00F77D5B"/>
    <w:rsid w:val="00F94B0C"/>
    <w:rsid w:val="00FA1B45"/>
    <w:rsid w:val="00FA1C4F"/>
    <w:rsid w:val="00FB20B9"/>
    <w:rsid w:val="00FB48D1"/>
    <w:rsid w:val="00FB615F"/>
    <w:rsid w:val="00FE43A9"/>
    <w:rsid w:val="00FF1978"/>
    <w:rsid w:val="00FF1CAE"/>
    <w:rsid w:val="00FF4BDA"/>
    <w:rsid w:val="00FF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ch-harrison.com/lasocialindicators/" TargetMode="External"/><Relationship Id="rId18" Type="http://schemas.openxmlformats.org/officeDocument/2006/relationships/hyperlink" Target="http://uiswcmsweb.prod.lsu.edu/edco/lacasu/" TargetMode="External"/><Relationship Id="rId26" Type="http://schemas.openxmlformats.org/officeDocument/2006/relationships/hyperlink" Target="http://www.bach-harrison.com/lasocialindicators" TargetMode="External"/><Relationship Id="rId3" Type="http://schemas.microsoft.com/office/2007/relationships/stylesWithEffects" Target="stylesWithEffects.xml"/><Relationship Id="rId21" Type="http://schemas.openxmlformats.org/officeDocument/2006/relationships/hyperlink" Target="http://uiswcmsweb.prod.lsu.edu/edco/lacas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iswcmsweb.prod.lsu.edu/edco/lacasu/" TargetMode="External"/><Relationship Id="rId17" Type="http://schemas.openxmlformats.org/officeDocument/2006/relationships/hyperlink" Target="http://www.bach-harrison.com/lasocialindicators" TargetMode="External"/><Relationship Id="rId25" Type="http://schemas.openxmlformats.org/officeDocument/2006/relationships/hyperlink" Target="http://core.siu.edu/results/index.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rc-associates.net/gno-profile" TargetMode="External"/><Relationship Id="rId20" Type="http://schemas.openxmlformats.org/officeDocument/2006/relationships/hyperlink" Target="http://www.bach-harrison.com/lasocialindicators" TargetMode="External"/><Relationship Id="rId29" Type="http://schemas.openxmlformats.org/officeDocument/2006/relationships/hyperlink" Target="http://uiswcmsweb.prod.lsu.edu/edco/lacas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re.siu.edu" TargetMode="External"/><Relationship Id="rId24" Type="http://schemas.openxmlformats.org/officeDocument/2006/relationships/hyperlink" Target="http://uiswcmsweb.prod.lsu.edu/edco/lacas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re.siu.edu/surveys/" TargetMode="External"/><Relationship Id="rId23" Type="http://schemas.openxmlformats.org/officeDocument/2006/relationships/hyperlink" Target="http://www.bach-harrison.com/lasocialindicators" TargetMode="External"/><Relationship Id="rId28" Type="http://schemas.openxmlformats.org/officeDocument/2006/relationships/hyperlink" Target="http://core.siu.edu/results/index.html" TargetMode="External"/><Relationship Id="rId10" Type="http://schemas.openxmlformats.org/officeDocument/2006/relationships/footer" Target="footer1.xml"/><Relationship Id="rId19" Type="http://schemas.openxmlformats.org/officeDocument/2006/relationships/hyperlink" Target="http://core.siu.edu/results/index.html" TargetMode="External"/><Relationship Id="rId31" Type="http://schemas.openxmlformats.org/officeDocument/2006/relationships/hyperlink" Target="http://uiswcmsweb.prod.lsu.edu/edco/lacasu/" TargetMode="External"/><Relationship Id="rId4" Type="http://schemas.openxmlformats.org/officeDocument/2006/relationships/settings" Target="settings.xml"/><Relationship Id="rId9" Type="http://schemas.openxmlformats.org/officeDocument/2006/relationships/hyperlink" Target="http://arc-associates.net/gno-profile" TargetMode="External"/><Relationship Id="rId14" Type="http://schemas.openxmlformats.org/officeDocument/2006/relationships/hyperlink" Target="http://core.siu.edu/surveys/" TargetMode="External"/><Relationship Id="rId22" Type="http://schemas.openxmlformats.org/officeDocument/2006/relationships/hyperlink" Target="http://core.siu.edu/results/index.html" TargetMode="External"/><Relationship Id="rId27" Type="http://schemas.openxmlformats.org/officeDocument/2006/relationships/hyperlink" Target="http://uiswcmsweb.prod.lsu.edu/edco/lacasu/" TargetMode="External"/><Relationship Id="rId30" Type="http://schemas.openxmlformats.org/officeDocument/2006/relationships/hyperlink" Target="http://uiswcmsweb.prod.lsu.edu/edco/lacas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21</TotalTime>
  <Pages>11</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27589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4</cp:revision>
  <cp:lastPrinted>2014-05-01T11:46:00Z</cp:lastPrinted>
  <dcterms:created xsi:type="dcterms:W3CDTF">2014-07-24T15:37:00Z</dcterms:created>
  <dcterms:modified xsi:type="dcterms:W3CDTF">2014-07-24T16:50:00Z</dcterms:modified>
</cp:coreProperties>
</file>